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chart4.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1.xml" ContentType="application/vnd.openxmlformats-officedocument.drawingml.chartshapes+xml"/>
  <Override PartName="/word/charts/chart7.xml" ContentType="application/vnd.openxmlformats-officedocument.drawingml.chart+xml"/>
  <Override PartName="/word/charts/chart8.xml" ContentType="application/vnd.openxmlformats-officedocument.drawingml.chart+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2.xml" ContentType="application/vnd.openxmlformats-officedocument.drawingml.chartshapes+xml"/>
  <Override PartName="/word/charts/chart11.xml" ContentType="application/vnd.openxmlformats-officedocument.drawingml.chart+xml"/>
  <Override PartName="/word/charts/chart12.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3.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4.xml" ContentType="application/vnd.openxmlformats-officedocument.drawingml.chart+xml"/>
  <Override PartName="/word/charts/style9.xml" ContentType="application/vnd.ms-office.chartstyle+xml"/>
  <Override PartName="/word/charts/colors9.xml" ContentType="application/vnd.ms-office.chartcolorstyle+xml"/>
  <Override PartName="/word/drawings/drawing3.xml" ContentType="application/vnd.openxmlformats-officedocument.drawingml.chartshapes+xml"/>
  <Override PartName="/word/header5.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673184" w14:textId="77777777" w:rsidR="00A216D4" w:rsidRPr="00930B46" w:rsidRDefault="00A216D4" w:rsidP="00931169">
      <w:pPr>
        <w:rPr>
          <w:rFonts w:cstheme="minorHAnsi"/>
        </w:rPr>
      </w:pPr>
    </w:p>
    <w:p w14:paraId="41E38C50" w14:textId="77777777" w:rsidR="00A216D4" w:rsidRPr="004F1EDD" w:rsidRDefault="0058744D" w:rsidP="00931169">
      <w:pPr>
        <w:rPr>
          <w:rFonts w:cstheme="minorHAnsi"/>
          <w:b/>
        </w:rPr>
      </w:pPr>
      <w:r w:rsidRPr="004F1EDD">
        <w:rPr>
          <w:rFonts w:cstheme="minorHAnsi"/>
          <w:b/>
        </w:rPr>
        <w:t>OBSAH:</w:t>
      </w:r>
    </w:p>
    <w:p w14:paraId="518AC08A" w14:textId="77777777" w:rsidR="00A216D4" w:rsidRPr="004F1EDD" w:rsidRDefault="00A216D4" w:rsidP="00931169">
      <w:pPr>
        <w:rPr>
          <w:rFonts w:cstheme="minorHAnsi"/>
        </w:rPr>
      </w:pPr>
    </w:p>
    <w:p w14:paraId="76BC5635" w14:textId="6BC9EB22" w:rsidR="00C277C6" w:rsidRDefault="00B05F60">
      <w:pPr>
        <w:pStyle w:val="Obsah1"/>
        <w:rPr>
          <w:rFonts w:eastAsiaTheme="minorEastAsia"/>
          <w:b w:val="0"/>
          <w:lang w:eastAsia="sk-SK"/>
        </w:rPr>
      </w:pPr>
      <w:r w:rsidRPr="004F1EDD">
        <w:rPr>
          <w:rFonts w:cstheme="minorHAnsi"/>
        </w:rPr>
        <w:fldChar w:fldCharType="begin"/>
      </w:r>
      <w:r w:rsidR="00A216D4" w:rsidRPr="004F1EDD">
        <w:rPr>
          <w:rFonts w:cstheme="minorHAnsi"/>
        </w:rPr>
        <w:instrText xml:space="preserve"> TOC \o "1-4" \h \z \u </w:instrText>
      </w:r>
      <w:r w:rsidRPr="004F1EDD">
        <w:rPr>
          <w:rFonts w:cstheme="minorHAnsi"/>
        </w:rPr>
        <w:fldChar w:fldCharType="separate"/>
      </w:r>
      <w:hyperlink w:anchor="_Toc88652907" w:history="1">
        <w:r w:rsidR="00C277C6" w:rsidRPr="00D53B71">
          <w:rPr>
            <w:rStyle w:val="Hypertextovprepojenie"/>
            <w:rFonts w:cstheme="minorHAnsi"/>
          </w:rPr>
          <w:t>1.</w:t>
        </w:r>
        <w:r w:rsidR="00C277C6">
          <w:rPr>
            <w:rFonts w:eastAsiaTheme="minorEastAsia"/>
            <w:b w:val="0"/>
            <w:lang w:eastAsia="sk-SK"/>
          </w:rPr>
          <w:tab/>
        </w:r>
        <w:r w:rsidR="00C277C6" w:rsidRPr="00D53B71">
          <w:rPr>
            <w:rStyle w:val="Hypertextovprepojenie"/>
            <w:rFonts w:cstheme="minorHAnsi"/>
          </w:rPr>
          <w:t>ÚVOD</w:t>
        </w:r>
        <w:r w:rsidR="00C277C6">
          <w:rPr>
            <w:webHidden/>
          </w:rPr>
          <w:tab/>
        </w:r>
        <w:r w:rsidR="00C277C6">
          <w:rPr>
            <w:webHidden/>
          </w:rPr>
          <w:fldChar w:fldCharType="begin"/>
        </w:r>
        <w:r w:rsidR="00C277C6">
          <w:rPr>
            <w:webHidden/>
          </w:rPr>
          <w:instrText xml:space="preserve"> PAGEREF _Toc88652907 \h </w:instrText>
        </w:r>
        <w:r w:rsidR="00C277C6">
          <w:rPr>
            <w:webHidden/>
          </w:rPr>
        </w:r>
        <w:r w:rsidR="00C277C6">
          <w:rPr>
            <w:webHidden/>
          </w:rPr>
          <w:fldChar w:fldCharType="separate"/>
        </w:r>
        <w:r w:rsidR="00C277C6">
          <w:rPr>
            <w:webHidden/>
          </w:rPr>
          <w:t>6</w:t>
        </w:r>
        <w:r w:rsidR="00C277C6">
          <w:rPr>
            <w:webHidden/>
          </w:rPr>
          <w:fldChar w:fldCharType="end"/>
        </w:r>
      </w:hyperlink>
    </w:p>
    <w:p w14:paraId="32441E00" w14:textId="05274629" w:rsidR="00C277C6" w:rsidRDefault="00DC2DF4">
      <w:pPr>
        <w:pStyle w:val="Obsah2"/>
        <w:tabs>
          <w:tab w:val="right" w:leader="dot" w:pos="9062"/>
        </w:tabs>
        <w:rPr>
          <w:rFonts w:eastAsiaTheme="minorEastAsia"/>
          <w:noProof/>
          <w:sz w:val="22"/>
          <w:lang w:eastAsia="sk-SK"/>
        </w:rPr>
      </w:pPr>
      <w:hyperlink w:anchor="_Toc88652908" w:history="1">
        <w:r w:rsidR="00C277C6" w:rsidRPr="00D53B71">
          <w:rPr>
            <w:rStyle w:val="Hypertextovprepojenie"/>
            <w:rFonts w:cstheme="minorHAnsi"/>
            <w:noProof/>
          </w:rPr>
          <w:t>Metodika hodnotenia</w:t>
        </w:r>
        <w:r w:rsidR="00C277C6">
          <w:rPr>
            <w:noProof/>
            <w:webHidden/>
          </w:rPr>
          <w:tab/>
        </w:r>
        <w:r w:rsidR="00C277C6">
          <w:rPr>
            <w:noProof/>
            <w:webHidden/>
          </w:rPr>
          <w:fldChar w:fldCharType="begin"/>
        </w:r>
        <w:r w:rsidR="00C277C6">
          <w:rPr>
            <w:noProof/>
            <w:webHidden/>
          </w:rPr>
          <w:instrText xml:space="preserve"> PAGEREF _Toc88652908 \h </w:instrText>
        </w:r>
        <w:r w:rsidR="00C277C6">
          <w:rPr>
            <w:noProof/>
            <w:webHidden/>
          </w:rPr>
        </w:r>
        <w:r w:rsidR="00C277C6">
          <w:rPr>
            <w:noProof/>
            <w:webHidden/>
          </w:rPr>
          <w:fldChar w:fldCharType="separate"/>
        </w:r>
        <w:r w:rsidR="00C277C6">
          <w:rPr>
            <w:noProof/>
            <w:webHidden/>
          </w:rPr>
          <w:t>6</w:t>
        </w:r>
        <w:r w:rsidR="00C277C6">
          <w:rPr>
            <w:noProof/>
            <w:webHidden/>
          </w:rPr>
          <w:fldChar w:fldCharType="end"/>
        </w:r>
      </w:hyperlink>
    </w:p>
    <w:p w14:paraId="7A3FAB75" w14:textId="51913D0E" w:rsidR="00C277C6" w:rsidRDefault="00DC2DF4">
      <w:pPr>
        <w:pStyle w:val="Obsah2"/>
        <w:tabs>
          <w:tab w:val="right" w:leader="dot" w:pos="9062"/>
        </w:tabs>
        <w:rPr>
          <w:rFonts w:eastAsiaTheme="minorEastAsia"/>
          <w:noProof/>
          <w:sz w:val="22"/>
          <w:lang w:eastAsia="sk-SK"/>
        </w:rPr>
      </w:pPr>
      <w:hyperlink w:anchor="_Toc88652909" w:history="1">
        <w:r w:rsidR="00C277C6" w:rsidRPr="00D53B71">
          <w:rPr>
            <w:rStyle w:val="Hypertextovprepojenie"/>
            <w:rFonts w:cstheme="minorHAnsi"/>
            <w:noProof/>
          </w:rPr>
          <w:t>Dopravný model</w:t>
        </w:r>
        <w:r w:rsidR="00C277C6">
          <w:rPr>
            <w:noProof/>
            <w:webHidden/>
          </w:rPr>
          <w:tab/>
        </w:r>
        <w:r w:rsidR="00C277C6">
          <w:rPr>
            <w:noProof/>
            <w:webHidden/>
          </w:rPr>
          <w:fldChar w:fldCharType="begin"/>
        </w:r>
        <w:r w:rsidR="00C277C6">
          <w:rPr>
            <w:noProof/>
            <w:webHidden/>
          </w:rPr>
          <w:instrText xml:space="preserve"> PAGEREF _Toc88652909 \h </w:instrText>
        </w:r>
        <w:r w:rsidR="00C277C6">
          <w:rPr>
            <w:noProof/>
            <w:webHidden/>
          </w:rPr>
        </w:r>
        <w:r w:rsidR="00C277C6">
          <w:rPr>
            <w:noProof/>
            <w:webHidden/>
          </w:rPr>
          <w:fldChar w:fldCharType="separate"/>
        </w:r>
        <w:r w:rsidR="00C277C6">
          <w:rPr>
            <w:noProof/>
            <w:webHidden/>
          </w:rPr>
          <w:t>7</w:t>
        </w:r>
        <w:r w:rsidR="00C277C6">
          <w:rPr>
            <w:noProof/>
            <w:webHidden/>
          </w:rPr>
          <w:fldChar w:fldCharType="end"/>
        </w:r>
      </w:hyperlink>
    </w:p>
    <w:p w14:paraId="77A18FF3" w14:textId="4964D825" w:rsidR="00C277C6" w:rsidRDefault="00DC2DF4">
      <w:pPr>
        <w:pStyle w:val="Obsah1"/>
        <w:rPr>
          <w:rFonts w:eastAsiaTheme="minorEastAsia"/>
          <w:b w:val="0"/>
          <w:lang w:eastAsia="sk-SK"/>
        </w:rPr>
      </w:pPr>
      <w:hyperlink w:anchor="_Toc88652910" w:history="1">
        <w:r w:rsidR="00C277C6" w:rsidRPr="00D53B71">
          <w:rPr>
            <w:rStyle w:val="Hypertextovprepojenie"/>
            <w:rFonts w:cstheme="minorHAnsi"/>
          </w:rPr>
          <w:t>2.</w:t>
        </w:r>
        <w:r w:rsidR="00C277C6">
          <w:rPr>
            <w:rFonts w:eastAsiaTheme="minorEastAsia"/>
            <w:b w:val="0"/>
            <w:lang w:eastAsia="sk-SK"/>
          </w:rPr>
          <w:tab/>
        </w:r>
        <w:r w:rsidR="00C277C6" w:rsidRPr="00D53B71">
          <w:rPr>
            <w:rStyle w:val="Hypertextovprepojenie"/>
            <w:rFonts w:cstheme="minorHAnsi"/>
          </w:rPr>
          <w:t>SÚČASNÝ STAV</w:t>
        </w:r>
        <w:r w:rsidR="00C277C6">
          <w:rPr>
            <w:webHidden/>
          </w:rPr>
          <w:tab/>
        </w:r>
        <w:r w:rsidR="00C277C6">
          <w:rPr>
            <w:webHidden/>
          </w:rPr>
          <w:fldChar w:fldCharType="begin"/>
        </w:r>
        <w:r w:rsidR="00C277C6">
          <w:rPr>
            <w:webHidden/>
          </w:rPr>
          <w:instrText xml:space="preserve"> PAGEREF _Toc88652910 \h </w:instrText>
        </w:r>
        <w:r w:rsidR="00C277C6">
          <w:rPr>
            <w:webHidden/>
          </w:rPr>
        </w:r>
        <w:r w:rsidR="00C277C6">
          <w:rPr>
            <w:webHidden/>
          </w:rPr>
          <w:fldChar w:fldCharType="separate"/>
        </w:r>
        <w:r w:rsidR="00C277C6">
          <w:rPr>
            <w:webHidden/>
          </w:rPr>
          <w:t>9</w:t>
        </w:r>
        <w:r w:rsidR="00C277C6">
          <w:rPr>
            <w:webHidden/>
          </w:rPr>
          <w:fldChar w:fldCharType="end"/>
        </w:r>
      </w:hyperlink>
    </w:p>
    <w:p w14:paraId="0C1C6593" w14:textId="4E9F06E8" w:rsidR="00C277C6" w:rsidRDefault="00DC2DF4">
      <w:pPr>
        <w:pStyle w:val="Obsah2"/>
        <w:tabs>
          <w:tab w:val="left" w:pos="880"/>
          <w:tab w:val="right" w:leader="dot" w:pos="9062"/>
        </w:tabs>
        <w:rPr>
          <w:rFonts w:eastAsiaTheme="minorEastAsia"/>
          <w:noProof/>
          <w:sz w:val="22"/>
          <w:lang w:eastAsia="sk-SK"/>
        </w:rPr>
      </w:pPr>
      <w:hyperlink w:anchor="_Toc88652911" w:history="1">
        <w:r w:rsidR="00C277C6" w:rsidRPr="00D53B71">
          <w:rPr>
            <w:rStyle w:val="Hypertextovprepojenie"/>
            <w:rFonts w:cstheme="minorHAnsi"/>
            <w:noProof/>
          </w:rPr>
          <w:t>2.1</w:t>
        </w:r>
        <w:r w:rsidR="00C277C6">
          <w:rPr>
            <w:rFonts w:eastAsiaTheme="minorEastAsia"/>
            <w:noProof/>
            <w:sz w:val="22"/>
            <w:lang w:eastAsia="sk-SK"/>
          </w:rPr>
          <w:tab/>
        </w:r>
        <w:r w:rsidR="00C277C6" w:rsidRPr="00D53B71">
          <w:rPr>
            <w:rStyle w:val="Hypertextovprepojenie"/>
            <w:rFonts w:cstheme="minorHAnsi"/>
            <w:noProof/>
          </w:rPr>
          <w:t>Traťový úsek Krásno nad Kysucou – Čadca</w:t>
        </w:r>
        <w:r w:rsidR="00C277C6">
          <w:rPr>
            <w:noProof/>
            <w:webHidden/>
          </w:rPr>
          <w:tab/>
        </w:r>
        <w:r w:rsidR="00C277C6">
          <w:rPr>
            <w:noProof/>
            <w:webHidden/>
          </w:rPr>
          <w:fldChar w:fldCharType="begin"/>
        </w:r>
        <w:r w:rsidR="00C277C6">
          <w:rPr>
            <w:noProof/>
            <w:webHidden/>
          </w:rPr>
          <w:instrText xml:space="preserve"> PAGEREF _Toc88652911 \h </w:instrText>
        </w:r>
        <w:r w:rsidR="00C277C6">
          <w:rPr>
            <w:noProof/>
            <w:webHidden/>
          </w:rPr>
        </w:r>
        <w:r w:rsidR="00C277C6">
          <w:rPr>
            <w:noProof/>
            <w:webHidden/>
          </w:rPr>
          <w:fldChar w:fldCharType="separate"/>
        </w:r>
        <w:r w:rsidR="00C277C6">
          <w:rPr>
            <w:noProof/>
            <w:webHidden/>
          </w:rPr>
          <w:t>9</w:t>
        </w:r>
        <w:r w:rsidR="00C277C6">
          <w:rPr>
            <w:noProof/>
            <w:webHidden/>
          </w:rPr>
          <w:fldChar w:fldCharType="end"/>
        </w:r>
      </w:hyperlink>
    </w:p>
    <w:p w14:paraId="38717B77" w14:textId="6C06B689" w:rsidR="00C277C6" w:rsidRDefault="00DC2DF4">
      <w:pPr>
        <w:pStyle w:val="Obsah2"/>
        <w:tabs>
          <w:tab w:val="left" w:pos="880"/>
          <w:tab w:val="right" w:leader="dot" w:pos="9062"/>
        </w:tabs>
        <w:rPr>
          <w:rFonts w:eastAsiaTheme="minorEastAsia"/>
          <w:noProof/>
          <w:sz w:val="22"/>
          <w:lang w:eastAsia="sk-SK"/>
        </w:rPr>
      </w:pPr>
      <w:hyperlink w:anchor="_Toc88652912" w:history="1">
        <w:r w:rsidR="00C277C6" w:rsidRPr="00D53B71">
          <w:rPr>
            <w:rStyle w:val="Hypertextovprepojenie"/>
            <w:rFonts w:cstheme="minorHAnsi"/>
            <w:noProof/>
          </w:rPr>
          <w:t>2.2</w:t>
        </w:r>
        <w:r w:rsidR="00C277C6">
          <w:rPr>
            <w:rFonts w:eastAsiaTheme="minorEastAsia"/>
            <w:noProof/>
            <w:sz w:val="22"/>
            <w:lang w:eastAsia="sk-SK"/>
          </w:rPr>
          <w:tab/>
        </w:r>
        <w:r w:rsidR="00C277C6" w:rsidRPr="00D53B71">
          <w:rPr>
            <w:rStyle w:val="Hypertextovprepojenie"/>
            <w:rFonts w:cstheme="minorHAnsi"/>
            <w:noProof/>
          </w:rPr>
          <w:t>ŽST Čadca</w:t>
        </w:r>
        <w:r w:rsidR="00C277C6">
          <w:rPr>
            <w:noProof/>
            <w:webHidden/>
          </w:rPr>
          <w:tab/>
        </w:r>
        <w:r w:rsidR="00C277C6">
          <w:rPr>
            <w:noProof/>
            <w:webHidden/>
          </w:rPr>
          <w:fldChar w:fldCharType="begin"/>
        </w:r>
        <w:r w:rsidR="00C277C6">
          <w:rPr>
            <w:noProof/>
            <w:webHidden/>
          </w:rPr>
          <w:instrText xml:space="preserve"> PAGEREF _Toc88652912 \h </w:instrText>
        </w:r>
        <w:r w:rsidR="00C277C6">
          <w:rPr>
            <w:noProof/>
            <w:webHidden/>
          </w:rPr>
        </w:r>
        <w:r w:rsidR="00C277C6">
          <w:rPr>
            <w:noProof/>
            <w:webHidden/>
          </w:rPr>
          <w:fldChar w:fldCharType="separate"/>
        </w:r>
        <w:r w:rsidR="00C277C6">
          <w:rPr>
            <w:noProof/>
            <w:webHidden/>
          </w:rPr>
          <w:t>11</w:t>
        </w:r>
        <w:r w:rsidR="00C277C6">
          <w:rPr>
            <w:noProof/>
            <w:webHidden/>
          </w:rPr>
          <w:fldChar w:fldCharType="end"/>
        </w:r>
      </w:hyperlink>
    </w:p>
    <w:p w14:paraId="749A4D82" w14:textId="270DCB15" w:rsidR="00C277C6" w:rsidRDefault="00DC2DF4">
      <w:pPr>
        <w:pStyle w:val="Obsah2"/>
        <w:tabs>
          <w:tab w:val="left" w:pos="880"/>
          <w:tab w:val="right" w:leader="dot" w:pos="9062"/>
        </w:tabs>
        <w:rPr>
          <w:rFonts w:eastAsiaTheme="minorEastAsia"/>
          <w:noProof/>
          <w:sz w:val="22"/>
          <w:lang w:eastAsia="sk-SK"/>
        </w:rPr>
      </w:pPr>
      <w:hyperlink w:anchor="_Toc88652913" w:history="1">
        <w:r w:rsidR="00C277C6" w:rsidRPr="00D53B71">
          <w:rPr>
            <w:rStyle w:val="Hypertextovprepojenie"/>
            <w:rFonts w:cstheme="minorHAnsi"/>
            <w:noProof/>
          </w:rPr>
          <w:t>2.3</w:t>
        </w:r>
        <w:r w:rsidR="00C277C6">
          <w:rPr>
            <w:rFonts w:eastAsiaTheme="minorEastAsia"/>
            <w:noProof/>
            <w:sz w:val="22"/>
            <w:lang w:eastAsia="sk-SK"/>
          </w:rPr>
          <w:tab/>
        </w:r>
        <w:r w:rsidR="00C277C6" w:rsidRPr="00D53B71">
          <w:rPr>
            <w:rStyle w:val="Hypertextovprepojenie"/>
            <w:rFonts w:cstheme="minorHAnsi"/>
            <w:noProof/>
          </w:rPr>
          <w:t>Medzistaničný úsek ŽST Čadca (mimo) –  št.hr SR/ČR</w:t>
        </w:r>
        <w:r w:rsidR="00C277C6">
          <w:rPr>
            <w:noProof/>
            <w:webHidden/>
          </w:rPr>
          <w:tab/>
        </w:r>
        <w:r w:rsidR="00C277C6">
          <w:rPr>
            <w:noProof/>
            <w:webHidden/>
          </w:rPr>
          <w:fldChar w:fldCharType="begin"/>
        </w:r>
        <w:r w:rsidR="00C277C6">
          <w:rPr>
            <w:noProof/>
            <w:webHidden/>
          </w:rPr>
          <w:instrText xml:space="preserve"> PAGEREF _Toc88652913 \h </w:instrText>
        </w:r>
        <w:r w:rsidR="00C277C6">
          <w:rPr>
            <w:noProof/>
            <w:webHidden/>
          </w:rPr>
        </w:r>
        <w:r w:rsidR="00C277C6">
          <w:rPr>
            <w:noProof/>
            <w:webHidden/>
          </w:rPr>
          <w:fldChar w:fldCharType="separate"/>
        </w:r>
        <w:r w:rsidR="00C277C6">
          <w:rPr>
            <w:noProof/>
            <w:webHidden/>
          </w:rPr>
          <w:t>13</w:t>
        </w:r>
        <w:r w:rsidR="00C277C6">
          <w:rPr>
            <w:noProof/>
            <w:webHidden/>
          </w:rPr>
          <w:fldChar w:fldCharType="end"/>
        </w:r>
      </w:hyperlink>
    </w:p>
    <w:p w14:paraId="5E9C66CA" w14:textId="0E4B42CC" w:rsidR="00C277C6" w:rsidRDefault="00DC2DF4">
      <w:pPr>
        <w:pStyle w:val="Obsah1"/>
        <w:rPr>
          <w:rFonts w:eastAsiaTheme="minorEastAsia"/>
          <w:b w:val="0"/>
          <w:lang w:eastAsia="sk-SK"/>
        </w:rPr>
      </w:pPr>
      <w:hyperlink w:anchor="_Toc88652914" w:history="1">
        <w:r w:rsidR="00C277C6" w:rsidRPr="00D53B71">
          <w:rPr>
            <w:rStyle w:val="Hypertextovprepojenie"/>
            <w:rFonts w:cstheme="minorHAnsi"/>
          </w:rPr>
          <w:t>3.</w:t>
        </w:r>
        <w:r w:rsidR="00C277C6">
          <w:rPr>
            <w:rFonts w:eastAsiaTheme="minorEastAsia"/>
            <w:b w:val="0"/>
            <w:lang w:eastAsia="sk-SK"/>
          </w:rPr>
          <w:tab/>
        </w:r>
        <w:r w:rsidR="00C277C6" w:rsidRPr="00D53B71">
          <w:rPr>
            <w:rStyle w:val="Hypertextovprepojenie"/>
            <w:rFonts w:cstheme="minorHAnsi"/>
          </w:rPr>
          <w:t>VARIANTY RIEŠENIA - MODERNIZÁCIA A OPTIMALIZÁCIA</w:t>
        </w:r>
        <w:r w:rsidR="00C277C6">
          <w:rPr>
            <w:webHidden/>
          </w:rPr>
          <w:tab/>
        </w:r>
        <w:r w:rsidR="00C277C6">
          <w:rPr>
            <w:webHidden/>
          </w:rPr>
          <w:fldChar w:fldCharType="begin"/>
        </w:r>
        <w:r w:rsidR="00C277C6">
          <w:rPr>
            <w:webHidden/>
          </w:rPr>
          <w:instrText xml:space="preserve"> PAGEREF _Toc88652914 \h </w:instrText>
        </w:r>
        <w:r w:rsidR="00C277C6">
          <w:rPr>
            <w:webHidden/>
          </w:rPr>
        </w:r>
        <w:r w:rsidR="00C277C6">
          <w:rPr>
            <w:webHidden/>
          </w:rPr>
          <w:fldChar w:fldCharType="separate"/>
        </w:r>
        <w:r w:rsidR="00C277C6">
          <w:rPr>
            <w:webHidden/>
          </w:rPr>
          <w:t>14</w:t>
        </w:r>
        <w:r w:rsidR="00C277C6">
          <w:rPr>
            <w:webHidden/>
          </w:rPr>
          <w:fldChar w:fldCharType="end"/>
        </w:r>
      </w:hyperlink>
    </w:p>
    <w:p w14:paraId="3120493F" w14:textId="6867AF19" w:rsidR="00C277C6" w:rsidRDefault="00DC2DF4">
      <w:pPr>
        <w:pStyle w:val="Obsah3"/>
        <w:tabs>
          <w:tab w:val="left" w:pos="1100"/>
          <w:tab w:val="right" w:leader="dot" w:pos="9062"/>
        </w:tabs>
        <w:rPr>
          <w:rFonts w:eastAsiaTheme="minorEastAsia"/>
          <w:noProof/>
          <w:sz w:val="22"/>
          <w:lang w:eastAsia="sk-SK"/>
        </w:rPr>
      </w:pPr>
      <w:hyperlink w:anchor="_Toc88652915" w:history="1">
        <w:r w:rsidR="00C277C6" w:rsidRPr="00D53B71">
          <w:rPr>
            <w:rStyle w:val="Hypertextovprepojenie"/>
            <w:rFonts w:cstheme="minorHAnsi"/>
            <w:noProof/>
          </w:rPr>
          <w:t>3.1</w:t>
        </w:r>
        <w:r w:rsidR="00C277C6">
          <w:rPr>
            <w:rFonts w:eastAsiaTheme="minorEastAsia"/>
            <w:noProof/>
            <w:sz w:val="22"/>
            <w:lang w:eastAsia="sk-SK"/>
          </w:rPr>
          <w:tab/>
        </w:r>
        <w:r w:rsidR="00C277C6" w:rsidRPr="00D53B71">
          <w:rPr>
            <w:rStyle w:val="Hypertextovprepojenie"/>
            <w:rFonts w:cstheme="minorHAnsi"/>
            <w:noProof/>
          </w:rPr>
          <w:t>Variant 0 – REFERENČNÝ VARIANT</w:t>
        </w:r>
        <w:r w:rsidR="00C277C6">
          <w:rPr>
            <w:noProof/>
            <w:webHidden/>
          </w:rPr>
          <w:tab/>
        </w:r>
        <w:r w:rsidR="00C277C6">
          <w:rPr>
            <w:noProof/>
            <w:webHidden/>
          </w:rPr>
          <w:fldChar w:fldCharType="begin"/>
        </w:r>
        <w:r w:rsidR="00C277C6">
          <w:rPr>
            <w:noProof/>
            <w:webHidden/>
          </w:rPr>
          <w:instrText xml:space="preserve"> PAGEREF _Toc88652915 \h </w:instrText>
        </w:r>
        <w:r w:rsidR="00C277C6">
          <w:rPr>
            <w:noProof/>
            <w:webHidden/>
          </w:rPr>
        </w:r>
        <w:r w:rsidR="00C277C6">
          <w:rPr>
            <w:noProof/>
            <w:webHidden/>
          </w:rPr>
          <w:fldChar w:fldCharType="separate"/>
        </w:r>
        <w:r w:rsidR="00C277C6">
          <w:rPr>
            <w:noProof/>
            <w:webHidden/>
          </w:rPr>
          <w:t>15</w:t>
        </w:r>
        <w:r w:rsidR="00C277C6">
          <w:rPr>
            <w:noProof/>
            <w:webHidden/>
          </w:rPr>
          <w:fldChar w:fldCharType="end"/>
        </w:r>
      </w:hyperlink>
    </w:p>
    <w:p w14:paraId="3EA6C503" w14:textId="62E00734" w:rsidR="00C277C6" w:rsidRDefault="00DC2DF4">
      <w:pPr>
        <w:pStyle w:val="Obsah2"/>
        <w:tabs>
          <w:tab w:val="right" w:leader="dot" w:pos="9062"/>
        </w:tabs>
        <w:rPr>
          <w:rFonts w:eastAsiaTheme="minorEastAsia"/>
          <w:noProof/>
          <w:sz w:val="22"/>
          <w:lang w:eastAsia="sk-SK"/>
        </w:rPr>
      </w:pPr>
      <w:hyperlink w:anchor="_Toc88652916" w:history="1">
        <w:r w:rsidR="00C277C6" w:rsidRPr="00D53B71">
          <w:rPr>
            <w:rStyle w:val="Hypertextovprepojenie"/>
            <w:rFonts w:cstheme="minorHAnsi"/>
            <w:noProof/>
          </w:rPr>
          <w:t>Udržateľnosť prevádzky</w:t>
        </w:r>
        <w:r w:rsidR="00C277C6">
          <w:rPr>
            <w:noProof/>
            <w:webHidden/>
          </w:rPr>
          <w:tab/>
        </w:r>
        <w:r w:rsidR="00C277C6">
          <w:rPr>
            <w:noProof/>
            <w:webHidden/>
          </w:rPr>
          <w:fldChar w:fldCharType="begin"/>
        </w:r>
        <w:r w:rsidR="00C277C6">
          <w:rPr>
            <w:noProof/>
            <w:webHidden/>
          </w:rPr>
          <w:instrText xml:space="preserve"> PAGEREF _Toc88652916 \h </w:instrText>
        </w:r>
        <w:r w:rsidR="00C277C6">
          <w:rPr>
            <w:noProof/>
            <w:webHidden/>
          </w:rPr>
        </w:r>
        <w:r w:rsidR="00C277C6">
          <w:rPr>
            <w:noProof/>
            <w:webHidden/>
          </w:rPr>
          <w:fldChar w:fldCharType="separate"/>
        </w:r>
        <w:r w:rsidR="00C277C6">
          <w:rPr>
            <w:noProof/>
            <w:webHidden/>
          </w:rPr>
          <w:t>15</w:t>
        </w:r>
        <w:r w:rsidR="00C277C6">
          <w:rPr>
            <w:noProof/>
            <w:webHidden/>
          </w:rPr>
          <w:fldChar w:fldCharType="end"/>
        </w:r>
      </w:hyperlink>
    </w:p>
    <w:p w14:paraId="1EE0D6BD" w14:textId="7BAD838B" w:rsidR="00C277C6" w:rsidRDefault="00DC2DF4">
      <w:pPr>
        <w:pStyle w:val="Obsah3"/>
        <w:tabs>
          <w:tab w:val="right" w:leader="dot" w:pos="9062"/>
        </w:tabs>
        <w:rPr>
          <w:rFonts w:eastAsiaTheme="minorEastAsia"/>
          <w:noProof/>
          <w:sz w:val="22"/>
          <w:lang w:eastAsia="sk-SK"/>
        </w:rPr>
      </w:pPr>
      <w:hyperlink w:anchor="_Toc88652917" w:history="1">
        <w:r w:rsidR="00C277C6" w:rsidRPr="00D53B71">
          <w:rPr>
            <w:rStyle w:val="Hypertextovprepojenie"/>
            <w:rFonts w:cstheme="minorHAnsi"/>
            <w:noProof/>
          </w:rPr>
          <w:t>3.2 Variant A – ZÁKLADNÁ MODERNIZÁCIA</w:t>
        </w:r>
        <w:r w:rsidR="00C277C6">
          <w:rPr>
            <w:noProof/>
            <w:webHidden/>
          </w:rPr>
          <w:tab/>
        </w:r>
        <w:r w:rsidR="00C277C6">
          <w:rPr>
            <w:noProof/>
            <w:webHidden/>
          </w:rPr>
          <w:fldChar w:fldCharType="begin"/>
        </w:r>
        <w:r w:rsidR="00C277C6">
          <w:rPr>
            <w:noProof/>
            <w:webHidden/>
          </w:rPr>
          <w:instrText xml:space="preserve"> PAGEREF _Toc88652917 \h </w:instrText>
        </w:r>
        <w:r w:rsidR="00C277C6">
          <w:rPr>
            <w:noProof/>
            <w:webHidden/>
          </w:rPr>
        </w:r>
        <w:r w:rsidR="00C277C6">
          <w:rPr>
            <w:noProof/>
            <w:webHidden/>
          </w:rPr>
          <w:fldChar w:fldCharType="separate"/>
        </w:r>
        <w:r w:rsidR="00C277C6">
          <w:rPr>
            <w:noProof/>
            <w:webHidden/>
          </w:rPr>
          <w:t>16</w:t>
        </w:r>
        <w:r w:rsidR="00C277C6">
          <w:rPr>
            <w:noProof/>
            <w:webHidden/>
          </w:rPr>
          <w:fldChar w:fldCharType="end"/>
        </w:r>
      </w:hyperlink>
    </w:p>
    <w:p w14:paraId="329AD18D" w14:textId="7A66A8B6" w:rsidR="00C277C6" w:rsidRDefault="00DC2DF4">
      <w:pPr>
        <w:pStyle w:val="Obsah2"/>
        <w:tabs>
          <w:tab w:val="right" w:leader="dot" w:pos="9062"/>
        </w:tabs>
        <w:rPr>
          <w:rFonts w:eastAsiaTheme="minorEastAsia"/>
          <w:noProof/>
          <w:sz w:val="22"/>
          <w:lang w:eastAsia="sk-SK"/>
        </w:rPr>
      </w:pPr>
      <w:hyperlink w:anchor="_Toc88652918" w:history="1">
        <w:r w:rsidR="00C277C6" w:rsidRPr="00D53B71">
          <w:rPr>
            <w:rStyle w:val="Hypertextovprepojenie"/>
            <w:rFonts w:cstheme="minorHAnsi"/>
            <w:noProof/>
          </w:rPr>
          <w:t>Technický rozsah navrhovanej základnej modernizácie pre I. až III. etapu</w:t>
        </w:r>
        <w:r w:rsidR="00C277C6">
          <w:rPr>
            <w:noProof/>
            <w:webHidden/>
          </w:rPr>
          <w:tab/>
        </w:r>
        <w:r w:rsidR="00C277C6">
          <w:rPr>
            <w:noProof/>
            <w:webHidden/>
          </w:rPr>
          <w:fldChar w:fldCharType="begin"/>
        </w:r>
        <w:r w:rsidR="00C277C6">
          <w:rPr>
            <w:noProof/>
            <w:webHidden/>
          </w:rPr>
          <w:instrText xml:space="preserve"> PAGEREF _Toc88652918 \h </w:instrText>
        </w:r>
        <w:r w:rsidR="00C277C6">
          <w:rPr>
            <w:noProof/>
            <w:webHidden/>
          </w:rPr>
        </w:r>
        <w:r w:rsidR="00C277C6">
          <w:rPr>
            <w:noProof/>
            <w:webHidden/>
          </w:rPr>
          <w:fldChar w:fldCharType="separate"/>
        </w:r>
        <w:r w:rsidR="00C277C6">
          <w:rPr>
            <w:noProof/>
            <w:webHidden/>
          </w:rPr>
          <w:t>17</w:t>
        </w:r>
        <w:r w:rsidR="00C277C6">
          <w:rPr>
            <w:noProof/>
            <w:webHidden/>
          </w:rPr>
          <w:fldChar w:fldCharType="end"/>
        </w:r>
      </w:hyperlink>
    </w:p>
    <w:p w14:paraId="7865CD3C" w14:textId="42DA232B" w:rsidR="00C277C6" w:rsidRDefault="00DC2DF4">
      <w:pPr>
        <w:pStyle w:val="Obsah2"/>
        <w:tabs>
          <w:tab w:val="right" w:leader="dot" w:pos="9062"/>
        </w:tabs>
        <w:rPr>
          <w:rFonts w:eastAsiaTheme="minorEastAsia"/>
          <w:noProof/>
          <w:sz w:val="22"/>
          <w:lang w:eastAsia="sk-SK"/>
        </w:rPr>
      </w:pPr>
      <w:hyperlink w:anchor="_Toc88652919" w:history="1">
        <w:r w:rsidR="00C277C6" w:rsidRPr="00D53B71">
          <w:rPr>
            <w:rStyle w:val="Hypertextovprepojenie"/>
            <w:rFonts w:cstheme="minorHAnsi"/>
            <w:noProof/>
          </w:rPr>
          <w:t>Úspora jazdných časov</w:t>
        </w:r>
        <w:r w:rsidR="00C277C6">
          <w:rPr>
            <w:noProof/>
            <w:webHidden/>
          </w:rPr>
          <w:tab/>
        </w:r>
        <w:r w:rsidR="00C277C6">
          <w:rPr>
            <w:noProof/>
            <w:webHidden/>
          </w:rPr>
          <w:fldChar w:fldCharType="begin"/>
        </w:r>
        <w:r w:rsidR="00C277C6">
          <w:rPr>
            <w:noProof/>
            <w:webHidden/>
          </w:rPr>
          <w:instrText xml:space="preserve"> PAGEREF _Toc88652919 \h </w:instrText>
        </w:r>
        <w:r w:rsidR="00C277C6">
          <w:rPr>
            <w:noProof/>
            <w:webHidden/>
          </w:rPr>
        </w:r>
        <w:r w:rsidR="00C277C6">
          <w:rPr>
            <w:noProof/>
            <w:webHidden/>
          </w:rPr>
          <w:fldChar w:fldCharType="separate"/>
        </w:r>
        <w:r w:rsidR="00C277C6">
          <w:rPr>
            <w:noProof/>
            <w:webHidden/>
          </w:rPr>
          <w:t>18</w:t>
        </w:r>
        <w:r w:rsidR="00C277C6">
          <w:rPr>
            <w:noProof/>
            <w:webHidden/>
          </w:rPr>
          <w:fldChar w:fldCharType="end"/>
        </w:r>
      </w:hyperlink>
    </w:p>
    <w:p w14:paraId="747F6DC8" w14:textId="37D07291" w:rsidR="00C277C6" w:rsidRDefault="00DC2DF4">
      <w:pPr>
        <w:pStyle w:val="Obsah3"/>
        <w:tabs>
          <w:tab w:val="left" w:pos="1100"/>
          <w:tab w:val="right" w:leader="dot" w:pos="9062"/>
        </w:tabs>
        <w:rPr>
          <w:rFonts w:eastAsiaTheme="minorEastAsia"/>
          <w:noProof/>
          <w:sz w:val="22"/>
          <w:lang w:eastAsia="sk-SK"/>
        </w:rPr>
      </w:pPr>
      <w:hyperlink w:anchor="_Toc88652920" w:history="1">
        <w:r w:rsidR="00C277C6" w:rsidRPr="00D53B71">
          <w:rPr>
            <w:rStyle w:val="Hypertextovprepojenie"/>
            <w:rFonts w:cstheme="minorHAnsi"/>
            <w:noProof/>
          </w:rPr>
          <w:t>3.2</w:t>
        </w:r>
        <w:r w:rsidR="00C277C6">
          <w:rPr>
            <w:rFonts w:eastAsiaTheme="minorEastAsia"/>
            <w:noProof/>
            <w:sz w:val="22"/>
            <w:lang w:eastAsia="sk-SK"/>
          </w:rPr>
          <w:tab/>
        </w:r>
        <w:r w:rsidR="00C277C6" w:rsidRPr="00D53B71">
          <w:rPr>
            <w:rStyle w:val="Hypertextovprepojenie"/>
            <w:rFonts w:cstheme="minorHAnsi"/>
            <w:noProof/>
          </w:rPr>
          <w:t>Variant B – MODERNIZÁCIA trate na rýchlosť 120 až 160 km/hod</w:t>
        </w:r>
        <w:r w:rsidR="00C277C6">
          <w:rPr>
            <w:noProof/>
            <w:webHidden/>
          </w:rPr>
          <w:tab/>
        </w:r>
        <w:r w:rsidR="00C277C6">
          <w:rPr>
            <w:noProof/>
            <w:webHidden/>
          </w:rPr>
          <w:fldChar w:fldCharType="begin"/>
        </w:r>
        <w:r w:rsidR="00C277C6">
          <w:rPr>
            <w:noProof/>
            <w:webHidden/>
          </w:rPr>
          <w:instrText xml:space="preserve"> PAGEREF _Toc88652920 \h </w:instrText>
        </w:r>
        <w:r w:rsidR="00C277C6">
          <w:rPr>
            <w:noProof/>
            <w:webHidden/>
          </w:rPr>
        </w:r>
        <w:r w:rsidR="00C277C6">
          <w:rPr>
            <w:noProof/>
            <w:webHidden/>
          </w:rPr>
          <w:fldChar w:fldCharType="separate"/>
        </w:r>
        <w:r w:rsidR="00C277C6">
          <w:rPr>
            <w:noProof/>
            <w:webHidden/>
          </w:rPr>
          <w:t>18</w:t>
        </w:r>
        <w:r w:rsidR="00C277C6">
          <w:rPr>
            <w:noProof/>
            <w:webHidden/>
          </w:rPr>
          <w:fldChar w:fldCharType="end"/>
        </w:r>
      </w:hyperlink>
    </w:p>
    <w:p w14:paraId="57A37C94" w14:textId="51E42B01" w:rsidR="00C277C6" w:rsidRDefault="00DC2DF4">
      <w:pPr>
        <w:pStyle w:val="Obsah2"/>
        <w:tabs>
          <w:tab w:val="left" w:pos="720"/>
          <w:tab w:val="right" w:leader="dot" w:pos="9062"/>
        </w:tabs>
        <w:rPr>
          <w:rFonts w:eastAsiaTheme="minorEastAsia"/>
          <w:noProof/>
          <w:sz w:val="22"/>
          <w:lang w:eastAsia="sk-SK"/>
        </w:rPr>
      </w:pPr>
      <w:hyperlink w:anchor="_Toc88652921" w:history="1">
        <w:r w:rsidR="00C277C6" w:rsidRPr="00D53B71">
          <w:rPr>
            <w:rStyle w:val="Hypertextovprepojenie"/>
            <w:rFonts w:cstheme="minorHAnsi"/>
            <w:noProof/>
          </w:rPr>
          <w:t>1.</w:t>
        </w:r>
        <w:r w:rsidR="00C277C6">
          <w:rPr>
            <w:rFonts w:eastAsiaTheme="minorEastAsia"/>
            <w:noProof/>
            <w:sz w:val="22"/>
            <w:lang w:eastAsia="sk-SK"/>
          </w:rPr>
          <w:tab/>
        </w:r>
        <w:r w:rsidR="00C277C6" w:rsidRPr="00D53B71">
          <w:rPr>
            <w:rStyle w:val="Hypertextovprepojenie"/>
            <w:rFonts w:cstheme="minorHAnsi"/>
            <w:noProof/>
          </w:rPr>
          <w:t>etapa: Krásno nad Kysucou – Čadca (sžkm 269,978 – 278,030)</w:t>
        </w:r>
        <w:r w:rsidR="00C277C6">
          <w:rPr>
            <w:noProof/>
            <w:webHidden/>
          </w:rPr>
          <w:tab/>
        </w:r>
        <w:r w:rsidR="00C277C6">
          <w:rPr>
            <w:noProof/>
            <w:webHidden/>
          </w:rPr>
          <w:fldChar w:fldCharType="begin"/>
        </w:r>
        <w:r w:rsidR="00C277C6">
          <w:rPr>
            <w:noProof/>
            <w:webHidden/>
          </w:rPr>
          <w:instrText xml:space="preserve"> PAGEREF _Toc88652921 \h </w:instrText>
        </w:r>
        <w:r w:rsidR="00C277C6">
          <w:rPr>
            <w:noProof/>
            <w:webHidden/>
          </w:rPr>
        </w:r>
        <w:r w:rsidR="00C277C6">
          <w:rPr>
            <w:noProof/>
            <w:webHidden/>
          </w:rPr>
          <w:fldChar w:fldCharType="separate"/>
        </w:r>
        <w:r w:rsidR="00C277C6">
          <w:rPr>
            <w:noProof/>
            <w:webHidden/>
          </w:rPr>
          <w:t>19</w:t>
        </w:r>
        <w:r w:rsidR="00C277C6">
          <w:rPr>
            <w:noProof/>
            <w:webHidden/>
          </w:rPr>
          <w:fldChar w:fldCharType="end"/>
        </w:r>
      </w:hyperlink>
    </w:p>
    <w:p w14:paraId="35EF1B66" w14:textId="6FA4697D" w:rsidR="00C277C6" w:rsidRDefault="00DC2DF4">
      <w:pPr>
        <w:pStyle w:val="Obsah3"/>
        <w:tabs>
          <w:tab w:val="right" w:leader="dot" w:pos="9062"/>
        </w:tabs>
        <w:rPr>
          <w:rFonts w:eastAsiaTheme="minorEastAsia"/>
          <w:noProof/>
          <w:sz w:val="22"/>
          <w:lang w:eastAsia="sk-SK"/>
        </w:rPr>
      </w:pPr>
      <w:hyperlink w:anchor="_Toc88652922" w:history="1">
        <w:r w:rsidR="00C277C6" w:rsidRPr="00D53B71">
          <w:rPr>
            <w:rStyle w:val="Hypertextovprepojenie"/>
            <w:rFonts w:cstheme="minorHAnsi"/>
            <w:noProof/>
          </w:rPr>
          <w:t>Redukcia investičných nákladov realizácie Tunela Kýčera</w:t>
        </w:r>
        <w:r w:rsidR="00C277C6">
          <w:rPr>
            <w:noProof/>
            <w:webHidden/>
          </w:rPr>
          <w:tab/>
        </w:r>
        <w:r w:rsidR="00C277C6">
          <w:rPr>
            <w:noProof/>
            <w:webHidden/>
          </w:rPr>
          <w:fldChar w:fldCharType="begin"/>
        </w:r>
        <w:r w:rsidR="00C277C6">
          <w:rPr>
            <w:noProof/>
            <w:webHidden/>
          </w:rPr>
          <w:instrText xml:space="preserve"> PAGEREF _Toc88652922 \h </w:instrText>
        </w:r>
        <w:r w:rsidR="00C277C6">
          <w:rPr>
            <w:noProof/>
            <w:webHidden/>
          </w:rPr>
        </w:r>
        <w:r w:rsidR="00C277C6">
          <w:rPr>
            <w:noProof/>
            <w:webHidden/>
          </w:rPr>
          <w:fldChar w:fldCharType="separate"/>
        </w:r>
        <w:r w:rsidR="00C277C6">
          <w:rPr>
            <w:noProof/>
            <w:webHidden/>
          </w:rPr>
          <w:t>22</w:t>
        </w:r>
        <w:r w:rsidR="00C277C6">
          <w:rPr>
            <w:noProof/>
            <w:webHidden/>
          </w:rPr>
          <w:fldChar w:fldCharType="end"/>
        </w:r>
      </w:hyperlink>
    </w:p>
    <w:p w14:paraId="30FAE588" w14:textId="68FEE38C" w:rsidR="00C277C6" w:rsidRDefault="00DC2DF4">
      <w:pPr>
        <w:pStyle w:val="Obsah2"/>
        <w:tabs>
          <w:tab w:val="left" w:pos="720"/>
          <w:tab w:val="right" w:leader="dot" w:pos="9062"/>
        </w:tabs>
        <w:rPr>
          <w:rFonts w:eastAsiaTheme="minorEastAsia"/>
          <w:noProof/>
          <w:sz w:val="22"/>
          <w:lang w:eastAsia="sk-SK"/>
        </w:rPr>
      </w:pPr>
      <w:hyperlink w:anchor="_Toc88652923" w:history="1">
        <w:r w:rsidR="00C277C6" w:rsidRPr="00D53B71">
          <w:rPr>
            <w:rStyle w:val="Hypertextovprepojenie"/>
            <w:rFonts w:cstheme="minorHAnsi"/>
            <w:noProof/>
          </w:rPr>
          <w:t>2.</w:t>
        </w:r>
        <w:r w:rsidR="00C277C6">
          <w:rPr>
            <w:rFonts w:eastAsiaTheme="minorEastAsia"/>
            <w:noProof/>
            <w:sz w:val="22"/>
            <w:lang w:eastAsia="sk-SK"/>
          </w:rPr>
          <w:tab/>
        </w:r>
        <w:r w:rsidR="00C277C6" w:rsidRPr="00D53B71">
          <w:rPr>
            <w:rStyle w:val="Hypertextovprepojenie"/>
            <w:rFonts w:cstheme="minorHAnsi"/>
            <w:noProof/>
          </w:rPr>
          <w:t>etapa: ŽST Čadca</w:t>
        </w:r>
        <w:r w:rsidR="00C277C6">
          <w:rPr>
            <w:noProof/>
            <w:webHidden/>
          </w:rPr>
          <w:tab/>
        </w:r>
        <w:r w:rsidR="00C277C6">
          <w:rPr>
            <w:noProof/>
            <w:webHidden/>
          </w:rPr>
          <w:fldChar w:fldCharType="begin"/>
        </w:r>
        <w:r w:rsidR="00C277C6">
          <w:rPr>
            <w:noProof/>
            <w:webHidden/>
          </w:rPr>
          <w:instrText xml:space="preserve"> PAGEREF _Toc88652923 \h </w:instrText>
        </w:r>
        <w:r w:rsidR="00C277C6">
          <w:rPr>
            <w:noProof/>
            <w:webHidden/>
          </w:rPr>
        </w:r>
        <w:r w:rsidR="00C277C6">
          <w:rPr>
            <w:noProof/>
            <w:webHidden/>
          </w:rPr>
          <w:fldChar w:fldCharType="separate"/>
        </w:r>
        <w:r w:rsidR="00C277C6">
          <w:rPr>
            <w:noProof/>
            <w:webHidden/>
          </w:rPr>
          <w:t>22</w:t>
        </w:r>
        <w:r w:rsidR="00C277C6">
          <w:rPr>
            <w:noProof/>
            <w:webHidden/>
          </w:rPr>
          <w:fldChar w:fldCharType="end"/>
        </w:r>
      </w:hyperlink>
    </w:p>
    <w:p w14:paraId="24446534" w14:textId="754D771A" w:rsidR="00C277C6" w:rsidRDefault="00DC2DF4">
      <w:pPr>
        <w:pStyle w:val="Obsah2"/>
        <w:tabs>
          <w:tab w:val="left" w:pos="720"/>
          <w:tab w:val="right" w:leader="dot" w:pos="9062"/>
        </w:tabs>
        <w:rPr>
          <w:rFonts w:eastAsiaTheme="minorEastAsia"/>
          <w:noProof/>
          <w:sz w:val="22"/>
          <w:lang w:eastAsia="sk-SK"/>
        </w:rPr>
      </w:pPr>
      <w:hyperlink w:anchor="_Toc88652924" w:history="1">
        <w:r w:rsidR="00C277C6" w:rsidRPr="00D53B71">
          <w:rPr>
            <w:rStyle w:val="Hypertextovprepojenie"/>
            <w:rFonts w:cstheme="minorHAnsi"/>
            <w:noProof/>
          </w:rPr>
          <w:t>3.</w:t>
        </w:r>
        <w:r w:rsidR="00C277C6">
          <w:rPr>
            <w:rFonts w:eastAsiaTheme="minorEastAsia"/>
            <w:noProof/>
            <w:sz w:val="22"/>
            <w:lang w:eastAsia="sk-SK"/>
          </w:rPr>
          <w:tab/>
        </w:r>
        <w:r w:rsidR="00C277C6" w:rsidRPr="00D53B71">
          <w:rPr>
            <w:rStyle w:val="Hypertextovprepojenie"/>
            <w:rFonts w:cstheme="minorHAnsi"/>
            <w:noProof/>
          </w:rPr>
          <w:t>etapa: ŽST Čadca (mimo) – št. hr. SR/ČR (žkm 279,150 – 284,340)</w:t>
        </w:r>
        <w:r w:rsidR="00C277C6">
          <w:rPr>
            <w:noProof/>
            <w:webHidden/>
          </w:rPr>
          <w:tab/>
        </w:r>
        <w:r w:rsidR="00C277C6">
          <w:rPr>
            <w:noProof/>
            <w:webHidden/>
          </w:rPr>
          <w:fldChar w:fldCharType="begin"/>
        </w:r>
        <w:r w:rsidR="00C277C6">
          <w:rPr>
            <w:noProof/>
            <w:webHidden/>
          </w:rPr>
          <w:instrText xml:space="preserve"> PAGEREF _Toc88652924 \h </w:instrText>
        </w:r>
        <w:r w:rsidR="00C277C6">
          <w:rPr>
            <w:noProof/>
            <w:webHidden/>
          </w:rPr>
        </w:r>
        <w:r w:rsidR="00C277C6">
          <w:rPr>
            <w:noProof/>
            <w:webHidden/>
          </w:rPr>
          <w:fldChar w:fldCharType="separate"/>
        </w:r>
        <w:r w:rsidR="00C277C6">
          <w:rPr>
            <w:noProof/>
            <w:webHidden/>
          </w:rPr>
          <w:t>23</w:t>
        </w:r>
        <w:r w:rsidR="00C277C6">
          <w:rPr>
            <w:noProof/>
            <w:webHidden/>
          </w:rPr>
          <w:fldChar w:fldCharType="end"/>
        </w:r>
      </w:hyperlink>
    </w:p>
    <w:p w14:paraId="6EEB4AB6" w14:textId="4270D4AF" w:rsidR="00C277C6" w:rsidRDefault="00DC2DF4">
      <w:pPr>
        <w:pStyle w:val="Obsah2"/>
        <w:tabs>
          <w:tab w:val="right" w:leader="dot" w:pos="9062"/>
        </w:tabs>
        <w:rPr>
          <w:rFonts w:eastAsiaTheme="minorEastAsia"/>
          <w:noProof/>
          <w:sz w:val="22"/>
          <w:lang w:eastAsia="sk-SK"/>
        </w:rPr>
      </w:pPr>
      <w:hyperlink w:anchor="_Toc88652925" w:history="1">
        <w:r w:rsidR="00C277C6" w:rsidRPr="00D53B71">
          <w:rPr>
            <w:rStyle w:val="Hypertextovprepojenie"/>
            <w:rFonts w:cstheme="minorHAnsi"/>
            <w:noProof/>
          </w:rPr>
          <w:t>Úspora jazdných časov</w:t>
        </w:r>
        <w:r w:rsidR="00C277C6">
          <w:rPr>
            <w:noProof/>
            <w:webHidden/>
          </w:rPr>
          <w:tab/>
        </w:r>
        <w:r w:rsidR="00C277C6">
          <w:rPr>
            <w:noProof/>
            <w:webHidden/>
          </w:rPr>
          <w:fldChar w:fldCharType="begin"/>
        </w:r>
        <w:r w:rsidR="00C277C6">
          <w:rPr>
            <w:noProof/>
            <w:webHidden/>
          </w:rPr>
          <w:instrText xml:space="preserve"> PAGEREF _Toc88652925 \h </w:instrText>
        </w:r>
        <w:r w:rsidR="00C277C6">
          <w:rPr>
            <w:noProof/>
            <w:webHidden/>
          </w:rPr>
        </w:r>
        <w:r w:rsidR="00C277C6">
          <w:rPr>
            <w:noProof/>
            <w:webHidden/>
          </w:rPr>
          <w:fldChar w:fldCharType="separate"/>
        </w:r>
        <w:r w:rsidR="00C277C6">
          <w:rPr>
            <w:noProof/>
            <w:webHidden/>
          </w:rPr>
          <w:t>25</w:t>
        </w:r>
        <w:r w:rsidR="00C277C6">
          <w:rPr>
            <w:noProof/>
            <w:webHidden/>
          </w:rPr>
          <w:fldChar w:fldCharType="end"/>
        </w:r>
      </w:hyperlink>
    </w:p>
    <w:p w14:paraId="539E2B9E" w14:textId="79870EF0" w:rsidR="00C277C6" w:rsidRDefault="00DC2DF4">
      <w:pPr>
        <w:pStyle w:val="Obsah3"/>
        <w:tabs>
          <w:tab w:val="left" w:pos="1100"/>
          <w:tab w:val="right" w:leader="dot" w:pos="9062"/>
        </w:tabs>
        <w:rPr>
          <w:rFonts w:eastAsiaTheme="minorEastAsia"/>
          <w:noProof/>
          <w:sz w:val="22"/>
          <w:lang w:eastAsia="sk-SK"/>
        </w:rPr>
      </w:pPr>
      <w:hyperlink w:anchor="_Toc88652926" w:history="1">
        <w:r w:rsidR="00C277C6" w:rsidRPr="00D53B71">
          <w:rPr>
            <w:rStyle w:val="Hypertextovprepojenie"/>
            <w:rFonts w:cstheme="minorHAnsi"/>
            <w:noProof/>
          </w:rPr>
          <w:t>3.3</w:t>
        </w:r>
        <w:r w:rsidR="00C277C6">
          <w:rPr>
            <w:rFonts w:eastAsiaTheme="minorEastAsia"/>
            <w:noProof/>
            <w:sz w:val="22"/>
            <w:lang w:eastAsia="sk-SK"/>
          </w:rPr>
          <w:tab/>
        </w:r>
        <w:r w:rsidR="00C277C6" w:rsidRPr="00D53B71">
          <w:rPr>
            <w:rStyle w:val="Hypertextovprepojenie"/>
            <w:rFonts w:cstheme="minorHAnsi"/>
            <w:noProof/>
          </w:rPr>
          <w:t>Variant C – KOMBINOVANÝ – Optimalizácia trate</w:t>
        </w:r>
        <w:r w:rsidR="00C277C6">
          <w:rPr>
            <w:noProof/>
            <w:webHidden/>
          </w:rPr>
          <w:tab/>
        </w:r>
        <w:r w:rsidR="00C277C6">
          <w:rPr>
            <w:noProof/>
            <w:webHidden/>
          </w:rPr>
          <w:fldChar w:fldCharType="begin"/>
        </w:r>
        <w:r w:rsidR="00C277C6">
          <w:rPr>
            <w:noProof/>
            <w:webHidden/>
          </w:rPr>
          <w:instrText xml:space="preserve"> PAGEREF _Toc88652926 \h </w:instrText>
        </w:r>
        <w:r w:rsidR="00C277C6">
          <w:rPr>
            <w:noProof/>
            <w:webHidden/>
          </w:rPr>
        </w:r>
        <w:r w:rsidR="00C277C6">
          <w:rPr>
            <w:noProof/>
            <w:webHidden/>
          </w:rPr>
          <w:fldChar w:fldCharType="separate"/>
        </w:r>
        <w:r w:rsidR="00C277C6">
          <w:rPr>
            <w:noProof/>
            <w:webHidden/>
          </w:rPr>
          <w:t>25</w:t>
        </w:r>
        <w:r w:rsidR="00C277C6">
          <w:rPr>
            <w:noProof/>
            <w:webHidden/>
          </w:rPr>
          <w:fldChar w:fldCharType="end"/>
        </w:r>
      </w:hyperlink>
    </w:p>
    <w:p w14:paraId="75FC1DD8" w14:textId="16DBD4F2" w:rsidR="00C277C6" w:rsidRDefault="00DC2DF4">
      <w:pPr>
        <w:pStyle w:val="Obsah1"/>
        <w:rPr>
          <w:rFonts w:eastAsiaTheme="minorEastAsia"/>
          <w:b w:val="0"/>
          <w:lang w:eastAsia="sk-SK"/>
        </w:rPr>
      </w:pPr>
      <w:hyperlink w:anchor="_Toc88652927" w:history="1">
        <w:r w:rsidR="00C277C6" w:rsidRPr="00D53B71">
          <w:rPr>
            <w:rStyle w:val="Hypertextovprepojenie"/>
            <w:rFonts w:cstheme="minorHAnsi"/>
          </w:rPr>
          <w:t>4.</w:t>
        </w:r>
        <w:r w:rsidR="00C277C6">
          <w:rPr>
            <w:rFonts w:eastAsiaTheme="minorEastAsia"/>
            <w:b w:val="0"/>
            <w:lang w:eastAsia="sk-SK"/>
          </w:rPr>
          <w:tab/>
        </w:r>
        <w:r w:rsidR="00C277C6" w:rsidRPr="00D53B71">
          <w:rPr>
            <w:rStyle w:val="Hypertextovprepojenie"/>
            <w:rFonts w:cstheme="minorHAnsi"/>
            <w:caps/>
          </w:rPr>
          <w:t>Posúdenie odolnosti projektu voči dôsledkom zmeny klímy</w:t>
        </w:r>
        <w:r w:rsidR="00C277C6">
          <w:rPr>
            <w:webHidden/>
          </w:rPr>
          <w:tab/>
        </w:r>
        <w:r w:rsidR="00C277C6">
          <w:rPr>
            <w:webHidden/>
          </w:rPr>
          <w:fldChar w:fldCharType="begin"/>
        </w:r>
        <w:r w:rsidR="00C277C6">
          <w:rPr>
            <w:webHidden/>
          </w:rPr>
          <w:instrText xml:space="preserve"> PAGEREF _Toc88652927 \h </w:instrText>
        </w:r>
        <w:r w:rsidR="00C277C6">
          <w:rPr>
            <w:webHidden/>
          </w:rPr>
        </w:r>
        <w:r w:rsidR="00C277C6">
          <w:rPr>
            <w:webHidden/>
          </w:rPr>
          <w:fldChar w:fldCharType="separate"/>
        </w:r>
        <w:r w:rsidR="00C277C6">
          <w:rPr>
            <w:webHidden/>
          </w:rPr>
          <w:t>27</w:t>
        </w:r>
        <w:r w:rsidR="00C277C6">
          <w:rPr>
            <w:webHidden/>
          </w:rPr>
          <w:fldChar w:fldCharType="end"/>
        </w:r>
      </w:hyperlink>
    </w:p>
    <w:p w14:paraId="6411D251" w14:textId="7594BFDA" w:rsidR="00C277C6" w:rsidRDefault="00DC2DF4">
      <w:pPr>
        <w:pStyle w:val="Obsah2"/>
        <w:tabs>
          <w:tab w:val="right" w:leader="dot" w:pos="9062"/>
        </w:tabs>
        <w:rPr>
          <w:rFonts w:eastAsiaTheme="minorEastAsia"/>
          <w:noProof/>
          <w:sz w:val="22"/>
          <w:lang w:eastAsia="sk-SK"/>
        </w:rPr>
      </w:pPr>
      <w:hyperlink w:anchor="_Toc88652928" w:history="1">
        <w:r w:rsidR="00C277C6" w:rsidRPr="00D53B71">
          <w:rPr>
            <w:rStyle w:val="Hypertextovprepojenie"/>
            <w:noProof/>
          </w:rPr>
          <w:t>Hodnotené varianty projektu:</w:t>
        </w:r>
        <w:r w:rsidR="00C277C6">
          <w:rPr>
            <w:noProof/>
            <w:webHidden/>
          </w:rPr>
          <w:tab/>
        </w:r>
        <w:r w:rsidR="00C277C6">
          <w:rPr>
            <w:noProof/>
            <w:webHidden/>
          </w:rPr>
          <w:fldChar w:fldCharType="begin"/>
        </w:r>
        <w:r w:rsidR="00C277C6">
          <w:rPr>
            <w:noProof/>
            <w:webHidden/>
          </w:rPr>
          <w:instrText xml:space="preserve"> PAGEREF _Toc88652928 \h </w:instrText>
        </w:r>
        <w:r w:rsidR="00C277C6">
          <w:rPr>
            <w:noProof/>
            <w:webHidden/>
          </w:rPr>
        </w:r>
        <w:r w:rsidR="00C277C6">
          <w:rPr>
            <w:noProof/>
            <w:webHidden/>
          </w:rPr>
          <w:fldChar w:fldCharType="separate"/>
        </w:r>
        <w:r w:rsidR="00C277C6">
          <w:rPr>
            <w:noProof/>
            <w:webHidden/>
          </w:rPr>
          <w:t>27</w:t>
        </w:r>
        <w:r w:rsidR="00C277C6">
          <w:rPr>
            <w:noProof/>
            <w:webHidden/>
          </w:rPr>
          <w:fldChar w:fldCharType="end"/>
        </w:r>
      </w:hyperlink>
    </w:p>
    <w:p w14:paraId="1ABE482B" w14:textId="65589A1E" w:rsidR="00C277C6" w:rsidRDefault="00DC2DF4">
      <w:pPr>
        <w:pStyle w:val="Obsah2"/>
        <w:tabs>
          <w:tab w:val="right" w:leader="dot" w:pos="9062"/>
        </w:tabs>
        <w:rPr>
          <w:rFonts w:eastAsiaTheme="minorEastAsia"/>
          <w:noProof/>
          <w:sz w:val="22"/>
          <w:lang w:eastAsia="sk-SK"/>
        </w:rPr>
      </w:pPr>
      <w:hyperlink w:anchor="_Toc88652929" w:history="1">
        <w:r w:rsidR="00C277C6" w:rsidRPr="00D53B71">
          <w:rPr>
            <w:rStyle w:val="Hypertextovprepojenie"/>
            <w:noProof/>
          </w:rPr>
          <w:t>Analýza citlivosti projektu na klimatické rizikové javy:</w:t>
        </w:r>
        <w:r w:rsidR="00C277C6">
          <w:rPr>
            <w:noProof/>
            <w:webHidden/>
          </w:rPr>
          <w:tab/>
        </w:r>
        <w:r w:rsidR="00C277C6">
          <w:rPr>
            <w:noProof/>
            <w:webHidden/>
          </w:rPr>
          <w:fldChar w:fldCharType="begin"/>
        </w:r>
        <w:r w:rsidR="00C277C6">
          <w:rPr>
            <w:noProof/>
            <w:webHidden/>
          </w:rPr>
          <w:instrText xml:space="preserve"> PAGEREF _Toc88652929 \h </w:instrText>
        </w:r>
        <w:r w:rsidR="00C277C6">
          <w:rPr>
            <w:noProof/>
            <w:webHidden/>
          </w:rPr>
        </w:r>
        <w:r w:rsidR="00C277C6">
          <w:rPr>
            <w:noProof/>
            <w:webHidden/>
          </w:rPr>
          <w:fldChar w:fldCharType="separate"/>
        </w:r>
        <w:r w:rsidR="00C277C6">
          <w:rPr>
            <w:noProof/>
            <w:webHidden/>
          </w:rPr>
          <w:t>27</w:t>
        </w:r>
        <w:r w:rsidR="00C277C6">
          <w:rPr>
            <w:noProof/>
            <w:webHidden/>
          </w:rPr>
          <w:fldChar w:fldCharType="end"/>
        </w:r>
      </w:hyperlink>
    </w:p>
    <w:p w14:paraId="10E34BD4" w14:textId="7561F8CA" w:rsidR="00C277C6" w:rsidRDefault="00DC2DF4">
      <w:pPr>
        <w:pStyle w:val="Obsah2"/>
        <w:tabs>
          <w:tab w:val="right" w:leader="dot" w:pos="9062"/>
        </w:tabs>
        <w:rPr>
          <w:rFonts w:eastAsiaTheme="minorEastAsia"/>
          <w:noProof/>
          <w:sz w:val="22"/>
          <w:lang w:eastAsia="sk-SK"/>
        </w:rPr>
      </w:pPr>
      <w:hyperlink w:anchor="_Toc88652930" w:history="1">
        <w:r w:rsidR="00C277C6" w:rsidRPr="00D53B71">
          <w:rPr>
            <w:rStyle w:val="Hypertextovprepojenie"/>
            <w:noProof/>
          </w:rPr>
          <w:t>Analýza expozície a vývoja rizikových klimatických javov:</w:t>
        </w:r>
        <w:r w:rsidR="00C277C6">
          <w:rPr>
            <w:noProof/>
            <w:webHidden/>
          </w:rPr>
          <w:tab/>
        </w:r>
        <w:r w:rsidR="00C277C6">
          <w:rPr>
            <w:noProof/>
            <w:webHidden/>
          </w:rPr>
          <w:fldChar w:fldCharType="begin"/>
        </w:r>
        <w:r w:rsidR="00C277C6">
          <w:rPr>
            <w:noProof/>
            <w:webHidden/>
          </w:rPr>
          <w:instrText xml:space="preserve"> PAGEREF _Toc88652930 \h </w:instrText>
        </w:r>
        <w:r w:rsidR="00C277C6">
          <w:rPr>
            <w:noProof/>
            <w:webHidden/>
          </w:rPr>
        </w:r>
        <w:r w:rsidR="00C277C6">
          <w:rPr>
            <w:noProof/>
            <w:webHidden/>
          </w:rPr>
          <w:fldChar w:fldCharType="separate"/>
        </w:r>
        <w:r w:rsidR="00C277C6">
          <w:rPr>
            <w:noProof/>
            <w:webHidden/>
          </w:rPr>
          <w:t>29</w:t>
        </w:r>
        <w:r w:rsidR="00C277C6">
          <w:rPr>
            <w:noProof/>
            <w:webHidden/>
          </w:rPr>
          <w:fldChar w:fldCharType="end"/>
        </w:r>
      </w:hyperlink>
    </w:p>
    <w:p w14:paraId="7AE0ABF3" w14:textId="5A3FD547" w:rsidR="00C277C6" w:rsidRDefault="00DC2DF4">
      <w:pPr>
        <w:pStyle w:val="Obsah2"/>
        <w:tabs>
          <w:tab w:val="right" w:leader="dot" w:pos="9062"/>
        </w:tabs>
        <w:rPr>
          <w:rFonts w:eastAsiaTheme="minorEastAsia"/>
          <w:noProof/>
          <w:sz w:val="22"/>
          <w:lang w:eastAsia="sk-SK"/>
        </w:rPr>
      </w:pPr>
      <w:hyperlink w:anchor="_Toc88652931" w:history="1">
        <w:r w:rsidR="00C277C6" w:rsidRPr="00D53B71">
          <w:rPr>
            <w:rStyle w:val="Hypertextovprepojenie"/>
            <w:noProof/>
          </w:rPr>
          <w:t>Posúdenie zraniteľnosti projektu:</w:t>
        </w:r>
        <w:r w:rsidR="00C277C6">
          <w:rPr>
            <w:noProof/>
            <w:webHidden/>
          </w:rPr>
          <w:tab/>
        </w:r>
        <w:r w:rsidR="00C277C6">
          <w:rPr>
            <w:noProof/>
            <w:webHidden/>
          </w:rPr>
          <w:fldChar w:fldCharType="begin"/>
        </w:r>
        <w:r w:rsidR="00C277C6">
          <w:rPr>
            <w:noProof/>
            <w:webHidden/>
          </w:rPr>
          <w:instrText xml:space="preserve"> PAGEREF _Toc88652931 \h </w:instrText>
        </w:r>
        <w:r w:rsidR="00C277C6">
          <w:rPr>
            <w:noProof/>
            <w:webHidden/>
          </w:rPr>
        </w:r>
        <w:r w:rsidR="00C277C6">
          <w:rPr>
            <w:noProof/>
            <w:webHidden/>
          </w:rPr>
          <w:fldChar w:fldCharType="separate"/>
        </w:r>
        <w:r w:rsidR="00C277C6">
          <w:rPr>
            <w:noProof/>
            <w:webHidden/>
          </w:rPr>
          <w:t>38</w:t>
        </w:r>
        <w:r w:rsidR="00C277C6">
          <w:rPr>
            <w:noProof/>
            <w:webHidden/>
          </w:rPr>
          <w:fldChar w:fldCharType="end"/>
        </w:r>
      </w:hyperlink>
    </w:p>
    <w:p w14:paraId="1831825D" w14:textId="24D57C85" w:rsidR="00C277C6" w:rsidRDefault="00DC2DF4">
      <w:pPr>
        <w:pStyle w:val="Obsah2"/>
        <w:tabs>
          <w:tab w:val="right" w:leader="dot" w:pos="9062"/>
        </w:tabs>
        <w:rPr>
          <w:rFonts w:eastAsiaTheme="minorEastAsia"/>
          <w:noProof/>
          <w:sz w:val="22"/>
          <w:lang w:eastAsia="sk-SK"/>
        </w:rPr>
      </w:pPr>
      <w:hyperlink w:anchor="_Toc88652932" w:history="1">
        <w:r w:rsidR="00C277C6" w:rsidRPr="00D53B71">
          <w:rPr>
            <w:rStyle w:val="Hypertextovprepojenie"/>
            <w:noProof/>
          </w:rPr>
          <w:t>Posúdenie miery rizika a návrh adaptačných opatrení:</w:t>
        </w:r>
        <w:r w:rsidR="00C277C6">
          <w:rPr>
            <w:noProof/>
            <w:webHidden/>
          </w:rPr>
          <w:tab/>
        </w:r>
        <w:r w:rsidR="00C277C6">
          <w:rPr>
            <w:noProof/>
            <w:webHidden/>
          </w:rPr>
          <w:fldChar w:fldCharType="begin"/>
        </w:r>
        <w:r w:rsidR="00C277C6">
          <w:rPr>
            <w:noProof/>
            <w:webHidden/>
          </w:rPr>
          <w:instrText xml:space="preserve"> PAGEREF _Toc88652932 \h </w:instrText>
        </w:r>
        <w:r w:rsidR="00C277C6">
          <w:rPr>
            <w:noProof/>
            <w:webHidden/>
          </w:rPr>
        </w:r>
        <w:r w:rsidR="00C277C6">
          <w:rPr>
            <w:noProof/>
            <w:webHidden/>
          </w:rPr>
          <w:fldChar w:fldCharType="separate"/>
        </w:r>
        <w:r w:rsidR="00C277C6">
          <w:rPr>
            <w:noProof/>
            <w:webHidden/>
          </w:rPr>
          <w:t>39</w:t>
        </w:r>
        <w:r w:rsidR="00C277C6">
          <w:rPr>
            <w:noProof/>
            <w:webHidden/>
          </w:rPr>
          <w:fldChar w:fldCharType="end"/>
        </w:r>
      </w:hyperlink>
    </w:p>
    <w:p w14:paraId="3E62F1A4" w14:textId="79F2D403" w:rsidR="00C277C6" w:rsidRDefault="00DC2DF4">
      <w:pPr>
        <w:pStyle w:val="Obsah2"/>
        <w:tabs>
          <w:tab w:val="right" w:leader="dot" w:pos="9062"/>
        </w:tabs>
        <w:rPr>
          <w:rFonts w:eastAsiaTheme="minorEastAsia"/>
          <w:noProof/>
          <w:sz w:val="22"/>
          <w:lang w:eastAsia="sk-SK"/>
        </w:rPr>
      </w:pPr>
      <w:hyperlink w:anchor="_Toc88652933" w:history="1">
        <w:r w:rsidR="00C277C6" w:rsidRPr="00D53B71">
          <w:rPr>
            <w:rStyle w:val="Hypertextovprepojenie"/>
            <w:noProof/>
          </w:rPr>
          <w:t>Neurčitosti a nedostatky hodnotenia</w:t>
        </w:r>
        <w:r w:rsidR="00C277C6">
          <w:rPr>
            <w:noProof/>
            <w:webHidden/>
          </w:rPr>
          <w:tab/>
        </w:r>
        <w:r w:rsidR="00C277C6">
          <w:rPr>
            <w:noProof/>
            <w:webHidden/>
          </w:rPr>
          <w:fldChar w:fldCharType="begin"/>
        </w:r>
        <w:r w:rsidR="00C277C6">
          <w:rPr>
            <w:noProof/>
            <w:webHidden/>
          </w:rPr>
          <w:instrText xml:space="preserve"> PAGEREF _Toc88652933 \h </w:instrText>
        </w:r>
        <w:r w:rsidR="00C277C6">
          <w:rPr>
            <w:noProof/>
            <w:webHidden/>
          </w:rPr>
        </w:r>
        <w:r w:rsidR="00C277C6">
          <w:rPr>
            <w:noProof/>
            <w:webHidden/>
          </w:rPr>
          <w:fldChar w:fldCharType="separate"/>
        </w:r>
        <w:r w:rsidR="00C277C6">
          <w:rPr>
            <w:noProof/>
            <w:webHidden/>
          </w:rPr>
          <w:t>42</w:t>
        </w:r>
        <w:r w:rsidR="00C277C6">
          <w:rPr>
            <w:noProof/>
            <w:webHidden/>
          </w:rPr>
          <w:fldChar w:fldCharType="end"/>
        </w:r>
      </w:hyperlink>
    </w:p>
    <w:p w14:paraId="74DD01D5" w14:textId="581C78CD" w:rsidR="00C277C6" w:rsidRDefault="00DC2DF4">
      <w:pPr>
        <w:pStyle w:val="Obsah2"/>
        <w:tabs>
          <w:tab w:val="right" w:leader="dot" w:pos="9062"/>
        </w:tabs>
        <w:rPr>
          <w:rFonts w:eastAsiaTheme="minorEastAsia"/>
          <w:noProof/>
          <w:sz w:val="22"/>
          <w:lang w:eastAsia="sk-SK"/>
        </w:rPr>
      </w:pPr>
      <w:hyperlink w:anchor="_Toc88652934" w:history="1">
        <w:r w:rsidR="00C277C6" w:rsidRPr="00D53B71">
          <w:rPr>
            <w:rStyle w:val="Hypertextovprepojenie"/>
            <w:noProof/>
          </w:rPr>
          <w:t>Využité zdroje</w:t>
        </w:r>
        <w:r w:rsidR="00C277C6">
          <w:rPr>
            <w:noProof/>
            <w:webHidden/>
          </w:rPr>
          <w:tab/>
        </w:r>
        <w:r w:rsidR="00C277C6">
          <w:rPr>
            <w:noProof/>
            <w:webHidden/>
          </w:rPr>
          <w:fldChar w:fldCharType="begin"/>
        </w:r>
        <w:r w:rsidR="00C277C6">
          <w:rPr>
            <w:noProof/>
            <w:webHidden/>
          </w:rPr>
          <w:instrText xml:space="preserve"> PAGEREF _Toc88652934 \h </w:instrText>
        </w:r>
        <w:r w:rsidR="00C277C6">
          <w:rPr>
            <w:noProof/>
            <w:webHidden/>
          </w:rPr>
        </w:r>
        <w:r w:rsidR="00C277C6">
          <w:rPr>
            <w:noProof/>
            <w:webHidden/>
          </w:rPr>
          <w:fldChar w:fldCharType="separate"/>
        </w:r>
        <w:r w:rsidR="00C277C6">
          <w:rPr>
            <w:noProof/>
            <w:webHidden/>
          </w:rPr>
          <w:t>43</w:t>
        </w:r>
        <w:r w:rsidR="00C277C6">
          <w:rPr>
            <w:noProof/>
            <w:webHidden/>
          </w:rPr>
          <w:fldChar w:fldCharType="end"/>
        </w:r>
      </w:hyperlink>
    </w:p>
    <w:p w14:paraId="5D9C3FBD" w14:textId="1E5D4415" w:rsidR="00C277C6" w:rsidRDefault="00DC2DF4">
      <w:pPr>
        <w:pStyle w:val="Obsah2"/>
        <w:tabs>
          <w:tab w:val="right" w:leader="dot" w:pos="9062"/>
        </w:tabs>
        <w:rPr>
          <w:rFonts w:eastAsiaTheme="minorEastAsia"/>
          <w:noProof/>
          <w:sz w:val="22"/>
          <w:lang w:eastAsia="sk-SK"/>
        </w:rPr>
      </w:pPr>
      <w:hyperlink w:anchor="_Toc88652935" w:history="1">
        <w:r w:rsidR="00C277C6" w:rsidRPr="00D53B71">
          <w:rPr>
            <w:rStyle w:val="Hypertextovprepojenie"/>
            <w:noProof/>
          </w:rPr>
          <w:t>Navrhované adaptačné opatrenia pre zmiernenie rizík vyplývajúcich z klimatickej zmeny</w:t>
        </w:r>
        <w:r w:rsidR="00C277C6">
          <w:rPr>
            <w:noProof/>
            <w:webHidden/>
          </w:rPr>
          <w:tab/>
        </w:r>
        <w:r w:rsidR="00C277C6">
          <w:rPr>
            <w:noProof/>
            <w:webHidden/>
          </w:rPr>
          <w:fldChar w:fldCharType="begin"/>
        </w:r>
        <w:r w:rsidR="00C277C6">
          <w:rPr>
            <w:noProof/>
            <w:webHidden/>
          </w:rPr>
          <w:instrText xml:space="preserve"> PAGEREF _Toc88652935 \h </w:instrText>
        </w:r>
        <w:r w:rsidR="00C277C6">
          <w:rPr>
            <w:noProof/>
            <w:webHidden/>
          </w:rPr>
        </w:r>
        <w:r w:rsidR="00C277C6">
          <w:rPr>
            <w:noProof/>
            <w:webHidden/>
          </w:rPr>
          <w:fldChar w:fldCharType="separate"/>
        </w:r>
        <w:r w:rsidR="00C277C6">
          <w:rPr>
            <w:noProof/>
            <w:webHidden/>
          </w:rPr>
          <w:t>43</w:t>
        </w:r>
        <w:r w:rsidR="00C277C6">
          <w:rPr>
            <w:noProof/>
            <w:webHidden/>
          </w:rPr>
          <w:fldChar w:fldCharType="end"/>
        </w:r>
      </w:hyperlink>
    </w:p>
    <w:p w14:paraId="4E461D23" w14:textId="1645BC9F" w:rsidR="00C277C6" w:rsidRDefault="00DC2DF4">
      <w:pPr>
        <w:pStyle w:val="Obsah1"/>
        <w:rPr>
          <w:rFonts w:eastAsiaTheme="minorEastAsia"/>
          <w:b w:val="0"/>
          <w:lang w:eastAsia="sk-SK"/>
        </w:rPr>
      </w:pPr>
      <w:hyperlink w:anchor="_Toc88652936" w:history="1">
        <w:r w:rsidR="00C277C6" w:rsidRPr="00D53B71">
          <w:rPr>
            <w:rStyle w:val="Hypertextovprepojenie"/>
            <w:rFonts w:cstheme="minorHAnsi"/>
            <w:caps/>
          </w:rPr>
          <w:t>5.</w:t>
        </w:r>
        <w:r w:rsidR="00C277C6">
          <w:rPr>
            <w:rFonts w:eastAsiaTheme="minorEastAsia"/>
            <w:b w:val="0"/>
            <w:lang w:eastAsia="sk-SK"/>
          </w:rPr>
          <w:tab/>
        </w:r>
        <w:r w:rsidR="00C277C6" w:rsidRPr="00D53B71">
          <w:rPr>
            <w:rStyle w:val="Hypertextovprepojenie"/>
            <w:rFonts w:cstheme="minorHAnsi"/>
            <w:caps/>
          </w:rPr>
          <w:t>Analýza vzťahov k životnému prostrediu</w:t>
        </w:r>
        <w:r w:rsidR="00C277C6">
          <w:rPr>
            <w:webHidden/>
          </w:rPr>
          <w:tab/>
        </w:r>
        <w:r w:rsidR="00C277C6">
          <w:rPr>
            <w:webHidden/>
          </w:rPr>
          <w:fldChar w:fldCharType="begin"/>
        </w:r>
        <w:r w:rsidR="00C277C6">
          <w:rPr>
            <w:webHidden/>
          </w:rPr>
          <w:instrText xml:space="preserve"> PAGEREF _Toc88652936 \h </w:instrText>
        </w:r>
        <w:r w:rsidR="00C277C6">
          <w:rPr>
            <w:webHidden/>
          </w:rPr>
        </w:r>
        <w:r w:rsidR="00C277C6">
          <w:rPr>
            <w:webHidden/>
          </w:rPr>
          <w:fldChar w:fldCharType="separate"/>
        </w:r>
        <w:r w:rsidR="00C277C6">
          <w:rPr>
            <w:webHidden/>
          </w:rPr>
          <w:t>45</w:t>
        </w:r>
        <w:r w:rsidR="00C277C6">
          <w:rPr>
            <w:webHidden/>
          </w:rPr>
          <w:fldChar w:fldCharType="end"/>
        </w:r>
      </w:hyperlink>
    </w:p>
    <w:p w14:paraId="72D89BA2" w14:textId="2D5BD51A" w:rsidR="00C277C6" w:rsidRDefault="00DC2DF4">
      <w:pPr>
        <w:pStyle w:val="Obsah2"/>
        <w:tabs>
          <w:tab w:val="right" w:leader="dot" w:pos="9062"/>
        </w:tabs>
        <w:rPr>
          <w:rFonts w:eastAsiaTheme="minorEastAsia"/>
          <w:noProof/>
          <w:sz w:val="22"/>
          <w:lang w:eastAsia="sk-SK"/>
        </w:rPr>
      </w:pPr>
      <w:hyperlink w:anchor="_Toc88652937" w:history="1">
        <w:r w:rsidR="00C277C6" w:rsidRPr="00D53B71">
          <w:rPr>
            <w:rStyle w:val="Hypertextovprepojenie"/>
            <w:rFonts w:cstheme="minorHAnsi"/>
            <w:noProof/>
          </w:rPr>
          <w:t>Obyvateľstvo a obsadenosť územia</w:t>
        </w:r>
        <w:r w:rsidR="00C277C6">
          <w:rPr>
            <w:noProof/>
            <w:webHidden/>
          </w:rPr>
          <w:tab/>
        </w:r>
        <w:r w:rsidR="00C277C6">
          <w:rPr>
            <w:noProof/>
            <w:webHidden/>
          </w:rPr>
          <w:fldChar w:fldCharType="begin"/>
        </w:r>
        <w:r w:rsidR="00C277C6">
          <w:rPr>
            <w:noProof/>
            <w:webHidden/>
          </w:rPr>
          <w:instrText xml:space="preserve"> PAGEREF _Toc88652937 \h </w:instrText>
        </w:r>
        <w:r w:rsidR="00C277C6">
          <w:rPr>
            <w:noProof/>
            <w:webHidden/>
          </w:rPr>
        </w:r>
        <w:r w:rsidR="00C277C6">
          <w:rPr>
            <w:noProof/>
            <w:webHidden/>
          </w:rPr>
          <w:fldChar w:fldCharType="separate"/>
        </w:r>
        <w:r w:rsidR="00C277C6">
          <w:rPr>
            <w:noProof/>
            <w:webHidden/>
          </w:rPr>
          <w:t>45</w:t>
        </w:r>
        <w:r w:rsidR="00C277C6">
          <w:rPr>
            <w:noProof/>
            <w:webHidden/>
          </w:rPr>
          <w:fldChar w:fldCharType="end"/>
        </w:r>
      </w:hyperlink>
    </w:p>
    <w:p w14:paraId="7AD78079" w14:textId="776FBAC9" w:rsidR="00C277C6" w:rsidRDefault="00DC2DF4">
      <w:pPr>
        <w:pStyle w:val="Obsah2"/>
        <w:tabs>
          <w:tab w:val="right" w:leader="dot" w:pos="9062"/>
        </w:tabs>
        <w:rPr>
          <w:rFonts w:eastAsiaTheme="minorEastAsia"/>
          <w:noProof/>
          <w:sz w:val="22"/>
          <w:lang w:eastAsia="sk-SK"/>
        </w:rPr>
      </w:pPr>
      <w:hyperlink w:anchor="_Toc88652938" w:history="1">
        <w:r w:rsidR="00C277C6" w:rsidRPr="00D53B71">
          <w:rPr>
            <w:rStyle w:val="Hypertextovprepojenie"/>
            <w:rFonts w:cstheme="minorHAnsi"/>
            <w:noProof/>
          </w:rPr>
          <w:t>Geomorfologické pomery</w:t>
        </w:r>
        <w:r w:rsidR="00C277C6">
          <w:rPr>
            <w:noProof/>
            <w:webHidden/>
          </w:rPr>
          <w:tab/>
        </w:r>
        <w:r w:rsidR="00C277C6">
          <w:rPr>
            <w:noProof/>
            <w:webHidden/>
          </w:rPr>
          <w:fldChar w:fldCharType="begin"/>
        </w:r>
        <w:r w:rsidR="00C277C6">
          <w:rPr>
            <w:noProof/>
            <w:webHidden/>
          </w:rPr>
          <w:instrText xml:space="preserve"> PAGEREF _Toc88652938 \h </w:instrText>
        </w:r>
        <w:r w:rsidR="00C277C6">
          <w:rPr>
            <w:noProof/>
            <w:webHidden/>
          </w:rPr>
        </w:r>
        <w:r w:rsidR="00C277C6">
          <w:rPr>
            <w:noProof/>
            <w:webHidden/>
          </w:rPr>
          <w:fldChar w:fldCharType="separate"/>
        </w:r>
        <w:r w:rsidR="00C277C6">
          <w:rPr>
            <w:noProof/>
            <w:webHidden/>
          </w:rPr>
          <w:t>45</w:t>
        </w:r>
        <w:r w:rsidR="00C277C6">
          <w:rPr>
            <w:noProof/>
            <w:webHidden/>
          </w:rPr>
          <w:fldChar w:fldCharType="end"/>
        </w:r>
      </w:hyperlink>
    </w:p>
    <w:p w14:paraId="38688E14" w14:textId="0A26E2E5" w:rsidR="00C277C6" w:rsidRDefault="00DC2DF4">
      <w:pPr>
        <w:pStyle w:val="Obsah2"/>
        <w:tabs>
          <w:tab w:val="right" w:leader="dot" w:pos="9062"/>
        </w:tabs>
        <w:rPr>
          <w:rFonts w:eastAsiaTheme="minorEastAsia"/>
          <w:noProof/>
          <w:sz w:val="22"/>
          <w:lang w:eastAsia="sk-SK"/>
        </w:rPr>
      </w:pPr>
      <w:hyperlink w:anchor="_Toc88652939" w:history="1">
        <w:r w:rsidR="00C277C6" w:rsidRPr="00D53B71">
          <w:rPr>
            <w:rStyle w:val="Hypertextovprepojenie"/>
            <w:rFonts w:cstheme="minorHAnsi"/>
            <w:noProof/>
          </w:rPr>
          <w:t>Geologické podložie</w:t>
        </w:r>
        <w:r w:rsidR="00C277C6">
          <w:rPr>
            <w:noProof/>
            <w:webHidden/>
          </w:rPr>
          <w:tab/>
        </w:r>
        <w:r w:rsidR="00C277C6">
          <w:rPr>
            <w:noProof/>
            <w:webHidden/>
          </w:rPr>
          <w:fldChar w:fldCharType="begin"/>
        </w:r>
        <w:r w:rsidR="00C277C6">
          <w:rPr>
            <w:noProof/>
            <w:webHidden/>
          </w:rPr>
          <w:instrText xml:space="preserve"> PAGEREF _Toc88652939 \h </w:instrText>
        </w:r>
        <w:r w:rsidR="00C277C6">
          <w:rPr>
            <w:noProof/>
            <w:webHidden/>
          </w:rPr>
        </w:r>
        <w:r w:rsidR="00C277C6">
          <w:rPr>
            <w:noProof/>
            <w:webHidden/>
          </w:rPr>
          <w:fldChar w:fldCharType="separate"/>
        </w:r>
        <w:r w:rsidR="00C277C6">
          <w:rPr>
            <w:noProof/>
            <w:webHidden/>
          </w:rPr>
          <w:t>47</w:t>
        </w:r>
        <w:r w:rsidR="00C277C6">
          <w:rPr>
            <w:noProof/>
            <w:webHidden/>
          </w:rPr>
          <w:fldChar w:fldCharType="end"/>
        </w:r>
      </w:hyperlink>
    </w:p>
    <w:p w14:paraId="1E1F734E" w14:textId="39FCBB1F" w:rsidR="00C277C6" w:rsidRDefault="00DC2DF4">
      <w:pPr>
        <w:pStyle w:val="Obsah2"/>
        <w:tabs>
          <w:tab w:val="right" w:leader="dot" w:pos="9062"/>
        </w:tabs>
        <w:rPr>
          <w:rFonts w:eastAsiaTheme="minorEastAsia"/>
          <w:noProof/>
          <w:sz w:val="22"/>
          <w:lang w:eastAsia="sk-SK"/>
        </w:rPr>
      </w:pPr>
      <w:hyperlink w:anchor="_Toc88652940" w:history="1">
        <w:r w:rsidR="00C277C6" w:rsidRPr="00D53B71">
          <w:rPr>
            <w:rStyle w:val="Hypertextovprepojenie"/>
            <w:rFonts w:cstheme="minorHAnsi"/>
            <w:noProof/>
          </w:rPr>
          <w:t>Inžinierskogeologické pomery</w:t>
        </w:r>
        <w:r w:rsidR="00C277C6">
          <w:rPr>
            <w:noProof/>
            <w:webHidden/>
          </w:rPr>
          <w:tab/>
        </w:r>
        <w:r w:rsidR="00C277C6">
          <w:rPr>
            <w:noProof/>
            <w:webHidden/>
          </w:rPr>
          <w:fldChar w:fldCharType="begin"/>
        </w:r>
        <w:r w:rsidR="00C277C6">
          <w:rPr>
            <w:noProof/>
            <w:webHidden/>
          </w:rPr>
          <w:instrText xml:space="preserve"> PAGEREF _Toc88652940 \h </w:instrText>
        </w:r>
        <w:r w:rsidR="00C277C6">
          <w:rPr>
            <w:noProof/>
            <w:webHidden/>
          </w:rPr>
        </w:r>
        <w:r w:rsidR="00C277C6">
          <w:rPr>
            <w:noProof/>
            <w:webHidden/>
          </w:rPr>
          <w:fldChar w:fldCharType="separate"/>
        </w:r>
        <w:r w:rsidR="00C277C6">
          <w:rPr>
            <w:noProof/>
            <w:webHidden/>
          </w:rPr>
          <w:t>47</w:t>
        </w:r>
        <w:r w:rsidR="00C277C6">
          <w:rPr>
            <w:noProof/>
            <w:webHidden/>
          </w:rPr>
          <w:fldChar w:fldCharType="end"/>
        </w:r>
      </w:hyperlink>
    </w:p>
    <w:p w14:paraId="3797293D" w14:textId="5B263584" w:rsidR="00C277C6" w:rsidRDefault="00DC2DF4">
      <w:pPr>
        <w:pStyle w:val="Obsah2"/>
        <w:tabs>
          <w:tab w:val="right" w:leader="dot" w:pos="9062"/>
        </w:tabs>
        <w:rPr>
          <w:rFonts w:eastAsiaTheme="minorEastAsia"/>
          <w:noProof/>
          <w:sz w:val="22"/>
          <w:lang w:eastAsia="sk-SK"/>
        </w:rPr>
      </w:pPr>
      <w:hyperlink w:anchor="_Toc88652941" w:history="1">
        <w:r w:rsidR="00C277C6" w:rsidRPr="00D53B71">
          <w:rPr>
            <w:rStyle w:val="Hypertextovprepojenie"/>
            <w:rFonts w:cstheme="minorHAnsi"/>
            <w:noProof/>
          </w:rPr>
          <w:t>Ložiská nerastných surovín</w:t>
        </w:r>
        <w:r w:rsidR="00C277C6">
          <w:rPr>
            <w:noProof/>
            <w:webHidden/>
          </w:rPr>
          <w:tab/>
        </w:r>
        <w:r w:rsidR="00C277C6">
          <w:rPr>
            <w:noProof/>
            <w:webHidden/>
          </w:rPr>
          <w:fldChar w:fldCharType="begin"/>
        </w:r>
        <w:r w:rsidR="00C277C6">
          <w:rPr>
            <w:noProof/>
            <w:webHidden/>
          </w:rPr>
          <w:instrText xml:space="preserve"> PAGEREF _Toc88652941 \h </w:instrText>
        </w:r>
        <w:r w:rsidR="00C277C6">
          <w:rPr>
            <w:noProof/>
            <w:webHidden/>
          </w:rPr>
        </w:r>
        <w:r w:rsidR="00C277C6">
          <w:rPr>
            <w:noProof/>
            <w:webHidden/>
          </w:rPr>
          <w:fldChar w:fldCharType="separate"/>
        </w:r>
        <w:r w:rsidR="00C277C6">
          <w:rPr>
            <w:noProof/>
            <w:webHidden/>
          </w:rPr>
          <w:t>49</w:t>
        </w:r>
        <w:r w:rsidR="00C277C6">
          <w:rPr>
            <w:noProof/>
            <w:webHidden/>
          </w:rPr>
          <w:fldChar w:fldCharType="end"/>
        </w:r>
      </w:hyperlink>
    </w:p>
    <w:p w14:paraId="3D15E1F3" w14:textId="05ACEED5" w:rsidR="00C277C6" w:rsidRDefault="00DC2DF4">
      <w:pPr>
        <w:pStyle w:val="Obsah2"/>
        <w:tabs>
          <w:tab w:val="right" w:leader="dot" w:pos="9062"/>
        </w:tabs>
        <w:rPr>
          <w:rFonts w:eastAsiaTheme="minorEastAsia"/>
          <w:noProof/>
          <w:sz w:val="22"/>
          <w:lang w:eastAsia="sk-SK"/>
        </w:rPr>
      </w:pPr>
      <w:hyperlink w:anchor="_Toc88652942" w:history="1">
        <w:r w:rsidR="00C277C6" w:rsidRPr="00D53B71">
          <w:rPr>
            <w:rStyle w:val="Hypertextovprepojenie"/>
            <w:rFonts w:cstheme="minorHAnsi"/>
            <w:noProof/>
          </w:rPr>
          <w:t>Environmentálne záťaže v území</w:t>
        </w:r>
        <w:r w:rsidR="00C277C6">
          <w:rPr>
            <w:noProof/>
            <w:webHidden/>
          </w:rPr>
          <w:tab/>
        </w:r>
        <w:r w:rsidR="00C277C6">
          <w:rPr>
            <w:noProof/>
            <w:webHidden/>
          </w:rPr>
          <w:fldChar w:fldCharType="begin"/>
        </w:r>
        <w:r w:rsidR="00C277C6">
          <w:rPr>
            <w:noProof/>
            <w:webHidden/>
          </w:rPr>
          <w:instrText xml:space="preserve"> PAGEREF _Toc88652942 \h </w:instrText>
        </w:r>
        <w:r w:rsidR="00C277C6">
          <w:rPr>
            <w:noProof/>
            <w:webHidden/>
          </w:rPr>
        </w:r>
        <w:r w:rsidR="00C277C6">
          <w:rPr>
            <w:noProof/>
            <w:webHidden/>
          </w:rPr>
          <w:fldChar w:fldCharType="separate"/>
        </w:r>
        <w:r w:rsidR="00C277C6">
          <w:rPr>
            <w:noProof/>
            <w:webHidden/>
          </w:rPr>
          <w:t>49</w:t>
        </w:r>
        <w:r w:rsidR="00C277C6">
          <w:rPr>
            <w:noProof/>
            <w:webHidden/>
          </w:rPr>
          <w:fldChar w:fldCharType="end"/>
        </w:r>
      </w:hyperlink>
    </w:p>
    <w:p w14:paraId="0B8A0A7C" w14:textId="0ADDED60" w:rsidR="00C277C6" w:rsidRDefault="00DC2DF4">
      <w:pPr>
        <w:pStyle w:val="Obsah2"/>
        <w:tabs>
          <w:tab w:val="right" w:leader="dot" w:pos="9062"/>
        </w:tabs>
        <w:rPr>
          <w:rFonts w:eastAsiaTheme="minorEastAsia"/>
          <w:noProof/>
          <w:sz w:val="22"/>
          <w:lang w:eastAsia="sk-SK"/>
        </w:rPr>
      </w:pPr>
      <w:hyperlink w:anchor="_Toc88652943" w:history="1">
        <w:r w:rsidR="00C277C6" w:rsidRPr="00D53B71">
          <w:rPr>
            <w:rStyle w:val="Hypertextovprepojenie"/>
            <w:rFonts w:cstheme="minorHAnsi"/>
            <w:noProof/>
          </w:rPr>
          <w:t>Hydrogeologické pomery</w:t>
        </w:r>
        <w:r w:rsidR="00C277C6">
          <w:rPr>
            <w:noProof/>
            <w:webHidden/>
          </w:rPr>
          <w:tab/>
        </w:r>
        <w:r w:rsidR="00C277C6">
          <w:rPr>
            <w:noProof/>
            <w:webHidden/>
          </w:rPr>
          <w:fldChar w:fldCharType="begin"/>
        </w:r>
        <w:r w:rsidR="00C277C6">
          <w:rPr>
            <w:noProof/>
            <w:webHidden/>
          </w:rPr>
          <w:instrText xml:space="preserve"> PAGEREF _Toc88652943 \h </w:instrText>
        </w:r>
        <w:r w:rsidR="00C277C6">
          <w:rPr>
            <w:noProof/>
            <w:webHidden/>
          </w:rPr>
        </w:r>
        <w:r w:rsidR="00C277C6">
          <w:rPr>
            <w:noProof/>
            <w:webHidden/>
          </w:rPr>
          <w:fldChar w:fldCharType="separate"/>
        </w:r>
        <w:r w:rsidR="00C277C6">
          <w:rPr>
            <w:noProof/>
            <w:webHidden/>
          </w:rPr>
          <w:t>51</w:t>
        </w:r>
        <w:r w:rsidR="00C277C6">
          <w:rPr>
            <w:noProof/>
            <w:webHidden/>
          </w:rPr>
          <w:fldChar w:fldCharType="end"/>
        </w:r>
      </w:hyperlink>
    </w:p>
    <w:p w14:paraId="49C0FD67" w14:textId="331141C5" w:rsidR="00C277C6" w:rsidRDefault="00DC2DF4">
      <w:pPr>
        <w:pStyle w:val="Obsah2"/>
        <w:tabs>
          <w:tab w:val="right" w:leader="dot" w:pos="9062"/>
        </w:tabs>
        <w:rPr>
          <w:rFonts w:eastAsiaTheme="minorEastAsia"/>
          <w:noProof/>
          <w:sz w:val="22"/>
          <w:lang w:eastAsia="sk-SK"/>
        </w:rPr>
      </w:pPr>
      <w:hyperlink w:anchor="_Toc88652944" w:history="1">
        <w:r w:rsidR="00C277C6" w:rsidRPr="00D53B71">
          <w:rPr>
            <w:rStyle w:val="Hypertextovprepojenie"/>
            <w:rFonts w:cstheme="minorHAnsi"/>
            <w:noProof/>
          </w:rPr>
          <w:t>Hydrologické pomery</w:t>
        </w:r>
        <w:r w:rsidR="00C277C6">
          <w:rPr>
            <w:noProof/>
            <w:webHidden/>
          </w:rPr>
          <w:tab/>
        </w:r>
        <w:r w:rsidR="00C277C6">
          <w:rPr>
            <w:noProof/>
            <w:webHidden/>
          </w:rPr>
          <w:fldChar w:fldCharType="begin"/>
        </w:r>
        <w:r w:rsidR="00C277C6">
          <w:rPr>
            <w:noProof/>
            <w:webHidden/>
          </w:rPr>
          <w:instrText xml:space="preserve"> PAGEREF _Toc88652944 \h </w:instrText>
        </w:r>
        <w:r w:rsidR="00C277C6">
          <w:rPr>
            <w:noProof/>
            <w:webHidden/>
          </w:rPr>
        </w:r>
        <w:r w:rsidR="00C277C6">
          <w:rPr>
            <w:noProof/>
            <w:webHidden/>
          </w:rPr>
          <w:fldChar w:fldCharType="separate"/>
        </w:r>
        <w:r w:rsidR="00C277C6">
          <w:rPr>
            <w:noProof/>
            <w:webHidden/>
          </w:rPr>
          <w:t>52</w:t>
        </w:r>
        <w:r w:rsidR="00C277C6">
          <w:rPr>
            <w:noProof/>
            <w:webHidden/>
          </w:rPr>
          <w:fldChar w:fldCharType="end"/>
        </w:r>
      </w:hyperlink>
    </w:p>
    <w:p w14:paraId="0BC647C4" w14:textId="6572B4BE" w:rsidR="00C277C6" w:rsidRDefault="00DC2DF4">
      <w:pPr>
        <w:pStyle w:val="Obsah2"/>
        <w:tabs>
          <w:tab w:val="right" w:leader="dot" w:pos="9062"/>
        </w:tabs>
        <w:rPr>
          <w:rFonts w:eastAsiaTheme="minorEastAsia"/>
          <w:noProof/>
          <w:sz w:val="22"/>
          <w:lang w:eastAsia="sk-SK"/>
        </w:rPr>
      </w:pPr>
      <w:hyperlink w:anchor="_Toc88652945" w:history="1">
        <w:r w:rsidR="00C277C6" w:rsidRPr="00D53B71">
          <w:rPr>
            <w:rStyle w:val="Hypertextovprepojenie"/>
            <w:rFonts w:cstheme="minorHAnsi"/>
            <w:noProof/>
          </w:rPr>
          <w:t>Klimatické pomery</w:t>
        </w:r>
        <w:r w:rsidR="00C277C6">
          <w:rPr>
            <w:noProof/>
            <w:webHidden/>
          </w:rPr>
          <w:tab/>
        </w:r>
        <w:r w:rsidR="00C277C6">
          <w:rPr>
            <w:noProof/>
            <w:webHidden/>
          </w:rPr>
          <w:fldChar w:fldCharType="begin"/>
        </w:r>
        <w:r w:rsidR="00C277C6">
          <w:rPr>
            <w:noProof/>
            <w:webHidden/>
          </w:rPr>
          <w:instrText xml:space="preserve"> PAGEREF _Toc88652945 \h </w:instrText>
        </w:r>
        <w:r w:rsidR="00C277C6">
          <w:rPr>
            <w:noProof/>
            <w:webHidden/>
          </w:rPr>
        </w:r>
        <w:r w:rsidR="00C277C6">
          <w:rPr>
            <w:noProof/>
            <w:webHidden/>
          </w:rPr>
          <w:fldChar w:fldCharType="separate"/>
        </w:r>
        <w:r w:rsidR="00C277C6">
          <w:rPr>
            <w:noProof/>
            <w:webHidden/>
          </w:rPr>
          <w:t>54</w:t>
        </w:r>
        <w:r w:rsidR="00C277C6">
          <w:rPr>
            <w:noProof/>
            <w:webHidden/>
          </w:rPr>
          <w:fldChar w:fldCharType="end"/>
        </w:r>
      </w:hyperlink>
    </w:p>
    <w:p w14:paraId="50BBDA88" w14:textId="23169F14" w:rsidR="00C277C6" w:rsidRDefault="00DC2DF4">
      <w:pPr>
        <w:pStyle w:val="Obsah2"/>
        <w:tabs>
          <w:tab w:val="right" w:leader="dot" w:pos="9062"/>
        </w:tabs>
        <w:rPr>
          <w:rFonts w:eastAsiaTheme="minorEastAsia"/>
          <w:noProof/>
          <w:sz w:val="22"/>
          <w:lang w:eastAsia="sk-SK"/>
        </w:rPr>
      </w:pPr>
      <w:hyperlink w:anchor="_Toc88652946" w:history="1">
        <w:r w:rsidR="00C277C6" w:rsidRPr="00D53B71">
          <w:rPr>
            <w:rStyle w:val="Hypertextovprepojenie"/>
            <w:rFonts w:cstheme="minorHAnsi"/>
            <w:noProof/>
          </w:rPr>
          <w:t>Rastlinstvo a živočíšstvo</w:t>
        </w:r>
        <w:r w:rsidR="00C277C6">
          <w:rPr>
            <w:noProof/>
            <w:webHidden/>
          </w:rPr>
          <w:tab/>
        </w:r>
        <w:r w:rsidR="00C277C6">
          <w:rPr>
            <w:noProof/>
            <w:webHidden/>
          </w:rPr>
          <w:fldChar w:fldCharType="begin"/>
        </w:r>
        <w:r w:rsidR="00C277C6">
          <w:rPr>
            <w:noProof/>
            <w:webHidden/>
          </w:rPr>
          <w:instrText xml:space="preserve"> PAGEREF _Toc88652946 \h </w:instrText>
        </w:r>
        <w:r w:rsidR="00C277C6">
          <w:rPr>
            <w:noProof/>
            <w:webHidden/>
          </w:rPr>
        </w:r>
        <w:r w:rsidR="00C277C6">
          <w:rPr>
            <w:noProof/>
            <w:webHidden/>
          </w:rPr>
          <w:fldChar w:fldCharType="separate"/>
        </w:r>
        <w:r w:rsidR="00C277C6">
          <w:rPr>
            <w:noProof/>
            <w:webHidden/>
          </w:rPr>
          <w:t>56</w:t>
        </w:r>
        <w:r w:rsidR="00C277C6">
          <w:rPr>
            <w:noProof/>
            <w:webHidden/>
          </w:rPr>
          <w:fldChar w:fldCharType="end"/>
        </w:r>
      </w:hyperlink>
    </w:p>
    <w:p w14:paraId="51BB7350" w14:textId="626DE20C" w:rsidR="00C277C6" w:rsidRDefault="00DC2DF4">
      <w:pPr>
        <w:pStyle w:val="Obsah2"/>
        <w:tabs>
          <w:tab w:val="right" w:leader="dot" w:pos="9062"/>
        </w:tabs>
        <w:rPr>
          <w:rFonts w:eastAsiaTheme="minorEastAsia"/>
          <w:noProof/>
          <w:sz w:val="22"/>
          <w:lang w:eastAsia="sk-SK"/>
        </w:rPr>
      </w:pPr>
      <w:hyperlink w:anchor="_Toc88652947" w:history="1">
        <w:r w:rsidR="00C277C6" w:rsidRPr="00D53B71">
          <w:rPr>
            <w:rStyle w:val="Hypertextovprepojenie"/>
            <w:rFonts w:cstheme="minorHAnsi"/>
            <w:noProof/>
          </w:rPr>
          <w:t>Kultúrne dedičstvo</w:t>
        </w:r>
        <w:r w:rsidR="00C277C6">
          <w:rPr>
            <w:noProof/>
            <w:webHidden/>
          </w:rPr>
          <w:tab/>
        </w:r>
        <w:r w:rsidR="00C277C6">
          <w:rPr>
            <w:noProof/>
            <w:webHidden/>
          </w:rPr>
          <w:fldChar w:fldCharType="begin"/>
        </w:r>
        <w:r w:rsidR="00C277C6">
          <w:rPr>
            <w:noProof/>
            <w:webHidden/>
          </w:rPr>
          <w:instrText xml:space="preserve"> PAGEREF _Toc88652947 \h </w:instrText>
        </w:r>
        <w:r w:rsidR="00C277C6">
          <w:rPr>
            <w:noProof/>
            <w:webHidden/>
          </w:rPr>
        </w:r>
        <w:r w:rsidR="00C277C6">
          <w:rPr>
            <w:noProof/>
            <w:webHidden/>
          </w:rPr>
          <w:fldChar w:fldCharType="separate"/>
        </w:r>
        <w:r w:rsidR="00C277C6">
          <w:rPr>
            <w:noProof/>
            <w:webHidden/>
          </w:rPr>
          <w:t>57</w:t>
        </w:r>
        <w:r w:rsidR="00C277C6">
          <w:rPr>
            <w:noProof/>
            <w:webHidden/>
          </w:rPr>
          <w:fldChar w:fldCharType="end"/>
        </w:r>
      </w:hyperlink>
    </w:p>
    <w:p w14:paraId="1F43B116" w14:textId="263C3C35" w:rsidR="00C277C6" w:rsidRDefault="00DC2DF4">
      <w:pPr>
        <w:pStyle w:val="Obsah2"/>
        <w:tabs>
          <w:tab w:val="right" w:leader="dot" w:pos="9062"/>
        </w:tabs>
        <w:rPr>
          <w:rFonts w:eastAsiaTheme="minorEastAsia"/>
          <w:noProof/>
          <w:sz w:val="22"/>
          <w:lang w:eastAsia="sk-SK"/>
        </w:rPr>
      </w:pPr>
      <w:hyperlink w:anchor="_Toc88652948" w:history="1">
        <w:r w:rsidR="00C277C6" w:rsidRPr="00D53B71">
          <w:rPr>
            <w:rStyle w:val="Hypertextovprepojenie"/>
            <w:rFonts w:cstheme="minorHAnsi"/>
            <w:noProof/>
          </w:rPr>
          <w:t>Chránené časti prírody</w:t>
        </w:r>
        <w:r w:rsidR="00C277C6">
          <w:rPr>
            <w:noProof/>
            <w:webHidden/>
          </w:rPr>
          <w:tab/>
        </w:r>
        <w:r w:rsidR="00C277C6">
          <w:rPr>
            <w:noProof/>
            <w:webHidden/>
          </w:rPr>
          <w:fldChar w:fldCharType="begin"/>
        </w:r>
        <w:r w:rsidR="00C277C6">
          <w:rPr>
            <w:noProof/>
            <w:webHidden/>
          </w:rPr>
          <w:instrText xml:space="preserve"> PAGEREF _Toc88652948 \h </w:instrText>
        </w:r>
        <w:r w:rsidR="00C277C6">
          <w:rPr>
            <w:noProof/>
            <w:webHidden/>
          </w:rPr>
        </w:r>
        <w:r w:rsidR="00C277C6">
          <w:rPr>
            <w:noProof/>
            <w:webHidden/>
          </w:rPr>
          <w:fldChar w:fldCharType="separate"/>
        </w:r>
        <w:r w:rsidR="00C277C6">
          <w:rPr>
            <w:noProof/>
            <w:webHidden/>
          </w:rPr>
          <w:t>59</w:t>
        </w:r>
        <w:r w:rsidR="00C277C6">
          <w:rPr>
            <w:noProof/>
            <w:webHidden/>
          </w:rPr>
          <w:fldChar w:fldCharType="end"/>
        </w:r>
      </w:hyperlink>
    </w:p>
    <w:p w14:paraId="02ED577D" w14:textId="1FE544FD" w:rsidR="00C277C6" w:rsidRDefault="00DC2DF4">
      <w:pPr>
        <w:pStyle w:val="Obsah2"/>
        <w:tabs>
          <w:tab w:val="right" w:leader="dot" w:pos="9062"/>
        </w:tabs>
        <w:rPr>
          <w:rFonts w:eastAsiaTheme="minorEastAsia"/>
          <w:noProof/>
          <w:sz w:val="22"/>
          <w:lang w:eastAsia="sk-SK"/>
        </w:rPr>
      </w:pPr>
      <w:hyperlink w:anchor="_Toc88652949" w:history="1">
        <w:r w:rsidR="00C277C6" w:rsidRPr="00D53B71">
          <w:rPr>
            <w:rStyle w:val="Hypertextovprepojenie"/>
            <w:rFonts w:cstheme="minorHAnsi"/>
            <w:noProof/>
          </w:rPr>
          <w:t>5.1 Kvalitatívna analýza dopadov na životné prostredie</w:t>
        </w:r>
        <w:r w:rsidR="00C277C6">
          <w:rPr>
            <w:noProof/>
            <w:webHidden/>
          </w:rPr>
          <w:tab/>
        </w:r>
        <w:r w:rsidR="00C277C6">
          <w:rPr>
            <w:noProof/>
            <w:webHidden/>
          </w:rPr>
          <w:fldChar w:fldCharType="begin"/>
        </w:r>
        <w:r w:rsidR="00C277C6">
          <w:rPr>
            <w:noProof/>
            <w:webHidden/>
          </w:rPr>
          <w:instrText xml:space="preserve"> PAGEREF _Toc88652949 \h </w:instrText>
        </w:r>
        <w:r w:rsidR="00C277C6">
          <w:rPr>
            <w:noProof/>
            <w:webHidden/>
          </w:rPr>
        </w:r>
        <w:r w:rsidR="00C277C6">
          <w:rPr>
            <w:noProof/>
            <w:webHidden/>
          </w:rPr>
          <w:fldChar w:fldCharType="separate"/>
        </w:r>
        <w:r w:rsidR="00C277C6">
          <w:rPr>
            <w:noProof/>
            <w:webHidden/>
          </w:rPr>
          <w:t>65</w:t>
        </w:r>
        <w:r w:rsidR="00C277C6">
          <w:rPr>
            <w:noProof/>
            <w:webHidden/>
          </w:rPr>
          <w:fldChar w:fldCharType="end"/>
        </w:r>
      </w:hyperlink>
    </w:p>
    <w:p w14:paraId="6641F641" w14:textId="6B2A4CFA" w:rsidR="00C277C6" w:rsidRDefault="00DC2DF4">
      <w:pPr>
        <w:pStyle w:val="Obsah2"/>
        <w:tabs>
          <w:tab w:val="right" w:leader="dot" w:pos="9062"/>
        </w:tabs>
        <w:rPr>
          <w:rFonts w:eastAsiaTheme="minorEastAsia"/>
          <w:noProof/>
          <w:sz w:val="22"/>
          <w:lang w:eastAsia="sk-SK"/>
        </w:rPr>
      </w:pPr>
      <w:hyperlink w:anchor="_Toc88652950" w:history="1">
        <w:r w:rsidR="00C277C6" w:rsidRPr="00D53B71">
          <w:rPr>
            <w:rStyle w:val="Hypertextovprepojenie"/>
            <w:rFonts w:cstheme="minorHAnsi"/>
            <w:noProof/>
          </w:rPr>
          <w:t>5.2 Vplyvy na chránené časti prírody</w:t>
        </w:r>
        <w:r w:rsidR="00C277C6">
          <w:rPr>
            <w:noProof/>
            <w:webHidden/>
          </w:rPr>
          <w:tab/>
        </w:r>
        <w:r w:rsidR="00C277C6">
          <w:rPr>
            <w:noProof/>
            <w:webHidden/>
          </w:rPr>
          <w:fldChar w:fldCharType="begin"/>
        </w:r>
        <w:r w:rsidR="00C277C6">
          <w:rPr>
            <w:noProof/>
            <w:webHidden/>
          </w:rPr>
          <w:instrText xml:space="preserve"> PAGEREF _Toc88652950 \h </w:instrText>
        </w:r>
        <w:r w:rsidR="00C277C6">
          <w:rPr>
            <w:noProof/>
            <w:webHidden/>
          </w:rPr>
        </w:r>
        <w:r w:rsidR="00C277C6">
          <w:rPr>
            <w:noProof/>
            <w:webHidden/>
          </w:rPr>
          <w:fldChar w:fldCharType="separate"/>
        </w:r>
        <w:r w:rsidR="00C277C6">
          <w:rPr>
            <w:noProof/>
            <w:webHidden/>
          </w:rPr>
          <w:t>66</w:t>
        </w:r>
        <w:r w:rsidR="00C277C6">
          <w:rPr>
            <w:noProof/>
            <w:webHidden/>
          </w:rPr>
          <w:fldChar w:fldCharType="end"/>
        </w:r>
      </w:hyperlink>
    </w:p>
    <w:p w14:paraId="0B90FD07" w14:textId="62075EF4" w:rsidR="00C277C6" w:rsidRDefault="00DC2DF4">
      <w:pPr>
        <w:pStyle w:val="Obsah2"/>
        <w:tabs>
          <w:tab w:val="right" w:leader="dot" w:pos="9062"/>
        </w:tabs>
        <w:rPr>
          <w:rFonts w:eastAsiaTheme="minorEastAsia"/>
          <w:noProof/>
          <w:sz w:val="22"/>
          <w:lang w:eastAsia="sk-SK"/>
        </w:rPr>
      </w:pPr>
      <w:hyperlink w:anchor="_Toc88652951" w:history="1">
        <w:r w:rsidR="00C277C6" w:rsidRPr="00D53B71">
          <w:rPr>
            <w:rStyle w:val="Hypertextovprepojenie"/>
            <w:rFonts w:cstheme="minorHAnsi"/>
            <w:noProof/>
          </w:rPr>
          <w:t>Vplyvy na lokality NATURA 2000</w:t>
        </w:r>
        <w:r w:rsidR="00C277C6">
          <w:rPr>
            <w:noProof/>
            <w:webHidden/>
          </w:rPr>
          <w:tab/>
        </w:r>
        <w:r w:rsidR="00C277C6">
          <w:rPr>
            <w:noProof/>
            <w:webHidden/>
          </w:rPr>
          <w:fldChar w:fldCharType="begin"/>
        </w:r>
        <w:r w:rsidR="00C277C6">
          <w:rPr>
            <w:noProof/>
            <w:webHidden/>
          </w:rPr>
          <w:instrText xml:space="preserve"> PAGEREF _Toc88652951 \h </w:instrText>
        </w:r>
        <w:r w:rsidR="00C277C6">
          <w:rPr>
            <w:noProof/>
            <w:webHidden/>
          </w:rPr>
        </w:r>
        <w:r w:rsidR="00C277C6">
          <w:rPr>
            <w:noProof/>
            <w:webHidden/>
          </w:rPr>
          <w:fldChar w:fldCharType="separate"/>
        </w:r>
        <w:r w:rsidR="00C277C6">
          <w:rPr>
            <w:noProof/>
            <w:webHidden/>
          </w:rPr>
          <w:t>66</w:t>
        </w:r>
        <w:r w:rsidR="00C277C6">
          <w:rPr>
            <w:noProof/>
            <w:webHidden/>
          </w:rPr>
          <w:fldChar w:fldCharType="end"/>
        </w:r>
      </w:hyperlink>
    </w:p>
    <w:p w14:paraId="54479EC1" w14:textId="4E11A131" w:rsidR="00C277C6" w:rsidRDefault="00DC2DF4">
      <w:pPr>
        <w:pStyle w:val="Obsah2"/>
        <w:tabs>
          <w:tab w:val="right" w:leader="dot" w:pos="9062"/>
        </w:tabs>
        <w:rPr>
          <w:rFonts w:eastAsiaTheme="minorEastAsia"/>
          <w:noProof/>
          <w:sz w:val="22"/>
          <w:lang w:eastAsia="sk-SK"/>
        </w:rPr>
      </w:pPr>
      <w:hyperlink w:anchor="_Toc88652952" w:history="1">
        <w:r w:rsidR="00C277C6" w:rsidRPr="00D53B71">
          <w:rPr>
            <w:rStyle w:val="Hypertextovprepojenie"/>
            <w:rFonts w:cstheme="minorHAnsi"/>
            <w:noProof/>
          </w:rPr>
          <w:t>Vplyvy na chránené územia</w:t>
        </w:r>
        <w:r w:rsidR="00C277C6">
          <w:rPr>
            <w:noProof/>
            <w:webHidden/>
          </w:rPr>
          <w:tab/>
        </w:r>
        <w:r w:rsidR="00C277C6">
          <w:rPr>
            <w:noProof/>
            <w:webHidden/>
          </w:rPr>
          <w:fldChar w:fldCharType="begin"/>
        </w:r>
        <w:r w:rsidR="00C277C6">
          <w:rPr>
            <w:noProof/>
            <w:webHidden/>
          </w:rPr>
          <w:instrText xml:space="preserve"> PAGEREF _Toc88652952 \h </w:instrText>
        </w:r>
        <w:r w:rsidR="00C277C6">
          <w:rPr>
            <w:noProof/>
            <w:webHidden/>
          </w:rPr>
        </w:r>
        <w:r w:rsidR="00C277C6">
          <w:rPr>
            <w:noProof/>
            <w:webHidden/>
          </w:rPr>
          <w:fldChar w:fldCharType="separate"/>
        </w:r>
        <w:r w:rsidR="00C277C6">
          <w:rPr>
            <w:noProof/>
            <w:webHidden/>
          </w:rPr>
          <w:t>67</w:t>
        </w:r>
        <w:r w:rsidR="00C277C6">
          <w:rPr>
            <w:noProof/>
            <w:webHidden/>
          </w:rPr>
          <w:fldChar w:fldCharType="end"/>
        </w:r>
      </w:hyperlink>
    </w:p>
    <w:p w14:paraId="5AA22834" w14:textId="3FC0702B" w:rsidR="00C277C6" w:rsidRDefault="00DC2DF4">
      <w:pPr>
        <w:pStyle w:val="Obsah2"/>
        <w:tabs>
          <w:tab w:val="right" w:leader="dot" w:pos="9062"/>
        </w:tabs>
        <w:rPr>
          <w:rFonts w:eastAsiaTheme="minorEastAsia"/>
          <w:noProof/>
          <w:sz w:val="22"/>
          <w:lang w:eastAsia="sk-SK"/>
        </w:rPr>
      </w:pPr>
      <w:hyperlink w:anchor="_Toc88652953" w:history="1">
        <w:r w:rsidR="00C277C6" w:rsidRPr="00D53B71">
          <w:rPr>
            <w:rStyle w:val="Hypertextovprepojenie"/>
            <w:rFonts w:cstheme="minorHAnsi"/>
            <w:noProof/>
          </w:rPr>
          <w:t>Vplyvy na Ramsarské lokality</w:t>
        </w:r>
        <w:r w:rsidR="00C277C6">
          <w:rPr>
            <w:noProof/>
            <w:webHidden/>
          </w:rPr>
          <w:tab/>
        </w:r>
        <w:r w:rsidR="00C277C6">
          <w:rPr>
            <w:noProof/>
            <w:webHidden/>
          </w:rPr>
          <w:fldChar w:fldCharType="begin"/>
        </w:r>
        <w:r w:rsidR="00C277C6">
          <w:rPr>
            <w:noProof/>
            <w:webHidden/>
          </w:rPr>
          <w:instrText xml:space="preserve"> PAGEREF _Toc88652953 \h </w:instrText>
        </w:r>
        <w:r w:rsidR="00C277C6">
          <w:rPr>
            <w:noProof/>
            <w:webHidden/>
          </w:rPr>
        </w:r>
        <w:r w:rsidR="00C277C6">
          <w:rPr>
            <w:noProof/>
            <w:webHidden/>
          </w:rPr>
          <w:fldChar w:fldCharType="separate"/>
        </w:r>
        <w:r w:rsidR="00C277C6">
          <w:rPr>
            <w:noProof/>
            <w:webHidden/>
          </w:rPr>
          <w:t>67</w:t>
        </w:r>
        <w:r w:rsidR="00C277C6">
          <w:rPr>
            <w:noProof/>
            <w:webHidden/>
          </w:rPr>
          <w:fldChar w:fldCharType="end"/>
        </w:r>
      </w:hyperlink>
    </w:p>
    <w:p w14:paraId="19ED47C8" w14:textId="680240AE" w:rsidR="00C277C6" w:rsidRDefault="00DC2DF4">
      <w:pPr>
        <w:pStyle w:val="Obsah2"/>
        <w:tabs>
          <w:tab w:val="right" w:leader="dot" w:pos="9062"/>
        </w:tabs>
        <w:rPr>
          <w:rFonts w:eastAsiaTheme="minorEastAsia"/>
          <w:noProof/>
          <w:sz w:val="22"/>
          <w:lang w:eastAsia="sk-SK"/>
        </w:rPr>
      </w:pPr>
      <w:hyperlink w:anchor="_Toc88652954" w:history="1">
        <w:r w:rsidR="00C277C6" w:rsidRPr="00D53B71">
          <w:rPr>
            <w:rStyle w:val="Hypertextovprepojenie"/>
            <w:rFonts w:cstheme="minorHAnsi"/>
            <w:noProof/>
          </w:rPr>
          <w:t>Vplyvy na Biosférické rezervácie</w:t>
        </w:r>
        <w:r w:rsidR="00C277C6">
          <w:rPr>
            <w:noProof/>
            <w:webHidden/>
          </w:rPr>
          <w:tab/>
        </w:r>
        <w:r w:rsidR="00C277C6">
          <w:rPr>
            <w:noProof/>
            <w:webHidden/>
          </w:rPr>
          <w:fldChar w:fldCharType="begin"/>
        </w:r>
        <w:r w:rsidR="00C277C6">
          <w:rPr>
            <w:noProof/>
            <w:webHidden/>
          </w:rPr>
          <w:instrText xml:space="preserve"> PAGEREF _Toc88652954 \h </w:instrText>
        </w:r>
        <w:r w:rsidR="00C277C6">
          <w:rPr>
            <w:noProof/>
            <w:webHidden/>
          </w:rPr>
        </w:r>
        <w:r w:rsidR="00C277C6">
          <w:rPr>
            <w:noProof/>
            <w:webHidden/>
          </w:rPr>
          <w:fldChar w:fldCharType="separate"/>
        </w:r>
        <w:r w:rsidR="00C277C6">
          <w:rPr>
            <w:noProof/>
            <w:webHidden/>
          </w:rPr>
          <w:t>67</w:t>
        </w:r>
        <w:r w:rsidR="00C277C6">
          <w:rPr>
            <w:noProof/>
            <w:webHidden/>
          </w:rPr>
          <w:fldChar w:fldCharType="end"/>
        </w:r>
      </w:hyperlink>
    </w:p>
    <w:p w14:paraId="3EE784EB" w14:textId="031C113E" w:rsidR="00C277C6" w:rsidRDefault="00DC2DF4">
      <w:pPr>
        <w:pStyle w:val="Obsah2"/>
        <w:tabs>
          <w:tab w:val="right" w:leader="dot" w:pos="9062"/>
        </w:tabs>
        <w:rPr>
          <w:rFonts w:eastAsiaTheme="minorEastAsia"/>
          <w:noProof/>
          <w:sz w:val="22"/>
          <w:lang w:eastAsia="sk-SK"/>
        </w:rPr>
      </w:pPr>
      <w:hyperlink w:anchor="_Toc88652955" w:history="1">
        <w:r w:rsidR="00C277C6" w:rsidRPr="00D53B71">
          <w:rPr>
            <w:rStyle w:val="Hypertextovprepojenie"/>
            <w:rFonts w:cstheme="minorHAnsi"/>
            <w:noProof/>
          </w:rPr>
          <w:t>5.3 Vplyvy na faunu a flóru</w:t>
        </w:r>
        <w:r w:rsidR="00C277C6">
          <w:rPr>
            <w:noProof/>
            <w:webHidden/>
          </w:rPr>
          <w:tab/>
        </w:r>
        <w:r w:rsidR="00C277C6">
          <w:rPr>
            <w:noProof/>
            <w:webHidden/>
          </w:rPr>
          <w:fldChar w:fldCharType="begin"/>
        </w:r>
        <w:r w:rsidR="00C277C6">
          <w:rPr>
            <w:noProof/>
            <w:webHidden/>
          </w:rPr>
          <w:instrText xml:space="preserve"> PAGEREF _Toc88652955 \h </w:instrText>
        </w:r>
        <w:r w:rsidR="00C277C6">
          <w:rPr>
            <w:noProof/>
            <w:webHidden/>
          </w:rPr>
        </w:r>
        <w:r w:rsidR="00C277C6">
          <w:rPr>
            <w:noProof/>
            <w:webHidden/>
          </w:rPr>
          <w:fldChar w:fldCharType="separate"/>
        </w:r>
        <w:r w:rsidR="00C277C6">
          <w:rPr>
            <w:noProof/>
            <w:webHidden/>
          </w:rPr>
          <w:t>68</w:t>
        </w:r>
        <w:r w:rsidR="00C277C6">
          <w:rPr>
            <w:noProof/>
            <w:webHidden/>
          </w:rPr>
          <w:fldChar w:fldCharType="end"/>
        </w:r>
      </w:hyperlink>
    </w:p>
    <w:p w14:paraId="52E30D3A" w14:textId="3737871B" w:rsidR="00C277C6" w:rsidRDefault="00DC2DF4">
      <w:pPr>
        <w:pStyle w:val="Obsah2"/>
        <w:tabs>
          <w:tab w:val="right" w:leader="dot" w:pos="9062"/>
        </w:tabs>
        <w:rPr>
          <w:rFonts w:eastAsiaTheme="minorEastAsia"/>
          <w:noProof/>
          <w:sz w:val="22"/>
          <w:lang w:eastAsia="sk-SK"/>
        </w:rPr>
      </w:pPr>
      <w:hyperlink w:anchor="_Toc88652956" w:history="1">
        <w:r w:rsidR="00C277C6" w:rsidRPr="00D53B71">
          <w:rPr>
            <w:rStyle w:val="Hypertextovprepojenie"/>
            <w:rFonts w:cstheme="minorHAnsi"/>
            <w:noProof/>
          </w:rPr>
          <w:t>5.4 Vplyvy na pôdu a horninové prostredie</w:t>
        </w:r>
        <w:r w:rsidR="00C277C6">
          <w:rPr>
            <w:noProof/>
            <w:webHidden/>
          </w:rPr>
          <w:tab/>
        </w:r>
        <w:r w:rsidR="00C277C6">
          <w:rPr>
            <w:noProof/>
            <w:webHidden/>
          </w:rPr>
          <w:fldChar w:fldCharType="begin"/>
        </w:r>
        <w:r w:rsidR="00C277C6">
          <w:rPr>
            <w:noProof/>
            <w:webHidden/>
          </w:rPr>
          <w:instrText xml:space="preserve"> PAGEREF _Toc88652956 \h </w:instrText>
        </w:r>
        <w:r w:rsidR="00C277C6">
          <w:rPr>
            <w:noProof/>
            <w:webHidden/>
          </w:rPr>
        </w:r>
        <w:r w:rsidR="00C277C6">
          <w:rPr>
            <w:noProof/>
            <w:webHidden/>
          </w:rPr>
          <w:fldChar w:fldCharType="separate"/>
        </w:r>
        <w:r w:rsidR="00C277C6">
          <w:rPr>
            <w:noProof/>
            <w:webHidden/>
          </w:rPr>
          <w:t>69</w:t>
        </w:r>
        <w:r w:rsidR="00C277C6">
          <w:rPr>
            <w:noProof/>
            <w:webHidden/>
          </w:rPr>
          <w:fldChar w:fldCharType="end"/>
        </w:r>
      </w:hyperlink>
    </w:p>
    <w:p w14:paraId="6B7F4C73" w14:textId="315FD584" w:rsidR="00C277C6" w:rsidRDefault="00DC2DF4">
      <w:pPr>
        <w:pStyle w:val="Obsah2"/>
        <w:tabs>
          <w:tab w:val="right" w:leader="dot" w:pos="9062"/>
        </w:tabs>
        <w:rPr>
          <w:rFonts w:eastAsiaTheme="minorEastAsia"/>
          <w:noProof/>
          <w:sz w:val="22"/>
          <w:lang w:eastAsia="sk-SK"/>
        </w:rPr>
      </w:pPr>
      <w:hyperlink w:anchor="_Toc88652957" w:history="1">
        <w:r w:rsidR="00C277C6" w:rsidRPr="00D53B71">
          <w:rPr>
            <w:rStyle w:val="Hypertextovprepojenie"/>
            <w:rFonts w:cstheme="minorHAnsi"/>
            <w:noProof/>
          </w:rPr>
          <w:t>5.5 Vplyvy na podzemné a povrchové vody</w:t>
        </w:r>
        <w:r w:rsidR="00C277C6">
          <w:rPr>
            <w:noProof/>
            <w:webHidden/>
          </w:rPr>
          <w:tab/>
        </w:r>
        <w:r w:rsidR="00C277C6">
          <w:rPr>
            <w:noProof/>
            <w:webHidden/>
          </w:rPr>
          <w:fldChar w:fldCharType="begin"/>
        </w:r>
        <w:r w:rsidR="00C277C6">
          <w:rPr>
            <w:noProof/>
            <w:webHidden/>
          </w:rPr>
          <w:instrText xml:space="preserve"> PAGEREF _Toc88652957 \h </w:instrText>
        </w:r>
        <w:r w:rsidR="00C277C6">
          <w:rPr>
            <w:noProof/>
            <w:webHidden/>
          </w:rPr>
        </w:r>
        <w:r w:rsidR="00C277C6">
          <w:rPr>
            <w:noProof/>
            <w:webHidden/>
          </w:rPr>
          <w:fldChar w:fldCharType="separate"/>
        </w:r>
        <w:r w:rsidR="00C277C6">
          <w:rPr>
            <w:noProof/>
            <w:webHidden/>
          </w:rPr>
          <w:t>70</w:t>
        </w:r>
        <w:r w:rsidR="00C277C6">
          <w:rPr>
            <w:noProof/>
            <w:webHidden/>
          </w:rPr>
          <w:fldChar w:fldCharType="end"/>
        </w:r>
      </w:hyperlink>
    </w:p>
    <w:p w14:paraId="0DA4C494" w14:textId="357F53E1" w:rsidR="00C277C6" w:rsidRDefault="00DC2DF4">
      <w:pPr>
        <w:pStyle w:val="Obsah2"/>
        <w:tabs>
          <w:tab w:val="right" w:leader="dot" w:pos="9062"/>
        </w:tabs>
        <w:rPr>
          <w:rFonts w:eastAsiaTheme="minorEastAsia"/>
          <w:noProof/>
          <w:sz w:val="22"/>
          <w:lang w:eastAsia="sk-SK"/>
        </w:rPr>
      </w:pPr>
      <w:hyperlink w:anchor="_Toc88652958" w:history="1">
        <w:r w:rsidR="00C277C6" w:rsidRPr="00D53B71">
          <w:rPr>
            <w:rStyle w:val="Hypertextovprepojenie"/>
            <w:rFonts w:cstheme="minorHAnsi"/>
            <w:noProof/>
          </w:rPr>
          <w:t>Vplyvy na povrchové vody</w:t>
        </w:r>
        <w:r w:rsidR="00C277C6">
          <w:rPr>
            <w:noProof/>
            <w:webHidden/>
          </w:rPr>
          <w:tab/>
        </w:r>
        <w:r w:rsidR="00C277C6">
          <w:rPr>
            <w:noProof/>
            <w:webHidden/>
          </w:rPr>
          <w:fldChar w:fldCharType="begin"/>
        </w:r>
        <w:r w:rsidR="00C277C6">
          <w:rPr>
            <w:noProof/>
            <w:webHidden/>
          </w:rPr>
          <w:instrText xml:space="preserve"> PAGEREF _Toc88652958 \h </w:instrText>
        </w:r>
        <w:r w:rsidR="00C277C6">
          <w:rPr>
            <w:noProof/>
            <w:webHidden/>
          </w:rPr>
        </w:r>
        <w:r w:rsidR="00C277C6">
          <w:rPr>
            <w:noProof/>
            <w:webHidden/>
          </w:rPr>
          <w:fldChar w:fldCharType="separate"/>
        </w:r>
        <w:r w:rsidR="00C277C6">
          <w:rPr>
            <w:noProof/>
            <w:webHidden/>
          </w:rPr>
          <w:t>70</w:t>
        </w:r>
        <w:r w:rsidR="00C277C6">
          <w:rPr>
            <w:noProof/>
            <w:webHidden/>
          </w:rPr>
          <w:fldChar w:fldCharType="end"/>
        </w:r>
      </w:hyperlink>
    </w:p>
    <w:p w14:paraId="05160B5B" w14:textId="6AC89375" w:rsidR="00C277C6" w:rsidRDefault="00DC2DF4">
      <w:pPr>
        <w:pStyle w:val="Obsah2"/>
        <w:tabs>
          <w:tab w:val="right" w:leader="dot" w:pos="9062"/>
        </w:tabs>
        <w:rPr>
          <w:rFonts w:eastAsiaTheme="minorEastAsia"/>
          <w:noProof/>
          <w:sz w:val="22"/>
          <w:lang w:eastAsia="sk-SK"/>
        </w:rPr>
      </w:pPr>
      <w:hyperlink w:anchor="_Toc88652959" w:history="1">
        <w:r w:rsidR="00C277C6" w:rsidRPr="00D53B71">
          <w:rPr>
            <w:rStyle w:val="Hypertextovprepojenie"/>
            <w:rFonts w:cstheme="minorHAnsi"/>
            <w:noProof/>
          </w:rPr>
          <w:t>Vplyvy na podzemné vody</w:t>
        </w:r>
        <w:r w:rsidR="00C277C6">
          <w:rPr>
            <w:noProof/>
            <w:webHidden/>
          </w:rPr>
          <w:tab/>
        </w:r>
        <w:r w:rsidR="00C277C6">
          <w:rPr>
            <w:noProof/>
            <w:webHidden/>
          </w:rPr>
          <w:fldChar w:fldCharType="begin"/>
        </w:r>
        <w:r w:rsidR="00C277C6">
          <w:rPr>
            <w:noProof/>
            <w:webHidden/>
          </w:rPr>
          <w:instrText xml:space="preserve"> PAGEREF _Toc88652959 \h </w:instrText>
        </w:r>
        <w:r w:rsidR="00C277C6">
          <w:rPr>
            <w:noProof/>
            <w:webHidden/>
          </w:rPr>
        </w:r>
        <w:r w:rsidR="00C277C6">
          <w:rPr>
            <w:noProof/>
            <w:webHidden/>
          </w:rPr>
          <w:fldChar w:fldCharType="separate"/>
        </w:r>
        <w:r w:rsidR="00C277C6">
          <w:rPr>
            <w:noProof/>
            <w:webHidden/>
          </w:rPr>
          <w:t>70</w:t>
        </w:r>
        <w:r w:rsidR="00C277C6">
          <w:rPr>
            <w:noProof/>
            <w:webHidden/>
          </w:rPr>
          <w:fldChar w:fldCharType="end"/>
        </w:r>
      </w:hyperlink>
    </w:p>
    <w:p w14:paraId="39BE4E44" w14:textId="526B5918" w:rsidR="00C277C6" w:rsidRDefault="00DC2DF4">
      <w:pPr>
        <w:pStyle w:val="Obsah2"/>
        <w:tabs>
          <w:tab w:val="right" w:leader="dot" w:pos="9062"/>
        </w:tabs>
        <w:rPr>
          <w:rFonts w:eastAsiaTheme="minorEastAsia"/>
          <w:noProof/>
          <w:sz w:val="22"/>
          <w:lang w:eastAsia="sk-SK"/>
        </w:rPr>
      </w:pPr>
      <w:hyperlink w:anchor="_Toc88652960" w:history="1">
        <w:r w:rsidR="00C277C6" w:rsidRPr="00D53B71">
          <w:rPr>
            <w:rStyle w:val="Hypertextovprepojenie"/>
            <w:rFonts w:cstheme="minorHAnsi"/>
            <w:noProof/>
          </w:rPr>
          <w:t>Vplyvy na hlukové pomery</w:t>
        </w:r>
        <w:r w:rsidR="00C277C6">
          <w:rPr>
            <w:noProof/>
            <w:webHidden/>
          </w:rPr>
          <w:tab/>
        </w:r>
        <w:r w:rsidR="00C277C6">
          <w:rPr>
            <w:noProof/>
            <w:webHidden/>
          </w:rPr>
          <w:fldChar w:fldCharType="begin"/>
        </w:r>
        <w:r w:rsidR="00C277C6">
          <w:rPr>
            <w:noProof/>
            <w:webHidden/>
          </w:rPr>
          <w:instrText xml:space="preserve"> PAGEREF _Toc88652960 \h </w:instrText>
        </w:r>
        <w:r w:rsidR="00C277C6">
          <w:rPr>
            <w:noProof/>
            <w:webHidden/>
          </w:rPr>
        </w:r>
        <w:r w:rsidR="00C277C6">
          <w:rPr>
            <w:noProof/>
            <w:webHidden/>
          </w:rPr>
          <w:fldChar w:fldCharType="separate"/>
        </w:r>
        <w:r w:rsidR="00C277C6">
          <w:rPr>
            <w:noProof/>
            <w:webHidden/>
          </w:rPr>
          <w:t>71</w:t>
        </w:r>
        <w:r w:rsidR="00C277C6">
          <w:rPr>
            <w:noProof/>
            <w:webHidden/>
          </w:rPr>
          <w:fldChar w:fldCharType="end"/>
        </w:r>
      </w:hyperlink>
    </w:p>
    <w:p w14:paraId="54CD66FC" w14:textId="0F1B258F" w:rsidR="00C277C6" w:rsidRDefault="00DC2DF4">
      <w:pPr>
        <w:pStyle w:val="Obsah1"/>
        <w:rPr>
          <w:rFonts w:eastAsiaTheme="minorEastAsia"/>
          <w:b w:val="0"/>
          <w:lang w:eastAsia="sk-SK"/>
        </w:rPr>
      </w:pPr>
      <w:hyperlink w:anchor="_Toc88652961" w:history="1">
        <w:r w:rsidR="00C277C6" w:rsidRPr="00D53B71">
          <w:rPr>
            <w:rStyle w:val="Hypertextovprepojenie"/>
            <w:rFonts w:cstheme="minorHAnsi"/>
          </w:rPr>
          <w:t>6.</w:t>
        </w:r>
        <w:r w:rsidR="00C277C6">
          <w:rPr>
            <w:rFonts w:eastAsiaTheme="minorEastAsia"/>
            <w:b w:val="0"/>
            <w:lang w:eastAsia="sk-SK"/>
          </w:rPr>
          <w:tab/>
        </w:r>
        <w:r w:rsidR="00C277C6" w:rsidRPr="00D53B71">
          <w:rPr>
            <w:rStyle w:val="Hypertextovprepojenie"/>
            <w:rFonts w:cstheme="minorHAnsi"/>
            <w:caps/>
          </w:rPr>
          <w:t>Dopravný model</w:t>
        </w:r>
        <w:r w:rsidR="00C277C6">
          <w:rPr>
            <w:webHidden/>
          </w:rPr>
          <w:tab/>
        </w:r>
        <w:r w:rsidR="00C277C6">
          <w:rPr>
            <w:webHidden/>
          </w:rPr>
          <w:fldChar w:fldCharType="begin"/>
        </w:r>
        <w:r w:rsidR="00C277C6">
          <w:rPr>
            <w:webHidden/>
          </w:rPr>
          <w:instrText xml:space="preserve"> PAGEREF _Toc88652961 \h </w:instrText>
        </w:r>
        <w:r w:rsidR="00C277C6">
          <w:rPr>
            <w:webHidden/>
          </w:rPr>
        </w:r>
        <w:r w:rsidR="00C277C6">
          <w:rPr>
            <w:webHidden/>
          </w:rPr>
          <w:fldChar w:fldCharType="separate"/>
        </w:r>
        <w:r w:rsidR="00C277C6">
          <w:rPr>
            <w:webHidden/>
          </w:rPr>
          <w:t>72</w:t>
        </w:r>
        <w:r w:rsidR="00C277C6">
          <w:rPr>
            <w:webHidden/>
          </w:rPr>
          <w:fldChar w:fldCharType="end"/>
        </w:r>
      </w:hyperlink>
    </w:p>
    <w:p w14:paraId="66F4BB0B" w14:textId="653C64BB" w:rsidR="00C277C6" w:rsidRDefault="00DC2DF4">
      <w:pPr>
        <w:pStyle w:val="Obsah2"/>
        <w:tabs>
          <w:tab w:val="right" w:leader="dot" w:pos="9062"/>
        </w:tabs>
        <w:rPr>
          <w:rFonts w:eastAsiaTheme="minorEastAsia"/>
          <w:noProof/>
          <w:sz w:val="22"/>
          <w:lang w:eastAsia="sk-SK"/>
        </w:rPr>
      </w:pPr>
      <w:hyperlink w:anchor="_Toc88652962" w:history="1">
        <w:r w:rsidR="00C277C6" w:rsidRPr="00D53B71">
          <w:rPr>
            <w:rStyle w:val="Hypertextovprepojenie"/>
            <w:rFonts w:cstheme="minorHAnsi"/>
            <w:noProof/>
          </w:rPr>
          <w:t>6.1 Dopravné modelovanie osobnej dopravy pre úsek Žilina – Čadca – štátna hranica SR/ČR</w:t>
        </w:r>
        <w:r w:rsidR="00C277C6">
          <w:rPr>
            <w:noProof/>
            <w:webHidden/>
          </w:rPr>
          <w:tab/>
        </w:r>
        <w:r w:rsidR="00C277C6">
          <w:rPr>
            <w:noProof/>
            <w:webHidden/>
          </w:rPr>
          <w:fldChar w:fldCharType="begin"/>
        </w:r>
        <w:r w:rsidR="00C277C6">
          <w:rPr>
            <w:noProof/>
            <w:webHidden/>
          </w:rPr>
          <w:instrText xml:space="preserve"> PAGEREF _Toc88652962 \h </w:instrText>
        </w:r>
        <w:r w:rsidR="00C277C6">
          <w:rPr>
            <w:noProof/>
            <w:webHidden/>
          </w:rPr>
        </w:r>
        <w:r w:rsidR="00C277C6">
          <w:rPr>
            <w:noProof/>
            <w:webHidden/>
          </w:rPr>
          <w:fldChar w:fldCharType="separate"/>
        </w:r>
        <w:r w:rsidR="00C277C6">
          <w:rPr>
            <w:noProof/>
            <w:webHidden/>
          </w:rPr>
          <w:t>72</w:t>
        </w:r>
        <w:r w:rsidR="00C277C6">
          <w:rPr>
            <w:noProof/>
            <w:webHidden/>
          </w:rPr>
          <w:fldChar w:fldCharType="end"/>
        </w:r>
      </w:hyperlink>
    </w:p>
    <w:p w14:paraId="55B88B9B" w14:textId="15E40184" w:rsidR="00C277C6" w:rsidRDefault="00DC2DF4">
      <w:pPr>
        <w:pStyle w:val="Obsah2"/>
        <w:tabs>
          <w:tab w:val="right" w:leader="dot" w:pos="9062"/>
        </w:tabs>
        <w:rPr>
          <w:rFonts w:eastAsiaTheme="minorEastAsia"/>
          <w:noProof/>
          <w:sz w:val="22"/>
          <w:lang w:eastAsia="sk-SK"/>
        </w:rPr>
      </w:pPr>
      <w:hyperlink w:anchor="_Toc88652963" w:history="1">
        <w:r w:rsidR="00C277C6" w:rsidRPr="00D53B71">
          <w:rPr>
            <w:rStyle w:val="Hypertextovprepojenie"/>
            <w:rFonts w:cstheme="minorHAnsi"/>
            <w:noProof/>
          </w:rPr>
          <w:t>6.2 Dopravné modelovanie nákladnej dopravy pre úsek Žilina – Čadca – štátna hranica SR/ČR</w:t>
        </w:r>
        <w:r w:rsidR="00C277C6">
          <w:rPr>
            <w:noProof/>
            <w:webHidden/>
          </w:rPr>
          <w:tab/>
        </w:r>
        <w:r w:rsidR="00C277C6">
          <w:rPr>
            <w:noProof/>
            <w:webHidden/>
          </w:rPr>
          <w:fldChar w:fldCharType="begin"/>
        </w:r>
        <w:r w:rsidR="00C277C6">
          <w:rPr>
            <w:noProof/>
            <w:webHidden/>
          </w:rPr>
          <w:instrText xml:space="preserve"> PAGEREF _Toc88652963 \h </w:instrText>
        </w:r>
        <w:r w:rsidR="00C277C6">
          <w:rPr>
            <w:noProof/>
            <w:webHidden/>
          </w:rPr>
        </w:r>
        <w:r w:rsidR="00C277C6">
          <w:rPr>
            <w:noProof/>
            <w:webHidden/>
          </w:rPr>
          <w:fldChar w:fldCharType="separate"/>
        </w:r>
        <w:r w:rsidR="00C277C6">
          <w:rPr>
            <w:noProof/>
            <w:webHidden/>
          </w:rPr>
          <w:t>85</w:t>
        </w:r>
        <w:r w:rsidR="00C277C6">
          <w:rPr>
            <w:noProof/>
            <w:webHidden/>
          </w:rPr>
          <w:fldChar w:fldCharType="end"/>
        </w:r>
      </w:hyperlink>
    </w:p>
    <w:p w14:paraId="23D0A7C1" w14:textId="24A4BE0C" w:rsidR="00C277C6" w:rsidRDefault="00DC2DF4">
      <w:pPr>
        <w:pStyle w:val="Obsah1"/>
        <w:rPr>
          <w:rFonts w:eastAsiaTheme="minorEastAsia"/>
          <w:b w:val="0"/>
          <w:lang w:eastAsia="sk-SK"/>
        </w:rPr>
      </w:pPr>
      <w:hyperlink w:anchor="_Toc88652964" w:history="1">
        <w:r w:rsidR="00C277C6" w:rsidRPr="00D53B71">
          <w:rPr>
            <w:rStyle w:val="Hypertextovprepojenie"/>
            <w:rFonts w:cstheme="minorHAnsi"/>
            <w:caps/>
          </w:rPr>
          <w:t>7.</w:t>
        </w:r>
        <w:r w:rsidR="00C277C6">
          <w:rPr>
            <w:rFonts w:eastAsiaTheme="minorEastAsia"/>
            <w:b w:val="0"/>
            <w:lang w:eastAsia="sk-SK"/>
          </w:rPr>
          <w:tab/>
        </w:r>
        <w:r w:rsidR="00C277C6" w:rsidRPr="00D53B71">
          <w:rPr>
            <w:rStyle w:val="Hypertextovprepojenie"/>
            <w:rFonts w:cstheme="minorHAnsi"/>
            <w:caps/>
          </w:rPr>
          <w:t>Analýza Nákladov a výnosov</w:t>
        </w:r>
        <w:r w:rsidR="00C277C6">
          <w:rPr>
            <w:webHidden/>
          </w:rPr>
          <w:tab/>
        </w:r>
        <w:r w:rsidR="00C277C6">
          <w:rPr>
            <w:webHidden/>
          </w:rPr>
          <w:fldChar w:fldCharType="begin"/>
        </w:r>
        <w:r w:rsidR="00C277C6">
          <w:rPr>
            <w:webHidden/>
          </w:rPr>
          <w:instrText xml:space="preserve"> PAGEREF _Toc88652964 \h </w:instrText>
        </w:r>
        <w:r w:rsidR="00C277C6">
          <w:rPr>
            <w:webHidden/>
          </w:rPr>
        </w:r>
        <w:r w:rsidR="00C277C6">
          <w:rPr>
            <w:webHidden/>
          </w:rPr>
          <w:fldChar w:fldCharType="separate"/>
        </w:r>
        <w:r w:rsidR="00C277C6">
          <w:rPr>
            <w:webHidden/>
          </w:rPr>
          <w:t>89</w:t>
        </w:r>
        <w:r w:rsidR="00C277C6">
          <w:rPr>
            <w:webHidden/>
          </w:rPr>
          <w:fldChar w:fldCharType="end"/>
        </w:r>
      </w:hyperlink>
    </w:p>
    <w:p w14:paraId="16C066EA" w14:textId="0E65AC69" w:rsidR="00C277C6" w:rsidRDefault="00DC2DF4">
      <w:pPr>
        <w:pStyle w:val="Obsah2"/>
        <w:tabs>
          <w:tab w:val="left" w:pos="880"/>
          <w:tab w:val="right" w:leader="dot" w:pos="9062"/>
        </w:tabs>
        <w:rPr>
          <w:rFonts w:eastAsiaTheme="minorEastAsia"/>
          <w:noProof/>
          <w:sz w:val="22"/>
          <w:lang w:eastAsia="sk-SK"/>
        </w:rPr>
      </w:pPr>
      <w:hyperlink w:anchor="_Toc88652972" w:history="1">
        <w:r w:rsidR="00C277C6" w:rsidRPr="00D53B71">
          <w:rPr>
            <w:rStyle w:val="Hypertextovprepojenie"/>
            <w:noProof/>
          </w:rPr>
          <w:t>7.1</w:t>
        </w:r>
        <w:r w:rsidR="00C277C6">
          <w:rPr>
            <w:rFonts w:eastAsiaTheme="minorEastAsia"/>
            <w:noProof/>
            <w:sz w:val="22"/>
            <w:lang w:eastAsia="sk-SK"/>
          </w:rPr>
          <w:tab/>
        </w:r>
        <w:r w:rsidR="00C277C6" w:rsidRPr="00D53B71">
          <w:rPr>
            <w:rStyle w:val="Hypertextovprepojenie"/>
            <w:noProof/>
          </w:rPr>
          <w:t>Všeobecné informácie týkajúce finančnej a ekonomickej analýzy</w:t>
        </w:r>
        <w:r w:rsidR="00C277C6">
          <w:rPr>
            <w:noProof/>
            <w:webHidden/>
          </w:rPr>
          <w:tab/>
        </w:r>
        <w:r w:rsidR="00C277C6">
          <w:rPr>
            <w:noProof/>
            <w:webHidden/>
          </w:rPr>
          <w:fldChar w:fldCharType="begin"/>
        </w:r>
        <w:r w:rsidR="00C277C6">
          <w:rPr>
            <w:noProof/>
            <w:webHidden/>
          </w:rPr>
          <w:instrText xml:space="preserve"> PAGEREF _Toc88652972 \h </w:instrText>
        </w:r>
        <w:r w:rsidR="00C277C6">
          <w:rPr>
            <w:noProof/>
            <w:webHidden/>
          </w:rPr>
        </w:r>
        <w:r w:rsidR="00C277C6">
          <w:rPr>
            <w:noProof/>
            <w:webHidden/>
          </w:rPr>
          <w:fldChar w:fldCharType="separate"/>
        </w:r>
        <w:r w:rsidR="00C277C6">
          <w:rPr>
            <w:noProof/>
            <w:webHidden/>
          </w:rPr>
          <w:t>89</w:t>
        </w:r>
        <w:r w:rsidR="00C277C6">
          <w:rPr>
            <w:noProof/>
            <w:webHidden/>
          </w:rPr>
          <w:fldChar w:fldCharType="end"/>
        </w:r>
      </w:hyperlink>
    </w:p>
    <w:p w14:paraId="6E38E3A4" w14:textId="2AFE280F" w:rsidR="00C277C6" w:rsidRDefault="00DC2DF4">
      <w:pPr>
        <w:pStyle w:val="Obsah3"/>
        <w:tabs>
          <w:tab w:val="left" w:pos="1320"/>
          <w:tab w:val="right" w:leader="dot" w:pos="9062"/>
        </w:tabs>
        <w:rPr>
          <w:rFonts w:eastAsiaTheme="minorEastAsia"/>
          <w:noProof/>
          <w:sz w:val="22"/>
          <w:lang w:eastAsia="sk-SK"/>
        </w:rPr>
      </w:pPr>
      <w:hyperlink w:anchor="_Toc88652973" w:history="1">
        <w:r w:rsidR="00C277C6" w:rsidRPr="00D53B71">
          <w:rPr>
            <w:rStyle w:val="Hypertextovprepojenie"/>
            <w:noProof/>
          </w:rPr>
          <w:t>7.1.1</w:t>
        </w:r>
        <w:r w:rsidR="00C277C6">
          <w:rPr>
            <w:rFonts w:eastAsiaTheme="minorEastAsia"/>
            <w:noProof/>
            <w:sz w:val="22"/>
            <w:lang w:eastAsia="sk-SK"/>
          </w:rPr>
          <w:tab/>
        </w:r>
        <w:r w:rsidR="00C277C6" w:rsidRPr="00D53B71">
          <w:rPr>
            <w:rStyle w:val="Hypertextovprepojenie"/>
            <w:noProof/>
          </w:rPr>
          <w:t>Definícia finančnej a ekonomickej analýzy</w:t>
        </w:r>
        <w:r w:rsidR="00C277C6">
          <w:rPr>
            <w:noProof/>
            <w:webHidden/>
          </w:rPr>
          <w:tab/>
        </w:r>
        <w:r w:rsidR="00C277C6">
          <w:rPr>
            <w:noProof/>
            <w:webHidden/>
          </w:rPr>
          <w:fldChar w:fldCharType="begin"/>
        </w:r>
        <w:r w:rsidR="00C277C6">
          <w:rPr>
            <w:noProof/>
            <w:webHidden/>
          </w:rPr>
          <w:instrText xml:space="preserve"> PAGEREF _Toc88652973 \h </w:instrText>
        </w:r>
        <w:r w:rsidR="00C277C6">
          <w:rPr>
            <w:noProof/>
            <w:webHidden/>
          </w:rPr>
        </w:r>
        <w:r w:rsidR="00C277C6">
          <w:rPr>
            <w:noProof/>
            <w:webHidden/>
          </w:rPr>
          <w:fldChar w:fldCharType="separate"/>
        </w:r>
        <w:r w:rsidR="00C277C6">
          <w:rPr>
            <w:noProof/>
            <w:webHidden/>
          </w:rPr>
          <w:t>89</w:t>
        </w:r>
        <w:r w:rsidR="00C277C6">
          <w:rPr>
            <w:noProof/>
            <w:webHidden/>
          </w:rPr>
          <w:fldChar w:fldCharType="end"/>
        </w:r>
      </w:hyperlink>
    </w:p>
    <w:p w14:paraId="1781F31B" w14:textId="486C0F96" w:rsidR="00C277C6" w:rsidRDefault="00DC2DF4">
      <w:pPr>
        <w:pStyle w:val="Obsah3"/>
        <w:tabs>
          <w:tab w:val="left" w:pos="1320"/>
          <w:tab w:val="right" w:leader="dot" w:pos="9062"/>
        </w:tabs>
        <w:rPr>
          <w:rFonts w:eastAsiaTheme="minorEastAsia"/>
          <w:noProof/>
          <w:sz w:val="22"/>
          <w:lang w:eastAsia="sk-SK"/>
        </w:rPr>
      </w:pPr>
      <w:hyperlink w:anchor="_Toc88652974" w:history="1">
        <w:r w:rsidR="00C277C6" w:rsidRPr="00D53B71">
          <w:rPr>
            <w:rStyle w:val="Hypertextovprepojenie"/>
            <w:noProof/>
          </w:rPr>
          <w:t>7.1.2</w:t>
        </w:r>
        <w:r w:rsidR="00C277C6">
          <w:rPr>
            <w:rFonts w:eastAsiaTheme="minorEastAsia"/>
            <w:noProof/>
            <w:sz w:val="22"/>
            <w:lang w:eastAsia="sk-SK"/>
          </w:rPr>
          <w:tab/>
        </w:r>
        <w:r w:rsidR="00C277C6" w:rsidRPr="00D53B71">
          <w:rPr>
            <w:rStyle w:val="Hypertextovprepojenie"/>
            <w:noProof/>
          </w:rPr>
          <w:t>Projekty generujúce príjem</w:t>
        </w:r>
        <w:r w:rsidR="00C277C6">
          <w:rPr>
            <w:noProof/>
            <w:webHidden/>
          </w:rPr>
          <w:tab/>
        </w:r>
        <w:r w:rsidR="00C277C6">
          <w:rPr>
            <w:noProof/>
            <w:webHidden/>
          </w:rPr>
          <w:fldChar w:fldCharType="begin"/>
        </w:r>
        <w:r w:rsidR="00C277C6">
          <w:rPr>
            <w:noProof/>
            <w:webHidden/>
          </w:rPr>
          <w:instrText xml:space="preserve"> PAGEREF _Toc88652974 \h </w:instrText>
        </w:r>
        <w:r w:rsidR="00C277C6">
          <w:rPr>
            <w:noProof/>
            <w:webHidden/>
          </w:rPr>
        </w:r>
        <w:r w:rsidR="00C277C6">
          <w:rPr>
            <w:noProof/>
            <w:webHidden/>
          </w:rPr>
          <w:fldChar w:fldCharType="separate"/>
        </w:r>
        <w:r w:rsidR="00C277C6">
          <w:rPr>
            <w:noProof/>
            <w:webHidden/>
          </w:rPr>
          <w:t>89</w:t>
        </w:r>
        <w:r w:rsidR="00C277C6">
          <w:rPr>
            <w:noProof/>
            <w:webHidden/>
          </w:rPr>
          <w:fldChar w:fldCharType="end"/>
        </w:r>
      </w:hyperlink>
    </w:p>
    <w:p w14:paraId="6F581544" w14:textId="2EA5F536" w:rsidR="00C277C6" w:rsidRDefault="00DC2DF4">
      <w:pPr>
        <w:pStyle w:val="Obsah3"/>
        <w:tabs>
          <w:tab w:val="left" w:pos="1320"/>
          <w:tab w:val="right" w:leader="dot" w:pos="9062"/>
        </w:tabs>
        <w:rPr>
          <w:rFonts w:eastAsiaTheme="minorEastAsia"/>
          <w:noProof/>
          <w:sz w:val="22"/>
          <w:lang w:eastAsia="sk-SK"/>
        </w:rPr>
      </w:pPr>
      <w:hyperlink w:anchor="_Toc88652975" w:history="1">
        <w:r w:rsidR="00C277C6" w:rsidRPr="00D53B71">
          <w:rPr>
            <w:rStyle w:val="Hypertextovprepojenie"/>
            <w:noProof/>
          </w:rPr>
          <w:t>7.1.3</w:t>
        </w:r>
        <w:r w:rsidR="00C277C6">
          <w:rPr>
            <w:rFonts w:eastAsiaTheme="minorEastAsia"/>
            <w:noProof/>
            <w:sz w:val="22"/>
            <w:lang w:eastAsia="sk-SK"/>
          </w:rPr>
          <w:tab/>
        </w:r>
        <w:r w:rsidR="00C277C6" w:rsidRPr="00D53B71">
          <w:rPr>
            <w:rStyle w:val="Hypertextovprepojenie"/>
            <w:noProof/>
          </w:rPr>
          <w:t>Použitie prírastkovej metódy</w:t>
        </w:r>
        <w:r w:rsidR="00C277C6">
          <w:rPr>
            <w:noProof/>
            <w:webHidden/>
          </w:rPr>
          <w:tab/>
        </w:r>
        <w:r w:rsidR="00C277C6">
          <w:rPr>
            <w:noProof/>
            <w:webHidden/>
          </w:rPr>
          <w:fldChar w:fldCharType="begin"/>
        </w:r>
        <w:r w:rsidR="00C277C6">
          <w:rPr>
            <w:noProof/>
            <w:webHidden/>
          </w:rPr>
          <w:instrText xml:space="preserve"> PAGEREF _Toc88652975 \h </w:instrText>
        </w:r>
        <w:r w:rsidR="00C277C6">
          <w:rPr>
            <w:noProof/>
            <w:webHidden/>
          </w:rPr>
        </w:r>
        <w:r w:rsidR="00C277C6">
          <w:rPr>
            <w:noProof/>
            <w:webHidden/>
          </w:rPr>
          <w:fldChar w:fldCharType="separate"/>
        </w:r>
        <w:r w:rsidR="00C277C6">
          <w:rPr>
            <w:noProof/>
            <w:webHidden/>
          </w:rPr>
          <w:t>89</w:t>
        </w:r>
        <w:r w:rsidR="00C277C6">
          <w:rPr>
            <w:noProof/>
            <w:webHidden/>
          </w:rPr>
          <w:fldChar w:fldCharType="end"/>
        </w:r>
      </w:hyperlink>
    </w:p>
    <w:p w14:paraId="2134D654" w14:textId="21778026" w:rsidR="00C277C6" w:rsidRDefault="00DC2DF4">
      <w:pPr>
        <w:pStyle w:val="Obsah3"/>
        <w:tabs>
          <w:tab w:val="left" w:pos="1320"/>
          <w:tab w:val="right" w:leader="dot" w:pos="9062"/>
        </w:tabs>
        <w:rPr>
          <w:rFonts w:eastAsiaTheme="minorEastAsia"/>
          <w:noProof/>
          <w:sz w:val="22"/>
          <w:lang w:eastAsia="sk-SK"/>
        </w:rPr>
      </w:pPr>
      <w:hyperlink w:anchor="_Toc88652976" w:history="1">
        <w:r w:rsidR="00C277C6" w:rsidRPr="00D53B71">
          <w:rPr>
            <w:rStyle w:val="Hypertextovprepojenie"/>
            <w:noProof/>
          </w:rPr>
          <w:t>7.1.4</w:t>
        </w:r>
        <w:r w:rsidR="00C277C6">
          <w:rPr>
            <w:rFonts w:eastAsiaTheme="minorEastAsia"/>
            <w:noProof/>
            <w:sz w:val="22"/>
            <w:lang w:eastAsia="sk-SK"/>
          </w:rPr>
          <w:tab/>
        </w:r>
        <w:r w:rsidR="00C277C6" w:rsidRPr="00D53B71">
          <w:rPr>
            <w:rStyle w:val="Hypertextovprepojenie"/>
            <w:noProof/>
          </w:rPr>
          <w:t>Stále ceny v porovnaní s bežnými cenami</w:t>
        </w:r>
        <w:r w:rsidR="00C277C6">
          <w:rPr>
            <w:noProof/>
            <w:webHidden/>
          </w:rPr>
          <w:tab/>
        </w:r>
        <w:r w:rsidR="00C277C6">
          <w:rPr>
            <w:noProof/>
            <w:webHidden/>
          </w:rPr>
          <w:fldChar w:fldCharType="begin"/>
        </w:r>
        <w:r w:rsidR="00C277C6">
          <w:rPr>
            <w:noProof/>
            <w:webHidden/>
          </w:rPr>
          <w:instrText xml:space="preserve"> PAGEREF _Toc88652976 \h </w:instrText>
        </w:r>
        <w:r w:rsidR="00C277C6">
          <w:rPr>
            <w:noProof/>
            <w:webHidden/>
          </w:rPr>
        </w:r>
        <w:r w:rsidR="00C277C6">
          <w:rPr>
            <w:noProof/>
            <w:webHidden/>
          </w:rPr>
          <w:fldChar w:fldCharType="separate"/>
        </w:r>
        <w:r w:rsidR="00C277C6">
          <w:rPr>
            <w:noProof/>
            <w:webHidden/>
          </w:rPr>
          <w:t>89</w:t>
        </w:r>
        <w:r w:rsidR="00C277C6">
          <w:rPr>
            <w:noProof/>
            <w:webHidden/>
          </w:rPr>
          <w:fldChar w:fldCharType="end"/>
        </w:r>
      </w:hyperlink>
    </w:p>
    <w:p w14:paraId="030F1B7A" w14:textId="1958C6C9" w:rsidR="00C277C6" w:rsidRDefault="00DC2DF4">
      <w:pPr>
        <w:pStyle w:val="Obsah3"/>
        <w:tabs>
          <w:tab w:val="left" w:pos="1320"/>
          <w:tab w:val="right" w:leader="dot" w:pos="9062"/>
        </w:tabs>
        <w:rPr>
          <w:rFonts w:eastAsiaTheme="minorEastAsia"/>
          <w:noProof/>
          <w:sz w:val="22"/>
          <w:lang w:eastAsia="sk-SK"/>
        </w:rPr>
      </w:pPr>
      <w:hyperlink w:anchor="_Toc88652977" w:history="1">
        <w:r w:rsidR="00C277C6" w:rsidRPr="00D53B71">
          <w:rPr>
            <w:rStyle w:val="Hypertextovprepojenie"/>
            <w:noProof/>
          </w:rPr>
          <w:t>7.1.5</w:t>
        </w:r>
        <w:r w:rsidR="00C277C6">
          <w:rPr>
            <w:rFonts w:eastAsiaTheme="minorEastAsia"/>
            <w:noProof/>
            <w:sz w:val="22"/>
            <w:lang w:eastAsia="sk-SK"/>
          </w:rPr>
          <w:tab/>
        </w:r>
        <w:r w:rsidR="00C277C6" w:rsidRPr="00D53B71">
          <w:rPr>
            <w:rStyle w:val="Hypertextovprepojenie"/>
            <w:noProof/>
          </w:rPr>
          <w:t>Časová hodnota peňazí a diskontovanie</w:t>
        </w:r>
        <w:r w:rsidR="00C277C6">
          <w:rPr>
            <w:noProof/>
            <w:webHidden/>
          </w:rPr>
          <w:tab/>
        </w:r>
        <w:r w:rsidR="00C277C6">
          <w:rPr>
            <w:noProof/>
            <w:webHidden/>
          </w:rPr>
          <w:fldChar w:fldCharType="begin"/>
        </w:r>
        <w:r w:rsidR="00C277C6">
          <w:rPr>
            <w:noProof/>
            <w:webHidden/>
          </w:rPr>
          <w:instrText xml:space="preserve"> PAGEREF _Toc88652977 \h </w:instrText>
        </w:r>
        <w:r w:rsidR="00C277C6">
          <w:rPr>
            <w:noProof/>
            <w:webHidden/>
          </w:rPr>
        </w:r>
        <w:r w:rsidR="00C277C6">
          <w:rPr>
            <w:noProof/>
            <w:webHidden/>
          </w:rPr>
          <w:fldChar w:fldCharType="separate"/>
        </w:r>
        <w:r w:rsidR="00C277C6">
          <w:rPr>
            <w:noProof/>
            <w:webHidden/>
          </w:rPr>
          <w:t>90</w:t>
        </w:r>
        <w:r w:rsidR="00C277C6">
          <w:rPr>
            <w:noProof/>
            <w:webHidden/>
          </w:rPr>
          <w:fldChar w:fldCharType="end"/>
        </w:r>
      </w:hyperlink>
    </w:p>
    <w:p w14:paraId="759DCB51" w14:textId="001C9B61" w:rsidR="00C277C6" w:rsidRDefault="00DC2DF4">
      <w:pPr>
        <w:pStyle w:val="Obsah2"/>
        <w:tabs>
          <w:tab w:val="left" w:pos="880"/>
          <w:tab w:val="right" w:leader="dot" w:pos="9062"/>
        </w:tabs>
        <w:rPr>
          <w:rFonts w:eastAsiaTheme="minorEastAsia"/>
          <w:noProof/>
          <w:sz w:val="22"/>
          <w:lang w:eastAsia="sk-SK"/>
        </w:rPr>
      </w:pPr>
      <w:hyperlink w:anchor="_Toc88652978" w:history="1">
        <w:r w:rsidR="00C277C6" w:rsidRPr="00D53B71">
          <w:rPr>
            <w:rStyle w:val="Hypertextovprepojenie"/>
            <w:rFonts w:cstheme="minorHAnsi"/>
            <w:bCs/>
            <w:noProof/>
          </w:rPr>
          <w:t>7.2</w:t>
        </w:r>
        <w:r w:rsidR="00C277C6">
          <w:rPr>
            <w:rFonts w:eastAsiaTheme="minorEastAsia"/>
            <w:noProof/>
            <w:sz w:val="22"/>
            <w:lang w:eastAsia="sk-SK"/>
          </w:rPr>
          <w:tab/>
        </w:r>
        <w:r w:rsidR="00C277C6" w:rsidRPr="00D53B71">
          <w:rPr>
            <w:rStyle w:val="Hypertextovprepojenie"/>
            <w:rFonts w:cstheme="minorHAnsi"/>
            <w:bCs/>
            <w:noProof/>
          </w:rPr>
          <w:t>Vstupné informácie</w:t>
        </w:r>
        <w:r w:rsidR="00C277C6">
          <w:rPr>
            <w:noProof/>
            <w:webHidden/>
          </w:rPr>
          <w:tab/>
        </w:r>
        <w:r w:rsidR="00C277C6">
          <w:rPr>
            <w:noProof/>
            <w:webHidden/>
          </w:rPr>
          <w:fldChar w:fldCharType="begin"/>
        </w:r>
        <w:r w:rsidR="00C277C6">
          <w:rPr>
            <w:noProof/>
            <w:webHidden/>
          </w:rPr>
          <w:instrText xml:space="preserve"> PAGEREF _Toc88652978 \h </w:instrText>
        </w:r>
        <w:r w:rsidR="00C277C6">
          <w:rPr>
            <w:noProof/>
            <w:webHidden/>
          </w:rPr>
        </w:r>
        <w:r w:rsidR="00C277C6">
          <w:rPr>
            <w:noProof/>
            <w:webHidden/>
          </w:rPr>
          <w:fldChar w:fldCharType="separate"/>
        </w:r>
        <w:r w:rsidR="00C277C6">
          <w:rPr>
            <w:noProof/>
            <w:webHidden/>
          </w:rPr>
          <w:t>90</w:t>
        </w:r>
        <w:r w:rsidR="00C277C6">
          <w:rPr>
            <w:noProof/>
            <w:webHidden/>
          </w:rPr>
          <w:fldChar w:fldCharType="end"/>
        </w:r>
      </w:hyperlink>
    </w:p>
    <w:p w14:paraId="418DE4E1" w14:textId="573EB2CA" w:rsidR="00C277C6" w:rsidRDefault="00DC2DF4">
      <w:pPr>
        <w:pStyle w:val="Obsah3"/>
        <w:tabs>
          <w:tab w:val="left" w:pos="1320"/>
          <w:tab w:val="right" w:leader="dot" w:pos="9062"/>
        </w:tabs>
        <w:rPr>
          <w:rFonts w:eastAsiaTheme="minorEastAsia"/>
          <w:noProof/>
          <w:sz w:val="22"/>
          <w:lang w:eastAsia="sk-SK"/>
        </w:rPr>
      </w:pPr>
      <w:hyperlink w:anchor="_Toc88652979" w:history="1">
        <w:r w:rsidR="00C277C6" w:rsidRPr="00D53B71">
          <w:rPr>
            <w:rStyle w:val="Hypertextovprepojenie"/>
            <w:noProof/>
          </w:rPr>
          <w:t>7.2.1</w:t>
        </w:r>
        <w:r w:rsidR="00C277C6">
          <w:rPr>
            <w:rFonts w:eastAsiaTheme="minorEastAsia"/>
            <w:noProof/>
            <w:sz w:val="22"/>
            <w:lang w:eastAsia="sk-SK"/>
          </w:rPr>
          <w:tab/>
        </w:r>
        <w:r w:rsidR="00C277C6" w:rsidRPr="00D53B71">
          <w:rPr>
            <w:rStyle w:val="Hypertextovprepojenie"/>
            <w:noProof/>
          </w:rPr>
          <w:t>Variant A „ZÁKLADNÁ MODERNIZÁCIA“</w:t>
        </w:r>
        <w:r w:rsidR="00C277C6">
          <w:rPr>
            <w:noProof/>
            <w:webHidden/>
          </w:rPr>
          <w:tab/>
        </w:r>
        <w:r w:rsidR="00C277C6">
          <w:rPr>
            <w:noProof/>
            <w:webHidden/>
          </w:rPr>
          <w:fldChar w:fldCharType="begin"/>
        </w:r>
        <w:r w:rsidR="00C277C6">
          <w:rPr>
            <w:noProof/>
            <w:webHidden/>
          </w:rPr>
          <w:instrText xml:space="preserve"> PAGEREF _Toc88652979 \h </w:instrText>
        </w:r>
        <w:r w:rsidR="00C277C6">
          <w:rPr>
            <w:noProof/>
            <w:webHidden/>
          </w:rPr>
        </w:r>
        <w:r w:rsidR="00C277C6">
          <w:rPr>
            <w:noProof/>
            <w:webHidden/>
          </w:rPr>
          <w:fldChar w:fldCharType="separate"/>
        </w:r>
        <w:r w:rsidR="00C277C6">
          <w:rPr>
            <w:noProof/>
            <w:webHidden/>
          </w:rPr>
          <w:t>90</w:t>
        </w:r>
        <w:r w:rsidR="00C277C6">
          <w:rPr>
            <w:noProof/>
            <w:webHidden/>
          </w:rPr>
          <w:fldChar w:fldCharType="end"/>
        </w:r>
      </w:hyperlink>
    </w:p>
    <w:p w14:paraId="7B925F48" w14:textId="14B589B8" w:rsidR="00C277C6" w:rsidRDefault="00DC2DF4">
      <w:pPr>
        <w:pStyle w:val="Obsah3"/>
        <w:tabs>
          <w:tab w:val="left" w:pos="1320"/>
          <w:tab w:val="right" w:leader="dot" w:pos="9062"/>
        </w:tabs>
        <w:rPr>
          <w:rFonts w:eastAsiaTheme="minorEastAsia"/>
          <w:noProof/>
          <w:sz w:val="22"/>
          <w:lang w:eastAsia="sk-SK"/>
        </w:rPr>
      </w:pPr>
      <w:hyperlink w:anchor="_Toc88652980" w:history="1">
        <w:r w:rsidR="00C277C6" w:rsidRPr="00D53B71">
          <w:rPr>
            <w:rStyle w:val="Hypertextovprepojenie"/>
            <w:noProof/>
          </w:rPr>
          <w:t>7.2.2</w:t>
        </w:r>
        <w:r w:rsidR="00C277C6">
          <w:rPr>
            <w:rFonts w:eastAsiaTheme="minorEastAsia"/>
            <w:noProof/>
            <w:sz w:val="22"/>
            <w:lang w:eastAsia="sk-SK"/>
          </w:rPr>
          <w:tab/>
        </w:r>
        <w:r w:rsidR="00C277C6" w:rsidRPr="00D53B71">
          <w:rPr>
            <w:rStyle w:val="Hypertextovprepojenie"/>
            <w:noProof/>
          </w:rPr>
          <w:t>Variant B „MODERNIZÁCIA žel. trate na rýchlosť 120 až 160 km/hod“</w:t>
        </w:r>
        <w:r w:rsidR="00C277C6">
          <w:rPr>
            <w:noProof/>
            <w:webHidden/>
          </w:rPr>
          <w:tab/>
        </w:r>
        <w:r w:rsidR="00C277C6">
          <w:rPr>
            <w:noProof/>
            <w:webHidden/>
          </w:rPr>
          <w:fldChar w:fldCharType="begin"/>
        </w:r>
        <w:r w:rsidR="00C277C6">
          <w:rPr>
            <w:noProof/>
            <w:webHidden/>
          </w:rPr>
          <w:instrText xml:space="preserve"> PAGEREF _Toc88652980 \h </w:instrText>
        </w:r>
        <w:r w:rsidR="00C277C6">
          <w:rPr>
            <w:noProof/>
            <w:webHidden/>
          </w:rPr>
        </w:r>
        <w:r w:rsidR="00C277C6">
          <w:rPr>
            <w:noProof/>
            <w:webHidden/>
          </w:rPr>
          <w:fldChar w:fldCharType="separate"/>
        </w:r>
        <w:r w:rsidR="00C277C6">
          <w:rPr>
            <w:noProof/>
            <w:webHidden/>
          </w:rPr>
          <w:t>92</w:t>
        </w:r>
        <w:r w:rsidR="00C277C6">
          <w:rPr>
            <w:noProof/>
            <w:webHidden/>
          </w:rPr>
          <w:fldChar w:fldCharType="end"/>
        </w:r>
      </w:hyperlink>
    </w:p>
    <w:p w14:paraId="395E3B4D" w14:textId="7877C43F" w:rsidR="00C277C6" w:rsidRDefault="00DC2DF4">
      <w:pPr>
        <w:pStyle w:val="Obsah3"/>
        <w:tabs>
          <w:tab w:val="left" w:pos="1320"/>
          <w:tab w:val="right" w:leader="dot" w:pos="9062"/>
        </w:tabs>
        <w:rPr>
          <w:rFonts w:eastAsiaTheme="minorEastAsia"/>
          <w:noProof/>
          <w:sz w:val="22"/>
          <w:lang w:eastAsia="sk-SK"/>
        </w:rPr>
      </w:pPr>
      <w:hyperlink w:anchor="_Toc88652981" w:history="1">
        <w:r w:rsidR="00C277C6" w:rsidRPr="00D53B71">
          <w:rPr>
            <w:rStyle w:val="Hypertextovprepojenie"/>
            <w:noProof/>
          </w:rPr>
          <w:t>7.2.3</w:t>
        </w:r>
        <w:r w:rsidR="00C277C6">
          <w:rPr>
            <w:rFonts w:eastAsiaTheme="minorEastAsia"/>
            <w:noProof/>
            <w:sz w:val="22"/>
            <w:lang w:eastAsia="sk-SK"/>
          </w:rPr>
          <w:tab/>
        </w:r>
        <w:r w:rsidR="00C277C6" w:rsidRPr="00D53B71">
          <w:rPr>
            <w:rStyle w:val="Hypertextovprepojenie"/>
            <w:noProof/>
          </w:rPr>
          <w:t>Variant C „KOMBINOVANÝ – optimalizácia trate“</w:t>
        </w:r>
        <w:r w:rsidR="00C277C6">
          <w:rPr>
            <w:noProof/>
            <w:webHidden/>
          </w:rPr>
          <w:tab/>
        </w:r>
        <w:r w:rsidR="00C277C6">
          <w:rPr>
            <w:noProof/>
            <w:webHidden/>
          </w:rPr>
          <w:fldChar w:fldCharType="begin"/>
        </w:r>
        <w:r w:rsidR="00C277C6">
          <w:rPr>
            <w:noProof/>
            <w:webHidden/>
          </w:rPr>
          <w:instrText xml:space="preserve"> PAGEREF _Toc88652981 \h </w:instrText>
        </w:r>
        <w:r w:rsidR="00C277C6">
          <w:rPr>
            <w:noProof/>
            <w:webHidden/>
          </w:rPr>
        </w:r>
        <w:r w:rsidR="00C277C6">
          <w:rPr>
            <w:noProof/>
            <w:webHidden/>
          </w:rPr>
          <w:fldChar w:fldCharType="separate"/>
        </w:r>
        <w:r w:rsidR="00C277C6">
          <w:rPr>
            <w:noProof/>
            <w:webHidden/>
          </w:rPr>
          <w:t>93</w:t>
        </w:r>
        <w:r w:rsidR="00C277C6">
          <w:rPr>
            <w:noProof/>
            <w:webHidden/>
          </w:rPr>
          <w:fldChar w:fldCharType="end"/>
        </w:r>
      </w:hyperlink>
    </w:p>
    <w:p w14:paraId="6F15D369" w14:textId="1147586D" w:rsidR="00C277C6" w:rsidRDefault="00DC2DF4">
      <w:pPr>
        <w:pStyle w:val="Obsah2"/>
        <w:tabs>
          <w:tab w:val="left" w:pos="880"/>
          <w:tab w:val="right" w:leader="dot" w:pos="9062"/>
        </w:tabs>
        <w:rPr>
          <w:rFonts w:eastAsiaTheme="minorEastAsia"/>
          <w:noProof/>
          <w:sz w:val="22"/>
          <w:lang w:eastAsia="sk-SK"/>
        </w:rPr>
      </w:pPr>
      <w:hyperlink w:anchor="_Toc88652982" w:history="1">
        <w:r w:rsidR="00C277C6" w:rsidRPr="00D53B71">
          <w:rPr>
            <w:rStyle w:val="Hypertextovprepojenie"/>
            <w:noProof/>
          </w:rPr>
          <w:t>7.3</w:t>
        </w:r>
        <w:r w:rsidR="00C277C6">
          <w:rPr>
            <w:rFonts w:eastAsiaTheme="minorEastAsia"/>
            <w:noProof/>
            <w:sz w:val="22"/>
            <w:lang w:eastAsia="sk-SK"/>
          </w:rPr>
          <w:tab/>
        </w:r>
        <w:r w:rsidR="00C277C6" w:rsidRPr="00D53B71">
          <w:rPr>
            <w:rStyle w:val="Hypertextovprepojenie"/>
            <w:noProof/>
          </w:rPr>
          <w:t>Finančná analýza</w:t>
        </w:r>
        <w:r w:rsidR="00C277C6">
          <w:rPr>
            <w:noProof/>
            <w:webHidden/>
          </w:rPr>
          <w:tab/>
        </w:r>
        <w:r w:rsidR="00C277C6">
          <w:rPr>
            <w:noProof/>
            <w:webHidden/>
          </w:rPr>
          <w:fldChar w:fldCharType="begin"/>
        </w:r>
        <w:r w:rsidR="00C277C6">
          <w:rPr>
            <w:noProof/>
            <w:webHidden/>
          </w:rPr>
          <w:instrText xml:space="preserve"> PAGEREF _Toc88652982 \h </w:instrText>
        </w:r>
        <w:r w:rsidR="00C277C6">
          <w:rPr>
            <w:noProof/>
            <w:webHidden/>
          </w:rPr>
        </w:r>
        <w:r w:rsidR="00C277C6">
          <w:rPr>
            <w:noProof/>
            <w:webHidden/>
          </w:rPr>
          <w:fldChar w:fldCharType="separate"/>
        </w:r>
        <w:r w:rsidR="00C277C6">
          <w:rPr>
            <w:noProof/>
            <w:webHidden/>
          </w:rPr>
          <w:t>96</w:t>
        </w:r>
        <w:r w:rsidR="00C277C6">
          <w:rPr>
            <w:noProof/>
            <w:webHidden/>
          </w:rPr>
          <w:fldChar w:fldCharType="end"/>
        </w:r>
      </w:hyperlink>
    </w:p>
    <w:p w14:paraId="335C4633" w14:textId="732EEC97" w:rsidR="00C277C6" w:rsidRDefault="00DC2DF4">
      <w:pPr>
        <w:pStyle w:val="Obsah3"/>
        <w:tabs>
          <w:tab w:val="left" w:pos="1320"/>
          <w:tab w:val="right" w:leader="dot" w:pos="9062"/>
        </w:tabs>
        <w:rPr>
          <w:rFonts w:eastAsiaTheme="minorEastAsia"/>
          <w:noProof/>
          <w:sz w:val="22"/>
          <w:lang w:eastAsia="sk-SK"/>
        </w:rPr>
      </w:pPr>
      <w:hyperlink w:anchor="_Toc88652983" w:history="1">
        <w:r w:rsidR="00C277C6" w:rsidRPr="00D53B71">
          <w:rPr>
            <w:rStyle w:val="Hypertextovprepojenie"/>
            <w:noProof/>
          </w:rPr>
          <w:t>7.3.1</w:t>
        </w:r>
        <w:r w:rsidR="00C277C6">
          <w:rPr>
            <w:rFonts w:eastAsiaTheme="minorEastAsia"/>
            <w:noProof/>
            <w:sz w:val="22"/>
            <w:lang w:eastAsia="sk-SK"/>
          </w:rPr>
          <w:tab/>
        </w:r>
        <w:r w:rsidR="00C277C6" w:rsidRPr="00D53B71">
          <w:rPr>
            <w:rStyle w:val="Hypertextovprepojenie"/>
            <w:noProof/>
          </w:rPr>
          <w:t>Variant A „ZÁKLADNÁ MODERNIZÁCIA“</w:t>
        </w:r>
        <w:r w:rsidR="00C277C6">
          <w:rPr>
            <w:noProof/>
            <w:webHidden/>
          </w:rPr>
          <w:tab/>
        </w:r>
        <w:r w:rsidR="00C277C6">
          <w:rPr>
            <w:noProof/>
            <w:webHidden/>
          </w:rPr>
          <w:fldChar w:fldCharType="begin"/>
        </w:r>
        <w:r w:rsidR="00C277C6">
          <w:rPr>
            <w:noProof/>
            <w:webHidden/>
          </w:rPr>
          <w:instrText xml:space="preserve"> PAGEREF _Toc88652983 \h </w:instrText>
        </w:r>
        <w:r w:rsidR="00C277C6">
          <w:rPr>
            <w:noProof/>
            <w:webHidden/>
          </w:rPr>
        </w:r>
        <w:r w:rsidR="00C277C6">
          <w:rPr>
            <w:noProof/>
            <w:webHidden/>
          </w:rPr>
          <w:fldChar w:fldCharType="separate"/>
        </w:r>
        <w:r w:rsidR="00C277C6">
          <w:rPr>
            <w:noProof/>
            <w:webHidden/>
          </w:rPr>
          <w:t>96</w:t>
        </w:r>
        <w:r w:rsidR="00C277C6">
          <w:rPr>
            <w:noProof/>
            <w:webHidden/>
          </w:rPr>
          <w:fldChar w:fldCharType="end"/>
        </w:r>
      </w:hyperlink>
    </w:p>
    <w:p w14:paraId="75FDF175" w14:textId="6E283E72" w:rsidR="00C277C6" w:rsidRDefault="00DC2DF4">
      <w:pPr>
        <w:pStyle w:val="Obsah4"/>
        <w:tabs>
          <w:tab w:val="left" w:pos="1760"/>
          <w:tab w:val="right" w:leader="dot" w:pos="9062"/>
        </w:tabs>
        <w:rPr>
          <w:rFonts w:eastAsiaTheme="minorEastAsia"/>
          <w:noProof/>
          <w:sz w:val="22"/>
          <w:lang w:eastAsia="sk-SK"/>
        </w:rPr>
      </w:pPr>
      <w:hyperlink w:anchor="_Toc88652984" w:history="1">
        <w:r w:rsidR="00C277C6" w:rsidRPr="00D53B71">
          <w:rPr>
            <w:rStyle w:val="Hypertextovprepojenie"/>
            <w:noProof/>
          </w:rPr>
          <w:t>7.3.1.1</w:t>
        </w:r>
        <w:r w:rsidR="00C277C6">
          <w:rPr>
            <w:rFonts w:eastAsiaTheme="minorEastAsia"/>
            <w:noProof/>
            <w:sz w:val="22"/>
            <w:lang w:eastAsia="sk-SK"/>
          </w:rPr>
          <w:tab/>
        </w:r>
        <w:r w:rsidR="00C277C6" w:rsidRPr="00D53B71">
          <w:rPr>
            <w:rStyle w:val="Hypertextovprepojenie"/>
            <w:noProof/>
          </w:rPr>
          <w:t>Investičné náklady</w:t>
        </w:r>
        <w:r w:rsidR="00C277C6">
          <w:rPr>
            <w:noProof/>
            <w:webHidden/>
          </w:rPr>
          <w:tab/>
        </w:r>
        <w:r w:rsidR="00C277C6">
          <w:rPr>
            <w:noProof/>
            <w:webHidden/>
          </w:rPr>
          <w:fldChar w:fldCharType="begin"/>
        </w:r>
        <w:r w:rsidR="00C277C6">
          <w:rPr>
            <w:noProof/>
            <w:webHidden/>
          </w:rPr>
          <w:instrText xml:space="preserve"> PAGEREF _Toc88652984 \h </w:instrText>
        </w:r>
        <w:r w:rsidR="00C277C6">
          <w:rPr>
            <w:noProof/>
            <w:webHidden/>
          </w:rPr>
        </w:r>
        <w:r w:rsidR="00C277C6">
          <w:rPr>
            <w:noProof/>
            <w:webHidden/>
          </w:rPr>
          <w:fldChar w:fldCharType="separate"/>
        </w:r>
        <w:r w:rsidR="00C277C6">
          <w:rPr>
            <w:noProof/>
            <w:webHidden/>
          </w:rPr>
          <w:t>96</w:t>
        </w:r>
        <w:r w:rsidR="00C277C6">
          <w:rPr>
            <w:noProof/>
            <w:webHidden/>
          </w:rPr>
          <w:fldChar w:fldCharType="end"/>
        </w:r>
      </w:hyperlink>
    </w:p>
    <w:p w14:paraId="2A251B07" w14:textId="22624461" w:rsidR="00C277C6" w:rsidRDefault="00DC2DF4">
      <w:pPr>
        <w:pStyle w:val="Obsah4"/>
        <w:tabs>
          <w:tab w:val="left" w:pos="1760"/>
          <w:tab w:val="right" w:leader="dot" w:pos="9062"/>
        </w:tabs>
        <w:rPr>
          <w:rFonts w:eastAsiaTheme="minorEastAsia"/>
          <w:noProof/>
          <w:sz w:val="22"/>
          <w:lang w:eastAsia="sk-SK"/>
        </w:rPr>
      </w:pPr>
      <w:hyperlink w:anchor="_Toc88652985" w:history="1">
        <w:r w:rsidR="00C277C6" w:rsidRPr="00D53B71">
          <w:rPr>
            <w:rStyle w:val="Hypertextovprepojenie"/>
            <w:noProof/>
          </w:rPr>
          <w:t>7.3.1.2</w:t>
        </w:r>
        <w:r w:rsidR="00C277C6">
          <w:rPr>
            <w:rFonts w:eastAsiaTheme="minorEastAsia"/>
            <w:noProof/>
            <w:sz w:val="22"/>
            <w:lang w:eastAsia="sk-SK"/>
          </w:rPr>
          <w:tab/>
        </w:r>
        <w:r w:rsidR="00C277C6" w:rsidRPr="00D53B71">
          <w:rPr>
            <w:rStyle w:val="Hypertextovprepojenie"/>
            <w:noProof/>
          </w:rPr>
          <w:t>Rezerva na nepredvídateľné výdavky</w:t>
        </w:r>
        <w:r w:rsidR="00C277C6">
          <w:rPr>
            <w:noProof/>
            <w:webHidden/>
          </w:rPr>
          <w:tab/>
        </w:r>
        <w:r w:rsidR="00C277C6">
          <w:rPr>
            <w:noProof/>
            <w:webHidden/>
          </w:rPr>
          <w:fldChar w:fldCharType="begin"/>
        </w:r>
        <w:r w:rsidR="00C277C6">
          <w:rPr>
            <w:noProof/>
            <w:webHidden/>
          </w:rPr>
          <w:instrText xml:space="preserve"> PAGEREF _Toc88652985 \h </w:instrText>
        </w:r>
        <w:r w:rsidR="00C277C6">
          <w:rPr>
            <w:noProof/>
            <w:webHidden/>
          </w:rPr>
        </w:r>
        <w:r w:rsidR="00C277C6">
          <w:rPr>
            <w:noProof/>
            <w:webHidden/>
          </w:rPr>
          <w:fldChar w:fldCharType="separate"/>
        </w:r>
        <w:r w:rsidR="00C277C6">
          <w:rPr>
            <w:noProof/>
            <w:webHidden/>
          </w:rPr>
          <w:t>96</w:t>
        </w:r>
        <w:r w:rsidR="00C277C6">
          <w:rPr>
            <w:noProof/>
            <w:webHidden/>
          </w:rPr>
          <w:fldChar w:fldCharType="end"/>
        </w:r>
      </w:hyperlink>
    </w:p>
    <w:p w14:paraId="6C8AA964" w14:textId="6BD808A7" w:rsidR="00C277C6" w:rsidRDefault="00DC2DF4">
      <w:pPr>
        <w:pStyle w:val="Obsah4"/>
        <w:tabs>
          <w:tab w:val="left" w:pos="1760"/>
          <w:tab w:val="right" w:leader="dot" w:pos="9062"/>
        </w:tabs>
        <w:rPr>
          <w:rFonts w:eastAsiaTheme="minorEastAsia"/>
          <w:noProof/>
          <w:sz w:val="22"/>
          <w:lang w:eastAsia="sk-SK"/>
        </w:rPr>
      </w:pPr>
      <w:hyperlink w:anchor="_Toc88652986" w:history="1">
        <w:r w:rsidR="00C277C6" w:rsidRPr="00D53B71">
          <w:rPr>
            <w:rStyle w:val="Hypertextovprepojenie"/>
            <w:noProof/>
          </w:rPr>
          <w:t>7.3.1.3</w:t>
        </w:r>
        <w:r w:rsidR="00C277C6">
          <w:rPr>
            <w:rFonts w:eastAsiaTheme="minorEastAsia"/>
            <w:noProof/>
            <w:sz w:val="22"/>
            <w:lang w:eastAsia="sk-SK"/>
          </w:rPr>
          <w:tab/>
        </w:r>
        <w:r w:rsidR="00C277C6" w:rsidRPr="00D53B71">
          <w:rPr>
            <w:rStyle w:val="Hypertextovprepojenie"/>
            <w:noProof/>
          </w:rPr>
          <w:t>Valorizácia nákladov</w:t>
        </w:r>
        <w:r w:rsidR="00C277C6">
          <w:rPr>
            <w:noProof/>
            <w:webHidden/>
          </w:rPr>
          <w:tab/>
        </w:r>
        <w:r w:rsidR="00C277C6">
          <w:rPr>
            <w:noProof/>
            <w:webHidden/>
          </w:rPr>
          <w:fldChar w:fldCharType="begin"/>
        </w:r>
        <w:r w:rsidR="00C277C6">
          <w:rPr>
            <w:noProof/>
            <w:webHidden/>
          </w:rPr>
          <w:instrText xml:space="preserve"> PAGEREF _Toc88652986 \h </w:instrText>
        </w:r>
        <w:r w:rsidR="00C277C6">
          <w:rPr>
            <w:noProof/>
            <w:webHidden/>
          </w:rPr>
        </w:r>
        <w:r w:rsidR="00C277C6">
          <w:rPr>
            <w:noProof/>
            <w:webHidden/>
          </w:rPr>
          <w:fldChar w:fldCharType="separate"/>
        </w:r>
        <w:r w:rsidR="00C277C6">
          <w:rPr>
            <w:noProof/>
            <w:webHidden/>
          </w:rPr>
          <w:t>96</w:t>
        </w:r>
        <w:r w:rsidR="00C277C6">
          <w:rPr>
            <w:noProof/>
            <w:webHidden/>
          </w:rPr>
          <w:fldChar w:fldCharType="end"/>
        </w:r>
      </w:hyperlink>
    </w:p>
    <w:p w14:paraId="1E9156F8" w14:textId="2435F079" w:rsidR="00C277C6" w:rsidRDefault="00DC2DF4">
      <w:pPr>
        <w:pStyle w:val="Obsah4"/>
        <w:tabs>
          <w:tab w:val="left" w:pos="1760"/>
          <w:tab w:val="right" w:leader="dot" w:pos="9062"/>
        </w:tabs>
        <w:rPr>
          <w:rFonts w:eastAsiaTheme="minorEastAsia"/>
          <w:noProof/>
          <w:sz w:val="22"/>
          <w:lang w:eastAsia="sk-SK"/>
        </w:rPr>
      </w:pPr>
      <w:hyperlink w:anchor="_Toc88652987" w:history="1">
        <w:r w:rsidR="00C277C6" w:rsidRPr="00D53B71">
          <w:rPr>
            <w:rStyle w:val="Hypertextovprepojenie"/>
            <w:noProof/>
          </w:rPr>
          <w:t>7.3.1.4</w:t>
        </w:r>
        <w:r w:rsidR="00C277C6">
          <w:rPr>
            <w:rFonts w:eastAsiaTheme="minorEastAsia"/>
            <w:noProof/>
            <w:sz w:val="22"/>
            <w:lang w:eastAsia="sk-SK"/>
          </w:rPr>
          <w:tab/>
        </w:r>
        <w:r w:rsidR="00C277C6" w:rsidRPr="00D53B71">
          <w:rPr>
            <w:rStyle w:val="Hypertextovprepojenie"/>
            <w:noProof/>
          </w:rPr>
          <w:t>Použitie DPH</w:t>
        </w:r>
        <w:r w:rsidR="00C277C6">
          <w:rPr>
            <w:noProof/>
            <w:webHidden/>
          </w:rPr>
          <w:tab/>
        </w:r>
        <w:r w:rsidR="00C277C6">
          <w:rPr>
            <w:noProof/>
            <w:webHidden/>
          </w:rPr>
          <w:fldChar w:fldCharType="begin"/>
        </w:r>
        <w:r w:rsidR="00C277C6">
          <w:rPr>
            <w:noProof/>
            <w:webHidden/>
          </w:rPr>
          <w:instrText xml:space="preserve"> PAGEREF _Toc88652987 \h </w:instrText>
        </w:r>
        <w:r w:rsidR="00C277C6">
          <w:rPr>
            <w:noProof/>
            <w:webHidden/>
          </w:rPr>
        </w:r>
        <w:r w:rsidR="00C277C6">
          <w:rPr>
            <w:noProof/>
            <w:webHidden/>
          </w:rPr>
          <w:fldChar w:fldCharType="separate"/>
        </w:r>
        <w:r w:rsidR="00C277C6">
          <w:rPr>
            <w:noProof/>
            <w:webHidden/>
          </w:rPr>
          <w:t>96</w:t>
        </w:r>
        <w:r w:rsidR="00C277C6">
          <w:rPr>
            <w:noProof/>
            <w:webHidden/>
          </w:rPr>
          <w:fldChar w:fldCharType="end"/>
        </w:r>
      </w:hyperlink>
    </w:p>
    <w:p w14:paraId="48C22276" w14:textId="4161D181" w:rsidR="00C277C6" w:rsidRDefault="00DC2DF4">
      <w:pPr>
        <w:pStyle w:val="Obsah4"/>
        <w:tabs>
          <w:tab w:val="left" w:pos="1760"/>
          <w:tab w:val="right" w:leader="dot" w:pos="9062"/>
        </w:tabs>
        <w:rPr>
          <w:rFonts w:eastAsiaTheme="minorEastAsia"/>
          <w:noProof/>
          <w:sz w:val="22"/>
          <w:lang w:eastAsia="sk-SK"/>
        </w:rPr>
      </w:pPr>
      <w:hyperlink w:anchor="_Toc88652988" w:history="1">
        <w:r w:rsidR="00C277C6" w:rsidRPr="00D53B71">
          <w:rPr>
            <w:rStyle w:val="Hypertextovprepojenie"/>
            <w:noProof/>
          </w:rPr>
          <w:t>7.3.1.5</w:t>
        </w:r>
        <w:r w:rsidR="00C277C6">
          <w:rPr>
            <w:rFonts w:eastAsiaTheme="minorEastAsia"/>
            <w:noProof/>
            <w:sz w:val="22"/>
            <w:lang w:eastAsia="sk-SK"/>
          </w:rPr>
          <w:tab/>
        </w:r>
        <w:r w:rsidR="00C277C6" w:rsidRPr="00D53B71">
          <w:rPr>
            <w:rStyle w:val="Hypertextovprepojenie"/>
            <w:noProof/>
          </w:rPr>
          <w:t>Prevádzkové výdavky</w:t>
        </w:r>
        <w:r w:rsidR="00C277C6">
          <w:rPr>
            <w:noProof/>
            <w:webHidden/>
          </w:rPr>
          <w:tab/>
        </w:r>
        <w:r w:rsidR="00C277C6">
          <w:rPr>
            <w:noProof/>
            <w:webHidden/>
          </w:rPr>
          <w:fldChar w:fldCharType="begin"/>
        </w:r>
        <w:r w:rsidR="00C277C6">
          <w:rPr>
            <w:noProof/>
            <w:webHidden/>
          </w:rPr>
          <w:instrText xml:space="preserve"> PAGEREF _Toc88652988 \h </w:instrText>
        </w:r>
        <w:r w:rsidR="00C277C6">
          <w:rPr>
            <w:noProof/>
            <w:webHidden/>
          </w:rPr>
        </w:r>
        <w:r w:rsidR="00C277C6">
          <w:rPr>
            <w:noProof/>
            <w:webHidden/>
          </w:rPr>
          <w:fldChar w:fldCharType="separate"/>
        </w:r>
        <w:r w:rsidR="00C277C6">
          <w:rPr>
            <w:noProof/>
            <w:webHidden/>
          </w:rPr>
          <w:t>96</w:t>
        </w:r>
        <w:r w:rsidR="00C277C6">
          <w:rPr>
            <w:noProof/>
            <w:webHidden/>
          </w:rPr>
          <w:fldChar w:fldCharType="end"/>
        </w:r>
      </w:hyperlink>
    </w:p>
    <w:p w14:paraId="5AB0F5D0" w14:textId="4A9F8488" w:rsidR="00C277C6" w:rsidRDefault="00DC2DF4">
      <w:pPr>
        <w:pStyle w:val="Obsah4"/>
        <w:tabs>
          <w:tab w:val="left" w:pos="1760"/>
          <w:tab w:val="right" w:leader="dot" w:pos="9062"/>
        </w:tabs>
        <w:rPr>
          <w:rFonts w:eastAsiaTheme="minorEastAsia"/>
          <w:noProof/>
          <w:sz w:val="22"/>
          <w:lang w:eastAsia="sk-SK"/>
        </w:rPr>
      </w:pPr>
      <w:hyperlink w:anchor="_Toc88652989" w:history="1">
        <w:r w:rsidR="00C277C6" w:rsidRPr="00D53B71">
          <w:rPr>
            <w:rStyle w:val="Hypertextovprepojenie"/>
            <w:noProof/>
          </w:rPr>
          <w:t>7.3.1.6</w:t>
        </w:r>
        <w:r w:rsidR="00C277C6">
          <w:rPr>
            <w:rFonts w:eastAsiaTheme="minorEastAsia"/>
            <w:noProof/>
            <w:sz w:val="22"/>
            <w:lang w:eastAsia="sk-SK"/>
          </w:rPr>
          <w:tab/>
        </w:r>
        <w:r w:rsidR="00C277C6" w:rsidRPr="00D53B71">
          <w:rPr>
            <w:rStyle w:val="Hypertextovprepojenie"/>
            <w:noProof/>
          </w:rPr>
          <w:t>Prevádzkové príjmy</w:t>
        </w:r>
        <w:r w:rsidR="00C277C6">
          <w:rPr>
            <w:noProof/>
            <w:webHidden/>
          </w:rPr>
          <w:tab/>
        </w:r>
        <w:r w:rsidR="00C277C6">
          <w:rPr>
            <w:noProof/>
            <w:webHidden/>
          </w:rPr>
          <w:fldChar w:fldCharType="begin"/>
        </w:r>
        <w:r w:rsidR="00C277C6">
          <w:rPr>
            <w:noProof/>
            <w:webHidden/>
          </w:rPr>
          <w:instrText xml:space="preserve"> PAGEREF _Toc88652989 \h </w:instrText>
        </w:r>
        <w:r w:rsidR="00C277C6">
          <w:rPr>
            <w:noProof/>
            <w:webHidden/>
          </w:rPr>
        </w:r>
        <w:r w:rsidR="00C277C6">
          <w:rPr>
            <w:noProof/>
            <w:webHidden/>
          </w:rPr>
          <w:fldChar w:fldCharType="separate"/>
        </w:r>
        <w:r w:rsidR="00C277C6">
          <w:rPr>
            <w:noProof/>
            <w:webHidden/>
          </w:rPr>
          <w:t>97</w:t>
        </w:r>
        <w:r w:rsidR="00C277C6">
          <w:rPr>
            <w:noProof/>
            <w:webHidden/>
          </w:rPr>
          <w:fldChar w:fldCharType="end"/>
        </w:r>
      </w:hyperlink>
    </w:p>
    <w:p w14:paraId="51D30A72" w14:textId="215BCC35" w:rsidR="00C277C6" w:rsidRDefault="00DC2DF4">
      <w:pPr>
        <w:pStyle w:val="Obsah4"/>
        <w:tabs>
          <w:tab w:val="left" w:pos="1760"/>
          <w:tab w:val="right" w:leader="dot" w:pos="9062"/>
        </w:tabs>
        <w:rPr>
          <w:rFonts w:eastAsiaTheme="minorEastAsia"/>
          <w:noProof/>
          <w:sz w:val="22"/>
          <w:lang w:eastAsia="sk-SK"/>
        </w:rPr>
      </w:pPr>
      <w:hyperlink w:anchor="_Toc88652990" w:history="1">
        <w:r w:rsidR="00C277C6" w:rsidRPr="00D53B71">
          <w:rPr>
            <w:rStyle w:val="Hypertextovprepojenie"/>
            <w:noProof/>
          </w:rPr>
          <w:t>7.3.1.7</w:t>
        </w:r>
        <w:r w:rsidR="00C277C6">
          <w:rPr>
            <w:rFonts w:eastAsiaTheme="minorEastAsia"/>
            <w:noProof/>
            <w:sz w:val="22"/>
            <w:lang w:eastAsia="sk-SK"/>
          </w:rPr>
          <w:tab/>
        </w:r>
        <w:r w:rsidR="00C277C6" w:rsidRPr="00D53B71">
          <w:rPr>
            <w:rStyle w:val="Hypertextovprepojenie"/>
            <w:noProof/>
          </w:rPr>
          <w:t>Zostatková hodnota</w:t>
        </w:r>
        <w:r w:rsidR="00C277C6">
          <w:rPr>
            <w:noProof/>
            <w:webHidden/>
          </w:rPr>
          <w:tab/>
        </w:r>
        <w:r w:rsidR="00C277C6">
          <w:rPr>
            <w:noProof/>
            <w:webHidden/>
          </w:rPr>
          <w:fldChar w:fldCharType="begin"/>
        </w:r>
        <w:r w:rsidR="00C277C6">
          <w:rPr>
            <w:noProof/>
            <w:webHidden/>
          </w:rPr>
          <w:instrText xml:space="preserve"> PAGEREF _Toc88652990 \h </w:instrText>
        </w:r>
        <w:r w:rsidR="00C277C6">
          <w:rPr>
            <w:noProof/>
            <w:webHidden/>
          </w:rPr>
        </w:r>
        <w:r w:rsidR="00C277C6">
          <w:rPr>
            <w:noProof/>
            <w:webHidden/>
          </w:rPr>
          <w:fldChar w:fldCharType="separate"/>
        </w:r>
        <w:r w:rsidR="00C277C6">
          <w:rPr>
            <w:noProof/>
            <w:webHidden/>
          </w:rPr>
          <w:t>97</w:t>
        </w:r>
        <w:r w:rsidR="00C277C6">
          <w:rPr>
            <w:noProof/>
            <w:webHidden/>
          </w:rPr>
          <w:fldChar w:fldCharType="end"/>
        </w:r>
      </w:hyperlink>
    </w:p>
    <w:p w14:paraId="2844A81C" w14:textId="7FD6ACC3" w:rsidR="00C277C6" w:rsidRDefault="00DC2DF4">
      <w:pPr>
        <w:pStyle w:val="Obsah4"/>
        <w:tabs>
          <w:tab w:val="left" w:pos="1760"/>
          <w:tab w:val="right" w:leader="dot" w:pos="9062"/>
        </w:tabs>
        <w:rPr>
          <w:rFonts w:eastAsiaTheme="minorEastAsia"/>
          <w:noProof/>
          <w:sz w:val="22"/>
          <w:lang w:eastAsia="sk-SK"/>
        </w:rPr>
      </w:pPr>
      <w:hyperlink w:anchor="_Toc88652991" w:history="1">
        <w:r w:rsidR="00C277C6" w:rsidRPr="00D53B71">
          <w:rPr>
            <w:rStyle w:val="Hypertextovprepojenie"/>
            <w:noProof/>
          </w:rPr>
          <w:t>7.3.1.8</w:t>
        </w:r>
        <w:r w:rsidR="00C277C6">
          <w:rPr>
            <w:rFonts w:eastAsiaTheme="minorEastAsia"/>
            <w:noProof/>
            <w:sz w:val="22"/>
            <w:lang w:eastAsia="sk-SK"/>
          </w:rPr>
          <w:tab/>
        </w:r>
        <w:r w:rsidR="00C277C6" w:rsidRPr="00D53B71">
          <w:rPr>
            <w:rStyle w:val="Hypertextovprepojenie"/>
            <w:noProof/>
          </w:rPr>
          <w:t>Výstupy finančnej analýzy</w:t>
        </w:r>
        <w:r w:rsidR="00C277C6">
          <w:rPr>
            <w:noProof/>
            <w:webHidden/>
          </w:rPr>
          <w:tab/>
        </w:r>
        <w:r w:rsidR="00C277C6">
          <w:rPr>
            <w:noProof/>
            <w:webHidden/>
          </w:rPr>
          <w:fldChar w:fldCharType="begin"/>
        </w:r>
        <w:r w:rsidR="00C277C6">
          <w:rPr>
            <w:noProof/>
            <w:webHidden/>
          </w:rPr>
          <w:instrText xml:space="preserve"> PAGEREF _Toc88652991 \h </w:instrText>
        </w:r>
        <w:r w:rsidR="00C277C6">
          <w:rPr>
            <w:noProof/>
            <w:webHidden/>
          </w:rPr>
        </w:r>
        <w:r w:rsidR="00C277C6">
          <w:rPr>
            <w:noProof/>
            <w:webHidden/>
          </w:rPr>
          <w:fldChar w:fldCharType="separate"/>
        </w:r>
        <w:r w:rsidR="00C277C6">
          <w:rPr>
            <w:noProof/>
            <w:webHidden/>
          </w:rPr>
          <w:t>98</w:t>
        </w:r>
        <w:r w:rsidR="00C277C6">
          <w:rPr>
            <w:noProof/>
            <w:webHidden/>
          </w:rPr>
          <w:fldChar w:fldCharType="end"/>
        </w:r>
      </w:hyperlink>
    </w:p>
    <w:p w14:paraId="6CF1F4D7" w14:textId="76615056" w:rsidR="00C277C6" w:rsidRDefault="00DC2DF4">
      <w:pPr>
        <w:pStyle w:val="Obsah4"/>
        <w:tabs>
          <w:tab w:val="right" w:leader="dot" w:pos="9062"/>
        </w:tabs>
        <w:rPr>
          <w:rFonts w:eastAsiaTheme="minorEastAsia"/>
          <w:noProof/>
          <w:sz w:val="22"/>
          <w:lang w:eastAsia="sk-SK"/>
        </w:rPr>
      </w:pPr>
      <w:hyperlink w:anchor="_Toc88652992" w:history="1">
        <w:r w:rsidR="00C277C6" w:rsidRPr="00D53B71">
          <w:rPr>
            <w:rStyle w:val="Hypertextovprepojenie"/>
            <w:noProof/>
          </w:rPr>
          <w:t>Vnútorné výnosové percento vs. diskontná sadzba</w:t>
        </w:r>
        <w:r w:rsidR="00C277C6">
          <w:rPr>
            <w:noProof/>
            <w:webHidden/>
          </w:rPr>
          <w:tab/>
        </w:r>
        <w:r w:rsidR="00C277C6">
          <w:rPr>
            <w:noProof/>
            <w:webHidden/>
          </w:rPr>
          <w:fldChar w:fldCharType="begin"/>
        </w:r>
        <w:r w:rsidR="00C277C6">
          <w:rPr>
            <w:noProof/>
            <w:webHidden/>
          </w:rPr>
          <w:instrText xml:space="preserve"> PAGEREF _Toc88652992 \h </w:instrText>
        </w:r>
        <w:r w:rsidR="00C277C6">
          <w:rPr>
            <w:noProof/>
            <w:webHidden/>
          </w:rPr>
        </w:r>
        <w:r w:rsidR="00C277C6">
          <w:rPr>
            <w:noProof/>
            <w:webHidden/>
          </w:rPr>
          <w:fldChar w:fldCharType="separate"/>
        </w:r>
        <w:r w:rsidR="00C277C6">
          <w:rPr>
            <w:noProof/>
            <w:webHidden/>
          </w:rPr>
          <w:t>98</w:t>
        </w:r>
        <w:r w:rsidR="00C277C6">
          <w:rPr>
            <w:noProof/>
            <w:webHidden/>
          </w:rPr>
          <w:fldChar w:fldCharType="end"/>
        </w:r>
      </w:hyperlink>
    </w:p>
    <w:p w14:paraId="194ABE90" w14:textId="0D8E383F" w:rsidR="00C277C6" w:rsidRDefault="00DC2DF4">
      <w:pPr>
        <w:pStyle w:val="Obsah4"/>
        <w:tabs>
          <w:tab w:val="right" w:leader="dot" w:pos="9062"/>
        </w:tabs>
        <w:rPr>
          <w:rFonts w:eastAsiaTheme="minorEastAsia"/>
          <w:noProof/>
          <w:sz w:val="22"/>
          <w:lang w:eastAsia="sk-SK"/>
        </w:rPr>
      </w:pPr>
      <w:hyperlink w:anchor="_Toc88652993" w:history="1">
        <w:r w:rsidR="00C277C6" w:rsidRPr="00D53B71">
          <w:rPr>
            <w:rStyle w:val="Hypertextovprepojenie"/>
            <w:noProof/>
          </w:rPr>
          <w:t>Čistá súčasná hodnota</w:t>
        </w:r>
        <w:r w:rsidR="00C277C6">
          <w:rPr>
            <w:noProof/>
            <w:webHidden/>
          </w:rPr>
          <w:tab/>
        </w:r>
        <w:r w:rsidR="00C277C6">
          <w:rPr>
            <w:noProof/>
            <w:webHidden/>
          </w:rPr>
          <w:fldChar w:fldCharType="begin"/>
        </w:r>
        <w:r w:rsidR="00C277C6">
          <w:rPr>
            <w:noProof/>
            <w:webHidden/>
          </w:rPr>
          <w:instrText xml:space="preserve"> PAGEREF _Toc88652993 \h </w:instrText>
        </w:r>
        <w:r w:rsidR="00C277C6">
          <w:rPr>
            <w:noProof/>
            <w:webHidden/>
          </w:rPr>
        </w:r>
        <w:r w:rsidR="00C277C6">
          <w:rPr>
            <w:noProof/>
            <w:webHidden/>
          </w:rPr>
          <w:fldChar w:fldCharType="separate"/>
        </w:r>
        <w:r w:rsidR="00C277C6">
          <w:rPr>
            <w:noProof/>
            <w:webHidden/>
          </w:rPr>
          <w:t>98</w:t>
        </w:r>
        <w:r w:rsidR="00C277C6">
          <w:rPr>
            <w:noProof/>
            <w:webHidden/>
          </w:rPr>
          <w:fldChar w:fldCharType="end"/>
        </w:r>
      </w:hyperlink>
    </w:p>
    <w:p w14:paraId="637D67DD" w14:textId="48B6AF0E" w:rsidR="00C277C6" w:rsidRDefault="00DC2DF4">
      <w:pPr>
        <w:pStyle w:val="Obsah3"/>
        <w:tabs>
          <w:tab w:val="left" w:pos="1320"/>
          <w:tab w:val="right" w:leader="dot" w:pos="9062"/>
        </w:tabs>
        <w:rPr>
          <w:rFonts w:eastAsiaTheme="minorEastAsia"/>
          <w:noProof/>
          <w:sz w:val="22"/>
          <w:lang w:eastAsia="sk-SK"/>
        </w:rPr>
      </w:pPr>
      <w:hyperlink w:anchor="_Toc88652994" w:history="1">
        <w:r w:rsidR="00C277C6" w:rsidRPr="00D53B71">
          <w:rPr>
            <w:rStyle w:val="Hypertextovprepojenie"/>
            <w:noProof/>
          </w:rPr>
          <w:t>7.3.2</w:t>
        </w:r>
        <w:r w:rsidR="00C277C6">
          <w:rPr>
            <w:rFonts w:eastAsiaTheme="minorEastAsia"/>
            <w:noProof/>
            <w:sz w:val="22"/>
            <w:lang w:eastAsia="sk-SK"/>
          </w:rPr>
          <w:tab/>
        </w:r>
        <w:r w:rsidR="00C277C6" w:rsidRPr="00D53B71">
          <w:rPr>
            <w:rStyle w:val="Hypertextovprepojenie"/>
            <w:noProof/>
          </w:rPr>
          <w:t>Variant B „MODERNIZÁCIA žel. trate na rýchlosť na 120 – 160 km/hod“</w:t>
        </w:r>
        <w:r w:rsidR="00C277C6">
          <w:rPr>
            <w:noProof/>
            <w:webHidden/>
          </w:rPr>
          <w:tab/>
        </w:r>
        <w:r w:rsidR="00C277C6">
          <w:rPr>
            <w:noProof/>
            <w:webHidden/>
          </w:rPr>
          <w:fldChar w:fldCharType="begin"/>
        </w:r>
        <w:r w:rsidR="00C277C6">
          <w:rPr>
            <w:noProof/>
            <w:webHidden/>
          </w:rPr>
          <w:instrText xml:space="preserve"> PAGEREF _Toc88652994 \h </w:instrText>
        </w:r>
        <w:r w:rsidR="00C277C6">
          <w:rPr>
            <w:noProof/>
            <w:webHidden/>
          </w:rPr>
        </w:r>
        <w:r w:rsidR="00C277C6">
          <w:rPr>
            <w:noProof/>
            <w:webHidden/>
          </w:rPr>
          <w:fldChar w:fldCharType="separate"/>
        </w:r>
        <w:r w:rsidR="00C277C6">
          <w:rPr>
            <w:noProof/>
            <w:webHidden/>
          </w:rPr>
          <w:t>99</w:t>
        </w:r>
        <w:r w:rsidR="00C277C6">
          <w:rPr>
            <w:noProof/>
            <w:webHidden/>
          </w:rPr>
          <w:fldChar w:fldCharType="end"/>
        </w:r>
      </w:hyperlink>
    </w:p>
    <w:p w14:paraId="5D06630C" w14:textId="50EFC3DB" w:rsidR="00C277C6" w:rsidRDefault="00DC2DF4">
      <w:pPr>
        <w:pStyle w:val="Obsah4"/>
        <w:tabs>
          <w:tab w:val="left" w:pos="1760"/>
          <w:tab w:val="right" w:leader="dot" w:pos="9062"/>
        </w:tabs>
        <w:rPr>
          <w:rFonts w:eastAsiaTheme="minorEastAsia"/>
          <w:noProof/>
          <w:sz w:val="22"/>
          <w:lang w:eastAsia="sk-SK"/>
        </w:rPr>
      </w:pPr>
      <w:hyperlink w:anchor="_Toc88652995" w:history="1">
        <w:r w:rsidR="00C277C6" w:rsidRPr="00D53B71">
          <w:rPr>
            <w:rStyle w:val="Hypertextovprepojenie"/>
            <w:noProof/>
          </w:rPr>
          <w:t>7.3.2.1</w:t>
        </w:r>
        <w:r w:rsidR="00C277C6">
          <w:rPr>
            <w:rFonts w:eastAsiaTheme="minorEastAsia"/>
            <w:noProof/>
            <w:sz w:val="22"/>
            <w:lang w:eastAsia="sk-SK"/>
          </w:rPr>
          <w:tab/>
        </w:r>
        <w:r w:rsidR="00C277C6" w:rsidRPr="00D53B71">
          <w:rPr>
            <w:rStyle w:val="Hypertextovprepojenie"/>
            <w:noProof/>
          </w:rPr>
          <w:t>Investičné náklady</w:t>
        </w:r>
        <w:r w:rsidR="00C277C6">
          <w:rPr>
            <w:noProof/>
            <w:webHidden/>
          </w:rPr>
          <w:tab/>
        </w:r>
        <w:r w:rsidR="00C277C6">
          <w:rPr>
            <w:noProof/>
            <w:webHidden/>
          </w:rPr>
          <w:fldChar w:fldCharType="begin"/>
        </w:r>
        <w:r w:rsidR="00C277C6">
          <w:rPr>
            <w:noProof/>
            <w:webHidden/>
          </w:rPr>
          <w:instrText xml:space="preserve"> PAGEREF _Toc88652995 \h </w:instrText>
        </w:r>
        <w:r w:rsidR="00C277C6">
          <w:rPr>
            <w:noProof/>
            <w:webHidden/>
          </w:rPr>
        </w:r>
        <w:r w:rsidR="00C277C6">
          <w:rPr>
            <w:noProof/>
            <w:webHidden/>
          </w:rPr>
          <w:fldChar w:fldCharType="separate"/>
        </w:r>
        <w:r w:rsidR="00C277C6">
          <w:rPr>
            <w:noProof/>
            <w:webHidden/>
          </w:rPr>
          <w:t>99</w:t>
        </w:r>
        <w:r w:rsidR="00C277C6">
          <w:rPr>
            <w:noProof/>
            <w:webHidden/>
          </w:rPr>
          <w:fldChar w:fldCharType="end"/>
        </w:r>
      </w:hyperlink>
    </w:p>
    <w:p w14:paraId="5912B46D" w14:textId="14257124" w:rsidR="00C277C6" w:rsidRDefault="00DC2DF4">
      <w:pPr>
        <w:pStyle w:val="Obsah4"/>
        <w:tabs>
          <w:tab w:val="left" w:pos="1760"/>
          <w:tab w:val="right" w:leader="dot" w:pos="9062"/>
        </w:tabs>
        <w:rPr>
          <w:rFonts w:eastAsiaTheme="minorEastAsia"/>
          <w:noProof/>
          <w:sz w:val="22"/>
          <w:lang w:eastAsia="sk-SK"/>
        </w:rPr>
      </w:pPr>
      <w:hyperlink w:anchor="_Toc88652996" w:history="1">
        <w:r w:rsidR="00C277C6" w:rsidRPr="00D53B71">
          <w:rPr>
            <w:rStyle w:val="Hypertextovprepojenie"/>
            <w:noProof/>
          </w:rPr>
          <w:t>7.3.2.2</w:t>
        </w:r>
        <w:r w:rsidR="00C277C6">
          <w:rPr>
            <w:rFonts w:eastAsiaTheme="minorEastAsia"/>
            <w:noProof/>
            <w:sz w:val="22"/>
            <w:lang w:eastAsia="sk-SK"/>
          </w:rPr>
          <w:tab/>
        </w:r>
        <w:r w:rsidR="00C277C6" w:rsidRPr="00D53B71">
          <w:rPr>
            <w:rStyle w:val="Hypertextovprepojenie"/>
            <w:noProof/>
          </w:rPr>
          <w:t>Rezerva na nepredvídateľné výdavky</w:t>
        </w:r>
        <w:r w:rsidR="00C277C6">
          <w:rPr>
            <w:noProof/>
            <w:webHidden/>
          </w:rPr>
          <w:tab/>
        </w:r>
        <w:r w:rsidR="00C277C6">
          <w:rPr>
            <w:noProof/>
            <w:webHidden/>
          </w:rPr>
          <w:fldChar w:fldCharType="begin"/>
        </w:r>
        <w:r w:rsidR="00C277C6">
          <w:rPr>
            <w:noProof/>
            <w:webHidden/>
          </w:rPr>
          <w:instrText xml:space="preserve"> PAGEREF _Toc88652996 \h </w:instrText>
        </w:r>
        <w:r w:rsidR="00C277C6">
          <w:rPr>
            <w:noProof/>
            <w:webHidden/>
          </w:rPr>
        </w:r>
        <w:r w:rsidR="00C277C6">
          <w:rPr>
            <w:noProof/>
            <w:webHidden/>
          </w:rPr>
          <w:fldChar w:fldCharType="separate"/>
        </w:r>
        <w:r w:rsidR="00C277C6">
          <w:rPr>
            <w:noProof/>
            <w:webHidden/>
          </w:rPr>
          <w:t>99</w:t>
        </w:r>
        <w:r w:rsidR="00C277C6">
          <w:rPr>
            <w:noProof/>
            <w:webHidden/>
          </w:rPr>
          <w:fldChar w:fldCharType="end"/>
        </w:r>
      </w:hyperlink>
    </w:p>
    <w:p w14:paraId="3DA0971C" w14:textId="5753F22F" w:rsidR="00C277C6" w:rsidRDefault="00DC2DF4">
      <w:pPr>
        <w:pStyle w:val="Obsah4"/>
        <w:tabs>
          <w:tab w:val="left" w:pos="1760"/>
          <w:tab w:val="right" w:leader="dot" w:pos="9062"/>
        </w:tabs>
        <w:rPr>
          <w:rFonts w:eastAsiaTheme="minorEastAsia"/>
          <w:noProof/>
          <w:sz w:val="22"/>
          <w:lang w:eastAsia="sk-SK"/>
        </w:rPr>
      </w:pPr>
      <w:hyperlink w:anchor="_Toc88652997" w:history="1">
        <w:r w:rsidR="00C277C6" w:rsidRPr="00D53B71">
          <w:rPr>
            <w:rStyle w:val="Hypertextovprepojenie"/>
            <w:noProof/>
          </w:rPr>
          <w:t>7.3.2.3</w:t>
        </w:r>
        <w:r w:rsidR="00C277C6">
          <w:rPr>
            <w:rFonts w:eastAsiaTheme="minorEastAsia"/>
            <w:noProof/>
            <w:sz w:val="22"/>
            <w:lang w:eastAsia="sk-SK"/>
          </w:rPr>
          <w:tab/>
        </w:r>
        <w:r w:rsidR="00C277C6" w:rsidRPr="00D53B71">
          <w:rPr>
            <w:rStyle w:val="Hypertextovprepojenie"/>
            <w:noProof/>
          </w:rPr>
          <w:t>Valorizácia nákladov</w:t>
        </w:r>
        <w:r w:rsidR="00C277C6">
          <w:rPr>
            <w:noProof/>
            <w:webHidden/>
          </w:rPr>
          <w:tab/>
        </w:r>
        <w:r w:rsidR="00C277C6">
          <w:rPr>
            <w:noProof/>
            <w:webHidden/>
          </w:rPr>
          <w:fldChar w:fldCharType="begin"/>
        </w:r>
        <w:r w:rsidR="00C277C6">
          <w:rPr>
            <w:noProof/>
            <w:webHidden/>
          </w:rPr>
          <w:instrText xml:space="preserve"> PAGEREF _Toc88652997 \h </w:instrText>
        </w:r>
        <w:r w:rsidR="00C277C6">
          <w:rPr>
            <w:noProof/>
            <w:webHidden/>
          </w:rPr>
        </w:r>
        <w:r w:rsidR="00C277C6">
          <w:rPr>
            <w:noProof/>
            <w:webHidden/>
          </w:rPr>
          <w:fldChar w:fldCharType="separate"/>
        </w:r>
        <w:r w:rsidR="00C277C6">
          <w:rPr>
            <w:noProof/>
            <w:webHidden/>
          </w:rPr>
          <w:t>99</w:t>
        </w:r>
        <w:r w:rsidR="00C277C6">
          <w:rPr>
            <w:noProof/>
            <w:webHidden/>
          </w:rPr>
          <w:fldChar w:fldCharType="end"/>
        </w:r>
      </w:hyperlink>
    </w:p>
    <w:p w14:paraId="54D1DB05" w14:textId="7573BF75" w:rsidR="00C277C6" w:rsidRDefault="00DC2DF4">
      <w:pPr>
        <w:pStyle w:val="Obsah4"/>
        <w:tabs>
          <w:tab w:val="left" w:pos="1760"/>
          <w:tab w:val="right" w:leader="dot" w:pos="9062"/>
        </w:tabs>
        <w:rPr>
          <w:rFonts w:eastAsiaTheme="minorEastAsia"/>
          <w:noProof/>
          <w:sz w:val="22"/>
          <w:lang w:eastAsia="sk-SK"/>
        </w:rPr>
      </w:pPr>
      <w:hyperlink w:anchor="_Toc88652998" w:history="1">
        <w:r w:rsidR="00C277C6" w:rsidRPr="00D53B71">
          <w:rPr>
            <w:rStyle w:val="Hypertextovprepojenie"/>
            <w:noProof/>
          </w:rPr>
          <w:t>7.3.2.4</w:t>
        </w:r>
        <w:r w:rsidR="00C277C6">
          <w:rPr>
            <w:rFonts w:eastAsiaTheme="minorEastAsia"/>
            <w:noProof/>
            <w:sz w:val="22"/>
            <w:lang w:eastAsia="sk-SK"/>
          </w:rPr>
          <w:tab/>
        </w:r>
        <w:r w:rsidR="00C277C6" w:rsidRPr="00D53B71">
          <w:rPr>
            <w:rStyle w:val="Hypertextovprepojenie"/>
            <w:noProof/>
          </w:rPr>
          <w:t>Použitie DPH</w:t>
        </w:r>
        <w:r w:rsidR="00C277C6">
          <w:rPr>
            <w:noProof/>
            <w:webHidden/>
          </w:rPr>
          <w:tab/>
        </w:r>
        <w:r w:rsidR="00C277C6">
          <w:rPr>
            <w:noProof/>
            <w:webHidden/>
          </w:rPr>
          <w:fldChar w:fldCharType="begin"/>
        </w:r>
        <w:r w:rsidR="00C277C6">
          <w:rPr>
            <w:noProof/>
            <w:webHidden/>
          </w:rPr>
          <w:instrText xml:space="preserve"> PAGEREF _Toc88652998 \h </w:instrText>
        </w:r>
        <w:r w:rsidR="00C277C6">
          <w:rPr>
            <w:noProof/>
            <w:webHidden/>
          </w:rPr>
        </w:r>
        <w:r w:rsidR="00C277C6">
          <w:rPr>
            <w:noProof/>
            <w:webHidden/>
          </w:rPr>
          <w:fldChar w:fldCharType="separate"/>
        </w:r>
        <w:r w:rsidR="00C277C6">
          <w:rPr>
            <w:noProof/>
            <w:webHidden/>
          </w:rPr>
          <w:t>99</w:t>
        </w:r>
        <w:r w:rsidR="00C277C6">
          <w:rPr>
            <w:noProof/>
            <w:webHidden/>
          </w:rPr>
          <w:fldChar w:fldCharType="end"/>
        </w:r>
      </w:hyperlink>
    </w:p>
    <w:p w14:paraId="11CC4475" w14:textId="5A8B8AE1" w:rsidR="00C277C6" w:rsidRDefault="00DC2DF4">
      <w:pPr>
        <w:pStyle w:val="Obsah4"/>
        <w:tabs>
          <w:tab w:val="left" w:pos="1760"/>
          <w:tab w:val="right" w:leader="dot" w:pos="9062"/>
        </w:tabs>
        <w:rPr>
          <w:rFonts w:eastAsiaTheme="minorEastAsia"/>
          <w:noProof/>
          <w:sz w:val="22"/>
          <w:lang w:eastAsia="sk-SK"/>
        </w:rPr>
      </w:pPr>
      <w:hyperlink w:anchor="_Toc88652999" w:history="1">
        <w:r w:rsidR="00C277C6" w:rsidRPr="00D53B71">
          <w:rPr>
            <w:rStyle w:val="Hypertextovprepojenie"/>
            <w:noProof/>
          </w:rPr>
          <w:t>7.3.2.5</w:t>
        </w:r>
        <w:r w:rsidR="00C277C6">
          <w:rPr>
            <w:rFonts w:eastAsiaTheme="minorEastAsia"/>
            <w:noProof/>
            <w:sz w:val="22"/>
            <w:lang w:eastAsia="sk-SK"/>
          </w:rPr>
          <w:tab/>
        </w:r>
        <w:r w:rsidR="00C277C6" w:rsidRPr="00D53B71">
          <w:rPr>
            <w:rStyle w:val="Hypertextovprepojenie"/>
            <w:noProof/>
          </w:rPr>
          <w:t>Prevádzkové výdavky</w:t>
        </w:r>
        <w:r w:rsidR="00C277C6">
          <w:rPr>
            <w:noProof/>
            <w:webHidden/>
          </w:rPr>
          <w:tab/>
        </w:r>
        <w:r w:rsidR="00C277C6">
          <w:rPr>
            <w:noProof/>
            <w:webHidden/>
          </w:rPr>
          <w:fldChar w:fldCharType="begin"/>
        </w:r>
        <w:r w:rsidR="00C277C6">
          <w:rPr>
            <w:noProof/>
            <w:webHidden/>
          </w:rPr>
          <w:instrText xml:space="preserve"> PAGEREF _Toc88652999 \h </w:instrText>
        </w:r>
        <w:r w:rsidR="00C277C6">
          <w:rPr>
            <w:noProof/>
            <w:webHidden/>
          </w:rPr>
        </w:r>
        <w:r w:rsidR="00C277C6">
          <w:rPr>
            <w:noProof/>
            <w:webHidden/>
          </w:rPr>
          <w:fldChar w:fldCharType="separate"/>
        </w:r>
        <w:r w:rsidR="00C277C6">
          <w:rPr>
            <w:noProof/>
            <w:webHidden/>
          </w:rPr>
          <w:t>99</w:t>
        </w:r>
        <w:r w:rsidR="00C277C6">
          <w:rPr>
            <w:noProof/>
            <w:webHidden/>
          </w:rPr>
          <w:fldChar w:fldCharType="end"/>
        </w:r>
      </w:hyperlink>
    </w:p>
    <w:p w14:paraId="646AF6B9" w14:textId="29184A28" w:rsidR="00C277C6" w:rsidRDefault="00DC2DF4">
      <w:pPr>
        <w:pStyle w:val="Obsah4"/>
        <w:tabs>
          <w:tab w:val="left" w:pos="1760"/>
          <w:tab w:val="right" w:leader="dot" w:pos="9062"/>
        </w:tabs>
        <w:rPr>
          <w:rFonts w:eastAsiaTheme="minorEastAsia"/>
          <w:noProof/>
          <w:sz w:val="22"/>
          <w:lang w:eastAsia="sk-SK"/>
        </w:rPr>
      </w:pPr>
      <w:hyperlink w:anchor="_Toc88653000" w:history="1">
        <w:r w:rsidR="00C277C6" w:rsidRPr="00D53B71">
          <w:rPr>
            <w:rStyle w:val="Hypertextovprepojenie"/>
            <w:noProof/>
          </w:rPr>
          <w:t>7.3.2.6</w:t>
        </w:r>
        <w:r w:rsidR="00C277C6">
          <w:rPr>
            <w:rFonts w:eastAsiaTheme="minorEastAsia"/>
            <w:noProof/>
            <w:sz w:val="22"/>
            <w:lang w:eastAsia="sk-SK"/>
          </w:rPr>
          <w:tab/>
        </w:r>
        <w:r w:rsidR="00C277C6" w:rsidRPr="00D53B71">
          <w:rPr>
            <w:rStyle w:val="Hypertextovprepojenie"/>
            <w:noProof/>
          </w:rPr>
          <w:t>Prevádzkové príjmy</w:t>
        </w:r>
        <w:r w:rsidR="00C277C6">
          <w:rPr>
            <w:noProof/>
            <w:webHidden/>
          </w:rPr>
          <w:tab/>
        </w:r>
        <w:r w:rsidR="00C277C6">
          <w:rPr>
            <w:noProof/>
            <w:webHidden/>
          </w:rPr>
          <w:fldChar w:fldCharType="begin"/>
        </w:r>
        <w:r w:rsidR="00C277C6">
          <w:rPr>
            <w:noProof/>
            <w:webHidden/>
          </w:rPr>
          <w:instrText xml:space="preserve"> PAGEREF _Toc88653000 \h </w:instrText>
        </w:r>
        <w:r w:rsidR="00C277C6">
          <w:rPr>
            <w:noProof/>
            <w:webHidden/>
          </w:rPr>
        </w:r>
        <w:r w:rsidR="00C277C6">
          <w:rPr>
            <w:noProof/>
            <w:webHidden/>
          </w:rPr>
          <w:fldChar w:fldCharType="separate"/>
        </w:r>
        <w:r w:rsidR="00C277C6">
          <w:rPr>
            <w:noProof/>
            <w:webHidden/>
          </w:rPr>
          <w:t>100</w:t>
        </w:r>
        <w:r w:rsidR="00C277C6">
          <w:rPr>
            <w:noProof/>
            <w:webHidden/>
          </w:rPr>
          <w:fldChar w:fldCharType="end"/>
        </w:r>
      </w:hyperlink>
    </w:p>
    <w:p w14:paraId="7687F637" w14:textId="26242F8D" w:rsidR="00C277C6" w:rsidRDefault="00DC2DF4">
      <w:pPr>
        <w:pStyle w:val="Obsah4"/>
        <w:tabs>
          <w:tab w:val="left" w:pos="1760"/>
          <w:tab w:val="right" w:leader="dot" w:pos="9062"/>
        </w:tabs>
        <w:rPr>
          <w:rFonts w:eastAsiaTheme="minorEastAsia"/>
          <w:noProof/>
          <w:sz w:val="22"/>
          <w:lang w:eastAsia="sk-SK"/>
        </w:rPr>
      </w:pPr>
      <w:hyperlink w:anchor="_Toc88653001" w:history="1">
        <w:r w:rsidR="00C277C6" w:rsidRPr="00D53B71">
          <w:rPr>
            <w:rStyle w:val="Hypertextovprepojenie"/>
            <w:noProof/>
          </w:rPr>
          <w:t>7.3.2.7</w:t>
        </w:r>
        <w:r w:rsidR="00C277C6">
          <w:rPr>
            <w:rFonts w:eastAsiaTheme="minorEastAsia"/>
            <w:noProof/>
            <w:sz w:val="22"/>
            <w:lang w:eastAsia="sk-SK"/>
          </w:rPr>
          <w:tab/>
        </w:r>
        <w:r w:rsidR="00C277C6" w:rsidRPr="00D53B71">
          <w:rPr>
            <w:rStyle w:val="Hypertextovprepojenie"/>
            <w:noProof/>
          </w:rPr>
          <w:t>Zostatková hodnota</w:t>
        </w:r>
        <w:r w:rsidR="00C277C6">
          <w:rPr>
            <w:noProof/>
            <w:webHidden/>
          </w:rPr>
          <w:tab/>
        </w:r>
        <w:r w:rsidR="00C277C6">
          <w:rPr>
            <w:noProof/>
            <w:webHidden/>
          </w:rPr>
          <w:fldChar w:fldCharType="begin"/>
        </w:r>
        <w:r w:rsidR="00C277C6">
          <w:rPr>
            <w:noProof/>
            <w:webHidden/>
          </w:rPr>
          <w:instrText xml:space="preserve"> PAGEREF _Toc88653001 \h </w:instrText>
        </w:r>
        <w:r w:rsidR="00C277C6">
          <w:rPr>
            <w:noProof/>
            <w:webHidden/>
          </w:rPr>
        </w:r>
        <w:r w:rsidR="00C277C6">
          <w:rPr>
            <w:noProof/>
            <w:webHidden/>
          </w:rPr>
          <w:fldChar w:fldCharType="separate"/>
        </w:r>
        <w:r w:rsidR="00C277C6">
          <w:rPr>
            <w:noProof/>
            <w:webHidden/>
          </w:rPr>
          <w:t>100</w:t>
        </w:r>
        <w:r w:rsidR="00C277C6">
          <w:rPr>
            <w:noProof/>
            <w:webHidden/>
          </w:rPr>
          <w:fldChar w:fldCharType="end"/>
        </w:r>
      </w:hyperlink>
    </w:p>
    <w:p w14:paraId="58FD821B" w14:textId="374945BA" w:rsidR="00C277C6" w:rsidRDefault="00DC2DF4">
      <w:pPr>
        <w:pStyle w:val="Obsah4"/>
        <w:tabs>
          <w:tab w:val="left" w:pos="1760"/>
          <w:tab w:val="right" w:leader="dot" w:pos="9062"/>
        </w:tabs>
        <w:rPr>
          <w:rFonts w:eastAsiaTheme="minorEastAsia"/>
          <w:noProof/>
          <w:sz w:val="22"/>
          <w:lang w:eastAsia="sk-SK"/>
        </w:rPr>
      </w:pPr>
      <w:hyperlink w:anchor="_Toc88653002" w:history="1">
        <w:r w:rsidR="00C277C6" w:rsidRPr="00D53B71">
          <w:rPr>
            <w:rStyle w:val="Hypertextovprepojenie"/>
            <w:noProof/>
          </w:rPr>
          <w:t>7.3.2.8</w:t>
        </w:r>
        <w:r w:rsidR="00C277C6">
          <w:rPr>
            <w:rFonts w:eastAsiaTheme="minorEastAsia"/>
            <w:noProof/>
            <w:sz w:val="22"/>
            <w:lang w:eastAsia="sk-SK"/>
          </w:rPr>
          <w:tab/>
        </w:r>
        <w:r w:rsidR="00C277C6" w:rsidRPr="00D53B71">
          <w:rPr>
            <w:rStyle w:val="Hypertextovprepojenie"/>
            <w:noProof/>
          </w:rPr>
          <w:t>Výstupy finančnej analýzy</w:t>
        </w:r>
        <w:r w:rsidR="00C277C6">
          <w:rPr>
            <w:noProof/>
            <w:webHidden/>
          </w:rPr>
          <w:tab/>
        </w:r>
        <w:r w:rsidR="00C277C6">
          <w:rPr>
            <w:noProof/>
            <w:webHidden/>
          </w:rPr>
          <w:fldChar w:fldCharType="begin"/>
        </w:r>
        <w:r w:rsidR="00C277C6">
          <w:rPr>
            <w:noProof/>
            <w:webHidden/>
          </w:rPr>
          <w:instrText xml:space="preserve"> PAGEREF _Toc88653002 \h </w:instrText>
        </w:r>
        <w:r w:rsidR="00C277C6">
          <w:rPr>
            <w:noProof/>
            <w:webHidden/>
          </w:rPr>
        </w:r>
        <w:r w:rsidR="00C277C6">
          <w:rPr>
            <w:noProof/>
            <w:webHidden/>
          </w:rPr>
          <w:fldChar w:fldCharType="separate"/>
        </w:r>
        <w:r w:rsidR="00C277C6">
          <w:rPr>
            <w:noProof/>
            <w:webHidden/>
          </w:rPr>
          <w:t>101</w:t>
        </w:r>
        <w:r w:rsidR="00C277C6">
          <w:rPr>
            <w:noProof/>
            <w:webHidden/>
          </w:rPr>
          <w:fldChar w:fldCharType="end"/>
        </w:r>
      </w:hyperlink>
    </w:p>
    <w:p w14:paraId="107535D4" w14:textId="373CE5A1" w:rsidR="00C277C6" w:rsidRDefault="00DC2DF4">
      <w:pPr>
        <w:pStyle w:val="Obsah4"/>
        <w:tabs>
          <w:tab w:val="right" w:leader="dot" w:pos="9062"/>
        </w:tabs>
        <w:rPr>
          <w:rFonts w:eastAsiaTheme="minorEastAsia"/>
          <w:noProof/>
          <w:sz w:val="22"/>
          <w:lang w:eastAsia="sk-SK"/>
        </w:rPr>
      </w:pPr>
      <w:hyperlink w:anchor="_Toc88653003" w:history="1">
        <w:r w:rsidR="00C277C6" w:rsidRPr="00D53B71">
          <w:rPr>
            <w:rStyle w:val="Hypertextovprepojenie"/>
            <w:noProof/>
          </w:rPr>
          <w:t>Vnútorné výnosové percento vs. diskontná sadzba</w:t>
        </w:r>
        <w:r w:rsidR="00C277C6">
          <w:rPr>
            <w:noProof/>
            <w:webHidden/>
          </w:rPr>
          <w:tab/>
        </w:r>
        <w:r w:rsidR="00C277C6">
          <w:rPr>
            <w:noProof/>
            <w:webHidden/>
          </w:rPr>
          <w:fldChar w:fldCharType="begin"/>
        </w:r>
        <w:r w:rsidR="00C277C6">
          <w:rPr>
            <w:noProof/>
            <w:webHidden/>
          </w:rPr>
          <w:instrText xml:space="preserve"> PAGEREF _Toc88653003 \h </w:instrText>
        </w:r>
        <w:r w:rsidR="00C277C6">
          <w:rPr>
            <w:noProof/>
            <w:webHidden/>
          </w:rPr>
        </w:r>
        <w:r w:rsidR="00C277C6">
          <w:rPr>
            <w:noProof/>
            <w:webHidden/>
          </w:rPr>
          <w:fldChar w:fldCharType="separate"/>
        </w:r>
        <w:r w:rsidR="00C277C6">
          <w:rPr>
            <w:noProof/>
            <w:webHidden/>
          </w:rPr>
          <w:t>101</w:t>
        </w:r>
        <w:r w:rsidR="00C277C6">
          <w:rPr>
            <w:noProof/>
            <w:webHidden/>
          </w:rPr>
          <w:fldChar w:fldCharType="end"/>
        </w:r>
      </w:hyperlink>
    </w:p>
    <w:p w14:paraId="7B9ECEB1" w14:textId="21DD7A86" w:rsidR="00C277C6" w:rsidRDefault="00DC2DF4">
      <w:pPr>
        <w:pStyle w:val="Obsah4"/>
        <w:tabs>
          <w:tab w:val="right" w:leader="dot" w:pos="9062"/>
        </w:tabs>
        <w:rPr>
          <w:rFonts w:eastAsiaTheme="minorEastAsia"/>
          <w:noProof/>
          <w:sz w:val="22"/>
          <w:lang w:eastAsia="sk-SK"/>
        </w:rPr>
      </w:pPr>
      <w:hyperlink w:anchor="_Toc88653004" w:history="1">
        <w:r w:rsidR="00C277C6" w:rsidRPr="00D53B71">
          <w:rPr>
            <w:rStyle w:val="Hypertextovprepojenie"/>
            <w:noProof/>
          </w:rPr>
          <w:t>Čistá súčasná hodnota</w:t>
        </w:r>
        <w:r w:rsidR="00C277C6">
          <w:rPr>
            <w:noProof/>
            <w:webHidden/>
          </w:rPr>
          <w:tab/>
        </w:r>
        <w:r w:rsidR="00C277C6">
          <w:rPr>
            <w:noProof/>
            <w:webHidden/>
          </w:rPr>
          <w:fldChar w:fldCharType="begin"/>
        </w:r>
        <w:r w:rsidR="00C277C6">
          <w:rPr>
            <w:noProof/>
            <w:webHidden/>
          </w:rPr>
          <w:instrText xml:space="preserve"> PAGEREF _Toc88653004 \h </w:instrText>
        </w:r>
        <w:r w:rsidR="00C277C6">
          <w:rPr>
            <w:noProof/>
            <w:webHidden/>
          </w:rPr>
        </w:r>
        <w:r w:rsidR="00C277C6">
          <w:rPr>
            <w:noProof/>
            <w:webHidden/>
          </w:rPr>
          <w:fldChar w:fldCharType="separate"/>
        </w:r>
        <w:r w:rsidR="00C277C6">
          <w:rPr>
            <w:noProof/>
            <w:webHidden/>
          </w:rPr>
          <w:t>101</w:t>
        </w:r>
        <w:r w:rsidR="00C277C6">
          <w:rPr>
            <w:noProof/>
            <w:webHidden/>
          </w:rPr>
          <w:fldChar w:fldCharType="end"/>
        </w:r>
      </w:hyperlink>
    </w:p>
    <w:p w14:paraId="166C63D9" w14:textId="58DD8E83" w:rsidR="00C277C6" w:rsidRDefault="00DC2DF4">
      <w:pPr>
        <w:pStyle w:val="Obsah3"/>
        <w:tabs>
          <w:tab w:val="left" w:pos="1320"/>
          <w:tab w:val="right" w:leader="dot" w:pos="9062"/>
        </w:tabs>
        <w:rPr>
          <w:rFonts w:eastAsiaTheme="minorEastAsia"/>
          <w:noProof/>
          <w:sz w:val="22"/>
          <w:lang w:eastAsia="sk-SK"/>
        </w:rPr>
      </w:pPr>
      <w:hyperlink w:anchor="_Toc88653005" w:history="1">
        <w:r w:rsidR="00C277C6" w:rsidRPr="00D53B71">
          <w:rPr>
            <w:rStyle w:val="Hypertextovprepojenie"/>
            <w:noProof/>
          </w:rPr>
          <w:t>7.3.3</w:t>
        </w:r>
        <w:r w:rsidR="00C277C6">
          <w:rPr>
            <w:rFonts w:eastAsiaTheme="minorEastAsia"/>
            <w:noProof/>
            <w:sz w:val="22"/>
            <w:lang w:eastAsia="sk-SK"/>
          </w:rPr>
          <w:tab/>
        </w:r>
        <w:r w:rsidR="00C277C6" w:rsidRPr="00D53B71">
          <w:rPr>
            <w:rStyle w:val="Hypertextovprepojenie"/>
            <w:noProof/>
          </w:rPr>
          <w:t>Variant „KOMBINOVANÝ – optimalizácia trate“</w:t>
        </w:r>
        <w:r w:rsidR="00C277C6">
          <w:rPr>
            <w:noProof/>
            <w:webHidden/>
          </w:rPr>
          <w:tab/>
        </w:r>
        <w:r w:rsidR="00C277C6">
          <w:rPr>
            <w:noProof/>
            <w:webHidden/>
          </w:rPr>
          <w:fldChar w:fldCharType="begin"/>
        </w:r>
        <w:r w:rsidR="00C277C6">
          <w:rPr>
            <w:noProof/>
            <w:webHidden/>
          </w:rPr>
          <w:instrText xml:space="preserve"> PAGEREF _Toc88653005 \h </w:instrText>
        </w:r>
        <w:r w:rsidR="00C277C6">
          <w:rPr>
            <w:noProof/>
            <w:webHidden/>
          </w:rPr>
        </w:r>
        <w:r w:rsidR="00C277C6">
          <w:rPr>
            <w:noProof/>
            <w:webHidden/>
          </w:rPr>
          <w:fldChar w:fldCharType="separate"/>
        </w:r>
        <w:r w:rsidR="00C277C6">
          <w:rPr>
            <w:noProof/>
            <w:webHidden/>
          </w:rPr>
          <w:t>101</w:t>
        </w:r>
        <w:r w:rsidR="00C277C6">
          <w:rPr>
            <w:noProof/>
            <w:webHidden/>
          </w:rPr>
          <w:fldChar w:fldCharType="end"/>
        </w:r>
      </w:hyperlink>
    </w:p>
    <w:p w14:paraId="573F45EF" w14:textId="7B6F1547" w:rsidR="00C277C6" w:rsidRDefault="00DC2DF4">
      <w:pPr>
        <w:pStyle w:val="Obsah4"/>
        <w:tabs>
          <w:tab w:val="left" w:pos="1760"/>
          <w:tab w:val="right" w:leader="dot" w:pos="9062"/>
        </w:tabs>
        <w:rPr>
          <w:rFonts w:eastAsiaTheme="minorEastAsia"/>
          <w:noProof/>
          <w:sz w:val="22"/>
          <w:lang w:eastAsia="sk-SK"/>
        </w:rPr>
      </w:pPr>
      <w:hyperlink w:anchor="_Toc88653006" w:history="1">
        <w:r w:rsidR="00C277C6" w:rsidRPr="00D53B71">
          <w:rPr>
            <w:rStyle w:val="Hypertextovprepojenie"/>
            <w:noProof/>
          </w:rPr>
          <w:t>7.3.3.1</w:t>
        </w:r>
        <w:r w:rsidR="00C277C6">
          <w:rPr>
            <w:rFonts w:eastAsiaTheme="minorEastAsia"/>
            <w:noProof/>
            <w:sz w:val="22"/>
            <w:lang w:eastAsia="sk-SK"/>
          </w:rPr>
          <w:tab/>
        </w:r>
        <w:r w:rsidR="00C277C6" w:rsidRPr="00D53B71">
          <w:rPr>
            <w:rStyle w:val="Hypertextovprepojenie"/>
            <w:noProof/>
          </w:rPr>
          <w:t>Investičné náklady</w:t>
        </w:r>
        <w:r w:rsidR="00C277C6">
          <w:rPr>
            <w:noProof/>
            <w:webHidden/>
          </w:rPr>
          <w:tab/>
        </w:r>
        <w:r w:rsidR="00C277C6">
          <w:rPr>
            <w:noProof/>
            <w:webHidden/>
          </w:rPr>
          <w:fldChar w:fldCharType="begin"/>
        </w:r>
        <w:r w:rsidR="00C277C6">
          <w:rPr>
            <w:noProof/>
            <w:webHidden/>
          </w:rPr>
          <w:instrText xml:space="preserve"> PAGEREF _Toc88653006 \h </w:instrText>
        </w:r>
        <w:r w:rsidR="00C277C6">
          <w:rPr>
            <w:noProof/>
            <w:webHidden/>
          </w:rPr>
        </w:r>
        <w:r w:rsidR="00C277C6">
          <w:rPr>
            <w:noProof/>
            <w:webHidden/>
          </w:rPr>
          <w:fldChar w:fldCharType="separate"/>
        </w:r>
        <w:r w:rsidR="00C277C6">
          <w:rPr>
            <w:noProof/>
            <w:webHidden/>
          </w:rPr>
          <w:t>101</w:t>
        </w:r>
        <w:r w:rsidR="00C277C6">
          <w:rPr>
            <w:noProof/>
            <w:webHidden/>
          </w:rPr>
          <w:fldChar w:fldCharType="end"/>
        </w:r>
      </w:hyperlink>
    </w:p>
    <w:p w14:paraId="316AD451" w14:textId="3D267D24" w:rsidR="00C277C6" w:rsidRDefault="00DC2DF4">
      <w:pPr>
        <w:pStyle w:val="Obsah4"/>
        <w:tabs>
          <w:tab w:val="left" w:pos="1760"/>
          <w:tab w:val="right" w:leader="dot" w:pos="9062"/>
        </w:tabs>
        <w:rPr>
          <w:rFonts w:eastAsiaTheme="minorEastAsia"/>
          <w:noProof/>
          <w:sz w:val="22"/>
          <w:lang w:eastAsia="sk-SK"/>
        </w:rPr>
      </w:pPr>
      <w:hyperlink w:anchor="_Toc88653007" w:history="1">
        <w:r w:rsidR="00C277C6" w:rsidRPr="00D53B71">
          <w:rPr>
            <w:rStyle w:val="Hypertextovprepojenie"/>
            <w:noProof/>
          </w:rPr>
          <w:t>7.3.3.2</w:t>
        </w:r>
        <w:r w:rsidR="00C277C6">
          <w:rPr>
            <w:rFonts w:eastAsiaTheme="minorEastAsia"/>
            <w:noProof/>
            <w:sz w:val="22"/>
            <w:lang w:eastAsia="sk-SK"/>
          </w:rPr>
          <w:tab/>
        </w:r>
        <w:r w:rsidR="00C277C6" w:rsidRPr="00D53B71">
          <w:rPr>
            <w:rStyle w:val="Hypertextovprepojenie"/>
            <w:noProof/>
          </w:rPr>
          <w:t>Rezerva na nepredvídateľné výdavky</w:t>
        </w:r>
        <w:r w:rsidR="00C277C6">
          <w:rPr>
            <w:noProof/>
            <w:webHidden/>
          </w:rPr>
          <w:tab/>
        </w:r>
        <w:r w:rsidR="00C277C6">
          <w:rPr>
            <w:noProof/>
            <w:webHidden/>
          </w:rPr>
          <w:fldChar w:fldCharType="begin"/>
        </w:r>
        <w:r w:rsidR="00C277C6">
          <w:rPr>
            <w:noProof/>
            <w:webHidden/>
          </w:rPr>
          <w:instrText xml:space="preserve"> PAGEREF _Toc88653007 \h </w:instrText>
        </w:r>
        <w:r w:rsidR="00C277C6">
          <w:rPr>
            <w:noProof/>
            <w:webHidden/>
          </w:rPr>
        </w:r>
        <w:r w:rsidR="00C277C6">
          <w:rPr>
            <w:noProof/>
            <w:webHidden/>
          </w:rPr>
          <w:fldChar w:fldCharType="separate"/>
        </w:r>
        <w:r w:rsidR="00C277C6">
          <w:rPr>
            <w:noProof/>
            <w:webHidden/>
          </w:rPr>
          <w:t>102</w:t>
        </w:r>
        <w:r w:rsidR="00C277C6">
          <w:rPr>
            <w:noProof/>
            <w:webHidden/>
          </w:rPr>
          <w:fldChar w:fldCharType="end"/>
        </w:r>
      </w:hyperlink>
    </w:p>
    <w:p w14:paraId="6A5FEFE1" w14:textId="3CA7E6A9" w:rsidR="00C277C6" w:rsidRDefault="00DC2DF4">
      <w:pPr>
        <w:pStyle w:val="Obsah4"/>
        <w:tabs>
          <w:tab w:val="left" w:pos="1760"/>
          <w:tab w:val="right" w:leader="dot" w:pos="9062"/>
        </w:tabs>
        <w:rPr>
          <w:rFonts w:eastAsiaTheme="minorEastAsia"/>
          <w:noProof/>
          <w:sz w:val="22"/>
          <w:lang w:eastAsia="sk-SK"/>
        </w:rPr>
      </w:pPr>
      <w:hyperlink w:anchor="_Toc88653008" w:history="1">
        <w:r w:rsidR="00C277C6" w:rsidRPr="00D53B71">
          <w:rPr>
            <w:rStyle w:val="Hypertextovprepojenie"/>
            <w:noProof/>
          </w:rPr>
          <w:t>7.3.3.3</w:t>
        </w:r>
        <w:r w:rsidR="00C277C6">
          <w:rPr>
            <w:rFonts w:eastAsiaTheme="minorEastAsia"/>
            <w:noProof/>
            <w:sz w:val="22"/>
            <w:lang w:eastAsia="sk-SK"/>
          </w:rPr>
          <w:tab/>
        </w:r>
        <w:r w:rsidR="00C277C6" w:rsidRPr="00D53B71">
          <w:rPr>
            <w:rStyle w:val="Hypertextovprepojenie"/>
            <w:noProof/>
          </w:rPr>
          <w:t>Valorizácia nákladov</w:t>
        </w:r>
        <w:r w:rsidR="00C277C6">
          <w:rPr>
            <w:noProof/>
            <w:webHidden/>
          </w:rPr>
          <w:tab/>
        </w:r>
        <w:r w:rsidR="00C277C6">
          <w:rPr>
            <w:noProof/>
            <w:webHidden/>
          </w:rPr>
          <w:fldChar w:fldCharType="begin"/>
        </w:r>
        <w:r w:rsidR="00C277C6">
          <w:rPr>
            <w:noProof/>
            <w:webHidden/>
          </w:rPr>
          <w:instrText xml:space="preserve"> PAGEREF _Toc88653008 \h </w:instrText>
        </w:r>
        <w:r w:rsidR="00C277C6">
          <w:rPr>
            <w:noProof/>
            <w:webHidden/>
          </w:rPr>
        </w:r>
        <w:r w:rsidR="00C277C6">
          <w:rPr>
            <w:noProof/>
            <w:webHidden/>
          </w:rPr>
          <w:fldChar w:fldCharType="separate"/>
        </w:r>
        <w:r w:rsidR="00C277C6">
          <w:rPr>
            <w:noProof/>
            <w:webHidden/>
          </w:rPr>
          <w:t>102</w:t>
        </w:r>
        <w:r w:rsidR="00C277C6">
          <w:rPr>
            <w:noProof/>
            <w:webHidden/>
          </w:rPr>
          <w:fldChar w:fldCharType="end"/>
        </w:r>
      </w:hyperlink>
    </w:p>
    <w:p w14:paraId="7D827D60" w14:textId="0C82A46E" w:rsidR="00C277C6" w:rsidRDefault="00DC2DF4">
      <w:pPr>
        <w:pStyle w:val="Obsah4"/>
        <w:tabs>
          <w:tab w:val="left" w:pos="1760"/>
          <w:tab w:val="right" w:leader="dot" w:pos="9062"/>
        </w:tabs>
        <w:rPr>
          <w:rFonts w:eastAsiaTheme="minorEastAsia"/>
          <w:noProof/>
          <w:sz w:val="22"/>
          <w:lang w:eastAsia="sk-SK"/>
        </w:rPr>
      </w:pPr>
      <w:hyperlink w:anchor="_Toc88653009" w:history="1">
        <w:r w:rsidR="00C277C6" w:rsidRPr="00D53B71">
          <w:rPr>
            <w:rStyle w:val="Hypertextovprepojenie"/>
            <w:noProof/>
          </w:rPr>
          <w:t>7.3.3.4</w:t>
        </w:r>
        <w:r w:rsidR="00C277C6">
          <w:rPr>
            <w:rFonts w:eastAsiaTheme="minorEastAsia"/>
            <w:noProof/>
            <w:sz w:val="22"/>
            <w:lang w:eastAsia="sk-SK"/>
          </w:rPr>
          <w:tab/>
        </w:r>
        <w:r w:rsidR="00C277C6" w:rsidRPr="00D53B71">
          <w:rPr>
            <w:rStyle w:val="Hypertextovprepojenie"/>
            <w:noProof/>
          </w:rPr>
          <w:t>Použitie DPH</w:t>
        </w:r>
        <w:r w:rsidR="00C277C6">
          <w:rPr>
            <w:noProof/>
            <w:webHidden/>
          </w:rPr>
          <w:tab/>
        </w:r>
        <w:r w:rsidR="00C277C6">
          <w:rPr>
            <w:noProof/>
            <w:webHidden/>
          </w:rPr>
          <w:fldChar w:fldCharType="begin"/>
        </w:r>
        <w:r w:rsidR="00C277C6">
          <w:rPr>
            <w:noProof/>
            <w:webHidden/>
          </w:rPr>
          <w:instrText xml:space="preserve"> PAGEREF _Toc88653009 \h </w:instrText>
        </w:r>
        <w:r w:rsidR="00C277C6">
          <w:rPr>
            <w:noProof/>
            <w:webHidden/>
          </w:rPr>
        </w:r>
        <w:r w:rsidR="00C277C6">
          <w:rPr>
            <w:noProof/>
            <w:webHidden/>
          </w:rPr>
          <w:fldChar w:fldCharType="separate"/>
        </w:r>
        <w:r w:rsidR="00C277C6">
          <w:rPr>
            <w:noProof/>
            <w:webHidden/>
          </w:rPr>
          <w:t>102</w:t>
        </w:r>
        <w:r w:rsidR="00C277C6">
          <w:rPr>
            <w:noProof/>
            <w:webHidden/>
          </w:rPr>
          <w:fldChar w:fldCharType="end"/>
        </w:r>
      </w:hyperlink>
    </w:p>
    <w:p w14:paraId="1210C8A2" w14:textId="5A8B1EC3" w:rsidR="00C277C6" w:rsidRDefault="00DC2DF4">
      <w:pPr>
        <w:pStyle w:val="Obsah4"/>
        <w:tabs>
          <w:tab w:val="left" w:pos="1760"/>
          <w:tab w:val="right" w:leader="dot" w:pos="9062"/>
        </w:tabs>
        <w:rPr>
          <w:rFonts w:eastAsiaTheme="minorEastAsia"/>
          <w:noProof/>
          <w:sz w:val="22"/>
          <w:lang w:eastAsia="sk-SK"/>
        </w:rPr>
      </w:pPr>
      <w:hyperlink w:anchor="_Toc88653010" w:history="1">
        <w:r w:rsidR="00C277C6" w:rsidRPr="00D53B71">
          <w:rPr>
            <w:rStyle w:val="Hypertextovprepojenie"/>
            <w:noProof/>
          </w:rPr>
          <w:t>7.3.3.5</w:t>
        </w:r>
        <w:r w:rsidR="00C277C6">
          <w:rPr>
            <w:rFonts w:eastAsiaTheme="minorEastAsia"/>
            <w:noProof/>
            <w:sz w:val="22"/>
            <w:lang w:eastAsia="sk-SK"/>
          </w:rPr>
          <w:tab/>
        </w:r>
        <w:r w:rsidR="00C277C6" w:rsidRPr="00D53B71">
          <w:rPr>
            <w:rStyle w:val="Hypertextovprepojenie"/>
            <w:noProof/>
          </w:rPr>
          <w:t>Prevádzkové výdavky</w:t>
        </w:r>
        <w:r w:rsidR="00C277C6">
          <w:rPr>
            <w:noProof/>
            <w:webHidden/>
          </w:rPr>
          <w:tab/>
        </w:r>
        <w:r w:rsidR="00C277C6">
          <w:rPr>
            <w:noProof/>
            <w:webHidden/>
          </w:rPr>
          <w:fldChar w:fldCharType="begin"/>
        </w:r>
        <w:r w:rsidR="00C277C6">
          <w:rPr>
            <w:noProof/>
            <w:webHidden/>
          </w:rPr>
          <w:instrText xml:space="preserve"> PAGEREF _Toc88653010 \h </w:instrText>
        </w:r>
        <w:r w:rsidR="00C277C6">
          <w:rPr>
            <w:noProof/>
            <w:webHidden/>
          </w:rPr>
        </w:r>
        <w:r w:rsidR="00C277C6">
          <w:rPr>
            <w:noProof/>
            <w:webHidden/>
          </w:rPr>
          <w:fldChar w:fldCharType="separate"/>
        </w:r>
        <w:r w:rsidR="00C277C6">
          <w:rPr>
            <w:noProof/>
            <w:webHidden/>
          </w:rPr>
          <w:t>102</w:t>
        </w:r>
        <w:r w:rsidR="00C277C6">
          <w:rPr>
            <w:noProof/>
            <w:webHidden/>
          </w:rPr>
          <w:fldChar w:fldCharType="end"/>
        </w:r>
      </w:hyperlink>
    </w:p>
    <w:p w14:paraId="28EDB2F7" w14:textId="2A260D78" w:rsidR="00C277C6" w:rsidRDefault="00DC2DF4">
      <w:pPr>
        <w:pStyle w:val="Obsah4"/>
        <w:tabs>
          <w:tab w:val="left" w:pos="1760"/>
          <w:tab w:val="right" w:leader="dot" w:pos="9062"/>
        </w:tabs>
        <w:rPr>
          <w:rFonts w:eastAsiaTheme="minorEastAsia"/>
          <w:noProof/>
          <w:sz w:val="22"/>
          <w:lang w:eastAsia="sk-SK"/>
        </w:rPr>
      </w:pPr>
      <w:hyperlink w:anchor="_Toc88653011" w:history="1">
        <w:r w:rsidR="00C277C6" w:rsidRPr="00D53B71">
          <w:rPr>
            <w:rStyle w:val="Hypertextovprepojenie"/>
            <w:noProof/>
          </w:rPr>
          <w:t>7.3.3.6</w:t>
        </w:r>
        <w:r w:rsidR="00C277C6">
          <w:rPr>
            <w:rFonts w:eastAsiaTheme="minorEastAsia"/>
            <w:noProof/>
            <w:sz w:val="22"/>
            <w:lang w:eastAsia="sk-SK"/>
          </w:rPr>
          <w:tab/>
        </w:r>
        <w:r w:rsidR="00C277C6" w:rsidRPr="00D53B71">
          <w:rPr>
            <w:rStyle w:val="Hypertextovprepojenie"/>
            <w:noProof/>
          </w:rPr>
          <w:t>Prevádzkové príjmy</w:t>
        </w:r>
        <w:r w:rsidR="00C277C6">
          <w:rPr>
            <w:noProof/>
            <w:webHidden/>
          </w:rPr>
          <w:tab/>
        </w:r>
        <w:r w:rsidR="00C277C6">
          <w:rPr>
            <w:noProof/>
            <w:webHidden/>
          </w:rPr>
          <w:fldChar w:fldCharType="begin"/>
        </w:r>
        <w:r w:rsidR="00C277C6">
          <w:rPr>
            <w:noProof/>
            <w:webHidden/>
          </w:rPr>
          <w:instrText xml:space="preserve"> PAGEREF _Toc88653011 \h </w:instrText>
        </w:r>
        <w:r w:rsidR="00C277C6">
          <w:rPr>
            <w:noProof/>
            <w:webHidden/>
          </w:rPr>
        </w:r>
        <w:r w:rsidR="00C277C6">
          <w:rPr>
            <w:noProof/>
            <w:webHidden/>
          </w:rPr>
          <w:fldChar w:fldCharType="separate"/>
        </w:r>
        <w:r w:rsidR="00C277C6">
          <w:rPr>
            <w:noProof/>
            <w:webHidden/>
          </w:rPr>
          <w:t>102</w:t>
        </w:r>
        <w:r w:rsidR="00C277C6">
          <w:rPr>
            <w:noProof/>
            <w:webHidden/>
          </w:rPr>
          <w:fldChar w:fldCharType="end"/>
        </w:r>
      </w:hyperlink>
    </w:p>
    <w:p w14:paraId="41F7657A" w14:textId="76FF07C2" w:rsidR="00C277C6" w:rsidRDefault="00DC2DF4">
      <w:pPr>
        <w:pStyle w:val="Obsah4"/>
        <w:tabs>
          <w:tab w:val="left" w:pos="1760"/>
          <w:tab w:val="right" w:leader="dot" w:pos="9062"/>
        </w:tabs>
        <w:rPr>
          <w:rFonts w:eastAsiaTheme="minorEastAsia"/>
          <w:noProof/>
          <w:sz w:val="22"/>
          <w:lang w:eastAsia="sk-SK"/>
        </w:rPr>
      </w:pPr>
      <w:hyperlink w:anchor="_Toc88653012" w:history="1">
        <w:r w:rsidR="00C277C6" w:rsidRPr="00D53B71">
          <w:rPr>
            <w:rStyle w:val="Hypertextovprepojenie"/>
            <w:noProof/>
          </w:rPr>
          <w:t>7.3.3.7</w:t>
        </w:r>
        <w:r w:rsidR="00C277C6">
          <w:rPr>
            <w:rFonts w:eastAsiaTheme="minorEastAsia"/>
            <w:noProof/>
            <w:sz w:val="22"/>
            <w:lang w:eastAsia="sk-SK"/>
          </w:rPr>
          <w:tab/>
        </w:r>
        <w:r w:rsidR="00C277C6" w:rsidRPr="00D53B71">
          <w:rPr>
            <w:rStyle w:val="Hypertextovprepojenie"/>
            <w:noProof/>
          </w:rPr>
          <w:t>Zostatková hodnota</w:t>
        </w:r>
        <w:r w:rsidR="00C277C6">
          <w:rPr>
            <w:noProof/>
            <w:webHidden/>
          </w:rPr>
          <w:tab/>
        </w:r>
        <w:r w:rsidR="00C277C6">
          <w:rPr>
            <w:noProof/>
            <w:webHidden/>
          </w:rPr>
          <w:fldChar w:fldCharType="begin"/>
        </w:r>
        <w:r w:rsidR="00C277C6">
          <w:rPr>
            <w:noProof/>
            <w:webHidden/>
          </w:rPr>
          <w:instrText xml:space="preserve"> PAGEREF _Toc88653012 \h </w:instrText>
        </w:r>
        <w:r w:rsidR="00C277C6">
          <w:rPr>
            <w:noProof/>
            <w:webHidden/>
          </w:rPr>
        </w:r>
        <w:r w:rsidR="00C277C6">
          <w:rPr>
            <w:noProof/>
            <w:webHidden/>
          </w:rPr>
          <w:fldChar w:fldCharType="separate"/>
        </w:r>
        <w:r w:rsidR="00C277C6">
          <w:rPr>
            <w:noProof/>
            <w:webHidden/>
          </w:rPr>
          <w:t>103</w:t>
        </w:r>
        <w:r w:rsidR="00C277C6">
          <w:rPr>
            <w:noProof/>
            <w:webHidden/>
          </w:rPr>
          <w:fldChar w:fldCharType="end"/>
        </w:r>
      </w:hyperlink>
    </w:p>
    <w:p w14:paraId="4AFCD88E" w14:textId="20F14388" w:rsidR="00C277C6" w:rsidRDefault="00DC2DF4">
      <w:pPr>
        <w:pStyle w:val="Obsah4"/>
        <w:tabs>
          <w:tab w:val="left" w:pos="1760"/>
          <w:tab w:val="right" w:leader="dot" w:pos="9062"/>
        </w:tabs>
        <w:rPr>
          <w:rFonts w:eastAsiaTheme="minorEastAsia"/>
          <w:noProof/>
          <w:sz w:val="22"/>
          <w:lang w:eastAsia="sk-SK"/>
        </w:rPr>
      </w:pPr>
      <w:hyperlink w:anchor="_Toc88653013" w:history="1">
        <w:r w:rsidR="00C277C6" w:rsidRPr="00D53B71">
          <w:rPr>
            <w:rStyle w:val="Hypertextovprepojenie"/>
            <w:noProof/>
          </w:rPr>
          <w:t>7.3.3.8</w:t>
        </w:r>
        <w:r w:rsidR="00C277C6">
          <w:rPr>
            <w:rFonts w:eastAsiaTheme="minorEastAsia"/>
            <w:noProof/>
            <w:sz w:val="22"/>
            <w:lang w:eastAsia="sk-SK"/>
          </w:rPr>
          <w:tab/>
        </w:r>
        <w:r w:rsidR="00C277C6" w:rsidRPr="00D53B71">
          <w:rPr>
            <w:rStyle w:val="Hypertextovprepojenie"/>
            <w:noProof/>
          </w:rPr>
          <w:t>Výstupy finančnej analýzy</w:t>
        </w:r>
        <w:r w:rsidR="00C277C6">
          <w:rPr>
            <w:noProof/>
            <w:webHidden/>
          </w:rPr>
          <w:tab/>
        </w:r>
        <w:r w:rsidR="00C277C6">
          <w:rPr>
            <w:noProof/>
            <w:webHidden/>
          </w:rPr>
          <w:fldChar w:fldCharType="begin"/>
        </w:r>
        <w:r w:rsidR="00C277C6">
          <w:rPr>
            <w:noProof/>
            <w:webHidden/>
          </w:rPr>
          <w:instrText xml:space="preserve"> PAGEREF _Toc88653013 \h </w:instrText>
        </w:r>
        <w:r w:rsidR="00C277C6">
          <w:rPr>
            <w:noProof/>
            <w:webHidden/>
          </w:rPr>
        </w:r>
        <w:r w:rsidR="00C277C6">
          <w:rPr>
            <w:noProof/>
            <w:webHidden/>
          </w:rPr>
          <w:fldChar w:fldCharType="separate"/>
        </w:r>
        <w:r w:rsidR="00C277C6">
          <w:rPr>
            <w:noProof/>
            <w:webHidden/>
          </w:rPr>
          <w:t>104</w:t>
        </w:r>
        <w:r w:rsidR="00C277C6">
          <w:rPr>
            <w:noProof/>
            <w:webHidden/>
          </w:rPr>
          <w:fldChar w:fldCharType="end"/>
        </w:r>
      </w:hyperlink>
    </w:p>
    <w:p w14:paraId="610C9441" w14:textId="6F08F2BA" w:rsidR="00C277C6" w:rsidRDefault="00DC2DF4">
      <w:pPr>
        <w:pStyle w:val="Obsah4"/>
        <w:tabs>
          <w:tab w:val="right" w:leader="dot" w:pos="9062"/>
        </w:tabs>
        <w:rPr>
          <w:rFonts w:eastAsiaTheme="minorEastAsia"/>
          <w:noProof/>
          <w:sz w:val="22"/>
          <w:lang w:eastAsia="sk-SK"/>
        </w:rPr>
      </w:pPr>
      <w:hyperlink w:anchor="_Toc88653014" w:history="1">
        <w:r w:rsidR="00C277C6" w:rsidRPr="00D53B71">
          <w:rPr>
            <w:rStyle w:val="Hypertextovprepojenie"/>
            <w:noProof/>
          </w:rPr>
          <w:t>Vnútorné výnosové percento vs. diskontná sadzba</w:t>
        </w:r>
        <w:r w:rsidR="00C277C6">
          <w:rPr>
            <w:noProof/>
            <w:webHidden/>
          </w:rPr>
          <w:tab/>
        </w:r>
        <w:r w:rsidR="00C277C6">
          <w:rPr>
            <w:noProof/>
            <w:webHidden/>
          </w:rPr>
          <w:fldChar w:fldCharType="begin"/>
        </w:r>
        <w:r w:rsidR="00C277C6">
          <w:rPr>
            <w:noProof/>
            <w:webHidden/>
          </w:rPr>
          <w:instrText xml:space="preserve"> PAGEREF _Toc88653014 \h </w:instrText>
        </w:r>
        <w:r w:rsidR="00C277C6">
          <w:rPr>
            <w:noProof/>
            <w:webHidden/>
          </w:rPr>
        </w:r>
        <w:r w:rsidR="00C277C6">
          <w:rPr>
            <w:noProof/>
            <w:webHidden/>
          </w:rPr>
          <w:fldChar w:fldCharType="separate"/>
        </w:r>
        <w:r w:rsidR="00C277C6">
          <w:rPr>
            <w:noProof/>
            <w:webHidden/>
          </w:rPr>
          <w:t>104</w:t>
        </w:r>
        <w:r w:rsidR="00C277C6">
          <w:rPr>
            <w:noProof/>
            <w:webHidden/>
          </w:rPr>
          <w:fldChar w:fldCharType="end"/>
        </w:r>
      </w:hyperlink>
    </w:p>
    <w:p w14:paraId="3AA06532" w14:textId="3798A088" w:rsidR="00C277C6" w:rsidRDefault="00DC2DF4">
      <w:pPr>
        <w:pStyle w:val="Obsah4"/>
        <w:tabs>
          <w:tab w:val="right" w:leader="dot" w:pos="9062"/>
        </w:tabs>
        <w:rPr>
          <w:rFonts w:eastAsiaTheme="minorEastAsia"/>
          <w:noProof/>
          <w:sz w:val="22"/>
          <w:lang w:eastAsia="sk-SK"/>
        </w:rPr>
      </w:pPr>
      <w:hyperlink w:anchor="_Toc88653015" w:history="1">
        <w:r w:rsidR="00C277C6" w:rsidRPr="00D53B71">
          <w:rPr>
            <w:rStyle w:val="Hypertextovprepojenie"/>
            <w:noProof/>
          </w:rPr>
          <w:t>Čistá súčasná hodnota</w:t>
        </w:r>
        <w:r w:rsidR="00C277C6">
          <w:rPr>
            <w:noProof/>
            <w:webHidden/>
          </w:rPr>
          <w:tab/>
        </w:r>
        <w:r w:rsidR="00C277C6">
          <w:rPr>
            <w:noProof/>
            <w:webHidden/>
          </w:rPr>
          <w:fldChar w:fldCharType="begin"/>
        </w:r>
        <w:r w:rsidR="00C277C6">
          <w:rPr>
            <w:noProof/>
            <w:webHidden/>
          </w:rPr>
          <w:instrText xml:space="preserve"> PAGEREF _Toc88653015 \h </w:instrText>
        </w:r>
        <w:r w:rsidR="00C277C6">
          <w:rPr>
            <w:noProof/>
            <w:webHidden/>
          </w:rPr>
        </w:r>
        <w:r w:rsidR="00C277C6">
          <w:rPr>
            <w:noProof/>
            <w:webHidden/>
          </w:rPr>
          <w:fldChar w:fldCharType="separate"/>
        </w:r>
        <w:r w:rsidR="00C277C6">
          <w:rPr>
            <w:noProof/>
            <w:webHidden/>
          </w:rPr>
          <w:t>104</w:t>
        </w:r>
        <w:r w:rsidR="00C277C6">
          <w:rPr>
            <w:noProof/>
            <w:webHidden/>
          </w:rPr>
          <w:fldChar w:fldCharType="end"/>
        </w:r>
      </w:hyperlink>
    </w:p>
    <w:p w14:paraId="3656F200" w14:textId="3F04F9EA" w:rsidR="00C277C6" w:rsidRDefault="00DC2DF4">
      <w:pPr>
        <w:pStyle w:val="Obsah2"/>
        <w:tabs>
          <w:tab w:val="left" w:pos="880"/>
          <w:tab w:val="right" w:leader="dot" w:pos="9062"/>
        </w:tabs>
        <w:rPr>
          <w:rFonts w:eastAsiaTheme="minorEastAsia"/>
          <w:noProof/>
          <w:sz w:val="22"/>
          <w:lang w:eastAsia="sk-SK"/>
        </w:rPr>
      </w:pPr>
      <w:hyperlink w:anchor="_Toc88653016" w:history="1">
        <w:r w:rsidR="00C277C6" w:rsidRPr="00D53B71">
          <w:rPr>
            <w:rStyle w:val="Hypertextovprepojenie"/>
            <w:noProof/>
          </w:rPr>
          <w:t>7.4</w:t>
        </w:r>
        <w:r w:rsidR="00C277C6">
          <w:rPr>
            <w:rFonts w:eastAsiaTheme="minorEastAsia"/>
            <w:noProof/>
            <w:sz w:val="22"/>
            <w:lang w:eastAsia="sk-SK"/>
          </w:rPr>
          <w:tab/>
        </w:r>
        <w:r w:rsidR="00C277C6" w:rsidRPr="00D53B71">
          <w:rPr>
            <w:rStyle w:val="Hypertextovprepojenie"/>
            <w:noProof/>
          </w:rPr>
          <w:t>Výpočet zdrojov financovania</w:t>
        </w:r>
        <w:r w:rsidR="00C277C6">
          <w:rPr>
            <w:noProof/>
            <w:webHidden/>
          </w:rPr>
          <w:tab/>
        </w:r>
        <w:r w:rsidR="00C277C6">
          <w:rPr>
            <w:noProof/>
            <w:webHidden/>
          </w:rPr>
          <w:fldChar w:fldCharType="begin"/>
        </w:r>
        <w:r w:rsidR="00C277C6">
          <w:rPr>
            <w:noProof/>
            <w:webHidden/>
          </w:rPr>
          <w:instrText xml:space="preserve"> PAGEREF _Toc88653016 \h </w:instrText>
        </w:r>
        <w:r w:rsidR="00C277C6">
          <w:rPr>
            <w:noProof/>
            <w:webHidden/>
          </w:rPr>
        </w:r>
        <w:r w:rsidR="00C277C6">
          <w:rPr>
            <w:noProof/>
            <w:webHidden/>
          </w:rPr>
          <w:fldChar w:fldCharType="separate"/>
        </w:r>
        <w:r w:rsidR="00C277C6">
          <w:rPr>
            <w:noProof/>
            <w:webHidden/>
          </w:rPr>
          <w:t>105</w:t>
        </w:r>
        <w:r w:rsidR="00C277C6">
          <w:rPr>
            <w:noProof/>
            <w:webHidden/>
          </w:rPr>
          <w:fldChar w:fldCharType="end"/>
        </w:r>
      </w:hyperlink>
    </w:p>
    <w:p w14:paraId="408EC4BD" w14:textId="6E13A45B" w:rsidR="00C277C6" w:rsidRDefault="00DC2DF4">
      <w:pPr>
        <w:pStyle w:val="Obsah3"/>
        <w:tabs>
          <w:tab w:val="left" w:pos="1320"/>
          <w:tab w:val="right" w:leader="dot" w:pos="9062"/>
        </w:tabs>
        <w:rPr>
          <w:rFonts w:eastAsiaTheme="minorEastAsia"/>
          <w:noProof/>
          <w:sz w:val="22"/>
          <w:lang w:eastAsia="sk-SK"/>
        </w:rPr>
      </w:pPr>
      <w:hyperlink w:anchor="_Toc88653017" w:history="1">
        <w:r w:rsidR="00C277C6" w:rsidRPr="00D53B71">
          <w:rPr>
            <w:rStyle w:val="Hypertextovprepojenie"/>
            <w:noProof/>
          </w:rPr>
          <w:t>7.4.1</w:t>
        </w:r>
        <w:r w:rsidR="00C277C6">
          <w:rPr>
            <w:rFonts w:eastAsiaTheme="minorEastAsia"/>
            <w:noProof/>
            <w:sz w:val="22"/>
            <w:lang w:eastAsia="sk-SK"/>
          </w:rPr>
          <w:tab/>
        </w:r>
        <w:r w:rsidR="00C277C6" w:rsidRPr="00D53B71">
          <w:rPr>
            <w:rStyle w:val="Hypertextovprepojenie"/>
            <w:noProof/>
          </w:rPr>
          <w:t>Definícia a výpočet finančnej medzery</w:t>
        </w:r>
        <w:r w:rsidR="00C277C6">
          <w:rPr>
            <w:noProof/>
            <w:webHidden/>
          </w:rPr>
          <w:tab/>
        </w:r>
        <w:r w:rsidR="00C277C6">
          <w:rPr>
            <w:noProof/>
            <w:webHidden/>
          </w:rPr>
          <w:fldChar w:fldCharType="begin"/>
        </w:r>
        <w:r w:rsidR="00C277C6">
          <w:rPr>
            <w:noProof/>
            <w:webHidden/>
          </w:rPr>
          <w:instrText xml:space="preserve"> PAGEREF _Toc88653017 \h </w:instrText>
        </w:r>
        <w:r w:rsidR="00C277C6">
          <w:rPr>
            <w:noProof/>
            <w:webHidden/>
          </w:rPr>
        </w:r>
        <w:r w:rsidR="00C277C6">
          <w:rPr>
            <w:noProof/>
            <w:webHidden/>
          </w:rPr>
          <w:fldChar w:fldCharType="separate"/>
        </w:r>
        <w:r w:rsidR="00C277C6">
          <w:rPr>
            <w:noProof/>
            <w:webHidden/>
          </w:rPr>
          <w:t>105</w:t>
        </w:r>
        <w:r w:rsidR="00C277C6">
          <w:rPr>
            <w:noProof/>
            <w:webHidden/>
          </w:rPr>
          <w:fldChar w:fldCharType="end"/>
        </w:r>
      </w:hyperlink>
    </w:p>
    <w:p w14:paraId="401E5F3A" w14:textId="2504EDA4" w:rsidR="00C277C6" w:rsidRDefault="00DC2DF4">
      <w:pPr>
        <w:pStyle w:val="Obsah3"/>
        <w:tabs>
          <w:tab w:val="left" w:pos="1320"/>
          <w:tab w:val="right" w:leader="dot" w:pos="9062"/>
        </w:tabs>
        <w:rPr>
          <w:rFonts w:eastAsiaTheme="minorEastAsia"/>
          <w:noProof/>
          <w:sz w:val="22"/>
          <w:lang w:eastAsia="sk-SK"/>
        </w:rPr>
      </w:pPr>
      <w:hyperlink w:anchor="_Toc88653018" w:history="1">
        <w:r w:rsidR="00C277C6" w:rsidRPr="00D53B71">
          <w:rPr>
            <w:rStyle w:val="Hypertextovprepojenie"/>
            <w:noProof/>
          </w:rPr>
          <w:t>7.4.2</w:t>
        </w:r>
        <w:r w:rsidR="00C277C6">
          <w:rPr>
            <w:rFonts w:eastAsiaTheme="minorEastAsia"/>
            <w:noProof/>
            <w:sz w:val="22"/>
            <w:lang w:eastAsia="sk-SK"/>
          </w:rPr>
          <w:tab/>
        </w:r>
        <w:r w:rsidR="00C277C6" w:rsidRPr="00D53B71">
          <w:rPr>
            <w:rStyle w:val="Hypertextovprepojenie"/>
            <w:noProof/>
          </w:rPr>
          <w:t>Výpočet sumy rozhodnutia</w:t>
        </w:r>
        <w:r w:rsidR="00C277C6">
          <w:rPr>
            <w:noProof/>
            <w:webHidden/>
          </w:rPr>
          <w:tab/>
        </w:r>
        <w:r w:rsidR="00C277C6">
          <w:rPr>
            <w:noProof/>
            <w:webHidden/>
          </w:rPr>
          <w:fldChar w:fldCharType="begin"/>
        </w:r>
        <w:r w:rsidR="00C277C6">
          <w:rPr>
            <w:noProof/>
            <w:webHidden/>
          </w:rPr>
          <w:instrText xml:space="preserve"> PAGEREF _Toc88653018 \h </w:instrText>
        </w:r>
        <w:r w:rsidR="00C277C6">
          <w:rPr>
            <w:noProof/>
            <w:webHidden/>
          </w:rPr>
        </w:r>
        <w:r w:rsidR="00C277C6">
          <w:rPr>
            <w:noProof/>
            <w:webHidden/>
          </w:rPr>
          <w:fldChar w:fldCharType="separate"/>
        </w:r>
        <w:r w:rsidR="00C277C6">
          <w:rPr>
            <w:noProof/>
            <w:webHidden/>
          </w:rPr>
          <w:t>106</w:t>
        </w:r>
        <w:r w:rsidR="00C277C6">
          <w:rPr>
            <w:noProof/>
            <w:webHidden/>
          </w:rPr>
          <w:fldChar w:fldCharType="end"/>
        </w:r>
      </w:hyperlink>
    </w:p>
    <w:p w14:paraId="6838025E" w14:textId="18DD7E04" w:rsidR="00C277C6" w:rsidRDefault="00DC2DF4">
      <w:pPr>
        <w:pStyle w:val="Obsah3"/>
        <w:tabs>
          <w:tab w:val="left" w:pos="1320"/>
          <w:tab w:val="right" w:leader="dot" w:pos="9062"/>
        </w:tabs>
        <w:rPr>
          <w:rFonts w:eastAsiaTheme="minorEastAsia"/>
          <w:noProof/>
          <w:sz w:val="22"/>
          <w:lang w:eastAsia="sk-SK"/>
        </w:rPr>
      </w:pPr>
      <w:hyperlink w:anchor="_Toc88653019" w:history="1">
        <w:r w:rsidR="00C277C6" w:rsidRPr="00D53B71">
          <w:rPr>
            <w:rStyle w:val="Hypertextovprepojenie"/>
            <w:noProof/>
          </w:rPr>
          <w:t>7.4.3</w:t>
        </w:r>
        <w:r w:rsidR="00C277C6">
          <w:rPr>
            <w:rFonts w:eastAsiaTheme="minorEastAsia"/>
            <w:noProof/>
            <w:sz w:val="22"/>
            <w:lang w:eastAsia="sk-SK"/>
          </w:rPr>
          <w:tab/>
        </w:r>
        <w:r w:rsidR="00C277C6" w:rsidRPr="00D53B71">
          <w:rPr>
            <w:rStyle w:val="Hypertextovprepojenie"/>
            <w:noProof/>
          </w:rPr>
          <w:t>Výpočet zdrojov financovania</w:t>
        </w:r>
        <w:r w:rsidR="00C277C6">
          <w:rPr>
            <w:noProof/>
            <w:webHidden/>
          </w:rPr>
          <w:tab/>
        </w:r>
        <w:r w:rsidR="00C277C6">
          <w:rPr>
            <w:noProof/>
            <w:webHidden/>
          </w:rPr>
          <w:fldChar w:fldCharType="begin"/>
        </w:r>
        <w:r w:rsidR="00C277C6">
          <w:rPr>
            <w:noProof/>
            <w:webHidden/>
          </w:rPr>
          <w:instrText xml:space="preserve"> PAGEREF _Toc88653019 \h </w:instrText>
        </w:r>
        <w:r w:rsidR="00C277C6">
          <w:rPr>
            <w:noProof/>
            <w:webHidden/>
          </w:rPr>
        </w:r>
        <w:r w:rsidR="00C277C6">
          <w:rPr>
            <w:noProof/>
            <w:webHidden/>
          </w:rPr>
          <w:fldChar w:fldCharType="separate"/>
        </w:r>
        <w:r w:rsidR="00C277C6">
          <w:rPr>
            <w:noProof/>
            <w:webHidden/>
          </w:rPr>
          <w:t>107</w:t>
        </w:r>
        <w:r w:rsidR="00C277C6">
          <w:rPr>
            <w:noProof/>
            <w:webHidden/>
          </w:rPr>
          <w:fldChar w:fldCharType="end"/>
        </w:r>
      </w:hyperlink>
    </w:p>
    <w:p w14:paraId="47BFC93B" w14:textId="69D1B2DB" w:rsidR="00C277C6" w:rsidRDefault="00DC2DF4">
      <w:pPr>
        <w:pStyle w:val="Obsah2"/>
        <w:tabs>
          <w:tab w:val="left" w:pos="880"/>
          <w:tab w:val="right" w:leader="dot" w:pos="9062"/>
        </w:tabs>
        <w:rPr>
          <w:rFonts w:eastAsiaTheme="minorEastAsia"/>
          <w:noProof/>
          <w:sz w:val="22"/>
          <w:lang w:eastAsia="sk-SK"/>
        </w:rPr>
      </w:pPr>
      <w:hyperlink w:anchor="_Toc88653020" w:history="1">
        <w:r w:rsidR="00C277C6" w:rsidRPr="00D53B71">
          <w:rPr>
            <w:rStyle w:val="Hypertextovprepojenie"/>
            <w:noProof/>
          </w:rPr>
          <w:t>7.5</w:t>
        </w:r>
        <w:r w:rsidR="00C277C6">
          <w:rPr>
            <w:rFonts w:eastAsiaTheme="minorEastAsia"/>
            <w:noProof/>
            <w:sz w:val="22"/>
            <w:lang w:eastAsia="sk-SK"/>
          </w:rPr>
          <w:tab/>
        </w:r>
        <w:r w:rsidR="00C277C6" w:rsidRPr="00D53B71">
          <w:rPr>
            <w:rStyle w:val="Hypertextovprepojenie"/>
            <w:noProof/>
          </w:rPr>
          <w:t>Ekonomická analýza</w:t>
        </w:r>
        <w:r w:rsidR="00C277C6">
          <w:rPr>
            <w:noProof/>
            <w:webHidden/>
          </w:rPr>
          <w:tab/>
        </w:r>
        <w:r w:rsidR="00C277C6">
          <w:rPr>
            <w:noProof/>
            <w:webHidden/>
          </w:rPr>
          <w:fldChar w:fldCharType="begin"/>
        </w:r>
        <w:r w:rsidR="00C277C6">
          <w:rPr>
            <w:noProof/>
            <w:webHidden/>
          </w:rPr>
          <w:instrText xml:space="preserve"> PAGEREF _Toc88653020 \h </w:instrText>
        </w:r>
        <w:r w:rsidR="00C277C6">
          <w:rPr>
            <w:noProof/>
            <w:webHidden/>
          </w:rPr>
        </w:r>
        <w:r w:rsidR="00C277C6">
          <w:rPr>
            <w:noProof/>
            <w:webHidden/>
          </w:rPr>
          <w:fldChar w:fldCharType="separate"/>
        </w:r>
        <w:r w:rsidR="00C277C6">
          <w:rPr>
            <w:noProof/>
            <w:webHidden/>
          </w:rPr>
          <w:t>108</w:t>
        </w:r>
        <w:r w:rsidR="00C277C6">
          <w:rPr>
            <w:noProof/>
            <w:webHidden/>
          </w:rPr>
          <w:fldChar w:fldCharType="end"/>
        </w:r>
      </w:hyperlink>
    </w:p>
    <w:p w14:paraId="2397CAA8" w14:textId="5BC26301" w:rsidR="00C277C6" w:rsidRDefault="00DC2DF4">
      <w:pPr>
        <w:pStyle w:val="Obsah3"/>
        <w:tabs>
          <w:tab w:val="left" w:pos="1320"/>
          <w:tab w:val="right" w:leader="dot" w:pos="9062"/>
        </w:tabs>
        <w:rPr>
          <w:rFonts w:eastAsiaTheme="minorEastAsia"/>
          <w:noProof/>
          <w:sz w:val="22"/>
          <w:lang w:eastAsia="sk-SK"/>
        </w:rPr>
      </w:pPr>
      <w:hyperlink w:anchor="_Toc88653021" w:history="1">
        <w:r w:rsidR="00C277C6" w:rsidRPr="00D53B71">
          <w:rPr>
            <w:rStyle w:val="Hypertextovprepojenie"/>
            <w:noProof/>
          </w:rPr>
          <w:t>7.5.1</w:t>
        </w:r>
        <w:r w:rsidR="00C277C6">
          <w:rPr>
            <w:rFonts w:eastAsiaTheme="minorEastAsia"/>
            <w:noProof/>
            <w:sz w:val="22"/>
            <w:lang w:eastAsia="sk-SK"/>
          </w:rPr>
          <w:tab/>
        </w:r>
        <w:r w:rsidR="00C277C6" w:rsidRPr="00D53B71">
          <w:rPr>
            <w:rStyle w:val="Hypertextovprepojenie"/>
            <w:noProof/>
          </w:rPr>
          <w:t>Variant A „ZÁKLADNÁ MODERNIZÁCIA““</w:t>
        </w:r>
        <w:r w:rsidR="00C277C6">
          <w:rPr>
            <w:noProof/>
            <w:webHidden/>
          </w:rPr>
          <w:tab/>
        </w:r>
        <w:r w:rsidR="00C277C6">
          <w:rPr>
            <w:noProof/>
            <w:webHidden/>
          </w:rPr>
          <w:fldChar w:fldCharType="begin"/>
        </w:r>
        <w:r w:rsidR="00C277C6">
          <w:rPr>
            <w:noProof/>
            <w:webHidden/>
          </w:rPr>
          <w:instrText xml:space="preserve"> PAGEREF _Toc88653021 \h </w:instrText>
        </w:r>
        <w:r w:rsidR="00C277C6">
          <w:rPr>
            <w:noProof/>
            <w:webHidden/>
          </w:rPr>
        </w:r>
        <w:r w:rsidR="00C277C6">
          <w:rPr>
            <w:noProof/>
            <w:webHidden/>
          </w:rPr>
          <w:fldChar w:fldCharType="separate"/>
        </w:r>
        <w:r w:rsidR="00C277C6">
          <w:rPr>
            <w:noProof/>
            <w:webHidden/>
          </w:rPr>
          <w:t>108</w:t>
        </w:r>
        <w:r w:rsidR="00C277C6">
          <w:rPr>
            <w:noProof/>
            <w:webHidden/>
          </w:rPr>
          <w:fldChar w:fldCharType="end"/>
        </w:r>
      </w:hyperlink>
    </w:p>
    <w:p w14:paraId="114649EE" w14:textId="09429E3B" w:rsidR="00C277C6" w:rsidRDefault="00DC2DF4">
      <w:pPr>
        <w:pStyle w:val="Obsah4"/>
        <w:tabs>
          <w:tab w:val="left" w:pos="1760"/>
          <w:tab w:val="right" w:leader="dot" w:pos="9062"/>
        </w:tabs>
        <w:rPr>
          <w:rFonts w:eastAsiaTheme="minorEastAsia"/>
          <w:noProof/>
          <w:sz w:val="22"/>
          <w:lang w:eastAsia="sk-SK"/>
        </w:rPr>
      </w:pPr>
      <w:hyperlink w:anchor="_Toc88653022" w:history="1">
        <w:r w:rsidR="00C277C6" w:rsidRPr="00D53B71">
          <w:rPr>
            <w:rStyle w:val="Hypertextovprepojenie"/>
            <w:noProof/>
          </w:rPr>
          <w:t>7.5.1.1</w:t>
        </w:r>
        <w:r w:rsidR="00C277C6">
          <w:rPr>
            <w:rFonts w:eastAsiaTheme="minorEastAsia"/>
            <w:noProof/>
            <w:sz w:val="22"/>
            <w:lang w:eastAsia="sk-SK"/>
          </w:rPr>
          <w:tab/>
        </w:r>
        <w:r w:rsidR="00C277C6" w:rsidRPr="00D53B71">
          <w:rPr>
            <w:rStyle w:val="Hypertextovprepojenie"/>
            <w:noProof/>
          </w:rPr>
          <w:t>Investičné náklady</w:t>
        </w:r>
        <w:r w:rsidR="00C277C6">
          <w:rPr>
            <w:noProof/>
            <w:webHidden/>
          </w:rPr>
          <w:tab/>
        </w:r>
        <w:r w:rsidR="00C277C6">
          <w:rPr>
            <w:noProof/>
            <w:webHidden/>
          </w:rPr>
          <w:fldChar w:fldCharType="begin"/>
        </w:r>
        <w:r w:rsidR="00C277C6">
          <w:rPr>
            <w:noProof/>
            <w:webHidden/>
          </w:rPr>
          <w:instrText xml:space="preserve"> PAGEREF _Toc88653022 \h </w:instrText>
        </w:r>
        <w:r w:rsidR="00C277C6">
          <w:rPr>
            <w:noProof/>
            <w:webHidden/>
          </w:rPr>
        </w:r>
        <w:r w:rsidR="00C277C6">
          <w:rPr>
            <w:noProof/>
            <w:webHidden/>
          </w:rPr>
          <w:fldChar w:fldCharType="separate"/>
        </w:r>
        <w:r w:rsidR="00C277C6">
          <w:rPr>
            <w:noProof/>
            <w:webHidden/>
          </w:rPr>
          <w:t>108</w:t>
        </w:r>
        <w:r w:rsidR="00C277C6">
          <w:rPr>
            <w:noProof/>
            <w:webHidden/>
          </w:rPr>
          <w:fldChar w:fldCharType="end"/>
        </w:r>
      </w:hyperlink>
    </w:p>
    <w:p w14:paraId="508EDA18" w14:textId="3DCC7EA2" w:rsidR="00C277C6" w:rsidRDefault="00DC2DF4">
      <w:pPr>
        <w:pStyle w:val="Obsah4"/>
        <w:tabs>
          <w:tab w:val="left" w:pos="1760"/>
          <w:tab w:val="right" w:leader="dot" w:pos="9062"/>
        </w:tabs>
        <w:rPr>
          <w:rFonts w:eastAsiaTheme="minorEastAsia"/>
          <w:noProof/>
          <w:sz w:val="22"/>
          <w:lang w:eastAsia="sk-SK"/>
        </w:rPr>
      </w:pPr>
      <w:hyperlink w:anchor="_Toc88653023" w:history="1">
        <w:r w:rsidR="00C277C6" w:rsidRPr="00D53B71">
          <w:rPr>
            <w:rStyle w:val="Hypertextovprepojenie"/>
            <w:noProof/>
          </w:rPr>
          <w:t>7.5.1.2</w:t>
        </w:r>
        <w:r w:rsidR="00C277C6">
          <w:rPr>
            <w:rFonts w:eastAsiaTheme="minorEastAsia"/>
            <w:noProof/>
            <w:sz w:val="22"/>
            <w:lang w:eastAsia="sk-SK"/>
          </w:rPr>
          <w:tab/>
        </w:r>
        <w:r w:rsidR="00C277C6" w:rsidRPr="00D53B71">
          <w:rPr>
            <w:rStyle w:val="Hypertextovprepojenie"/>
            <w:noProof/>
          </w:rPr>
          <w:t>Prevádzkové náklady</w:t>
        </w:r>
        <w:r w:rsidR="00C277C6">
          <w:rPr>
            <w:noProof/>
            <w:webHidden/>
          </w:rPr>
          <w:tab/>
        </w:r>
        <w:r w:rsidR="00C277C6">
          <w:rPr>
            <w:noProof/>
            <w:webHidden/>
          </w:rPr>
          <w:fldChar w:fldCharType="begin"/>
        </w:r>
        <w:r w:rsidR="00C277C6">
          <w:rPr>
            <w:noProof/>
            <w:webHidden/>
          </w:rPr>
          <w:instrText xml:space="preserve"> PAGEREF _Toc88653023 \h </w:instrText>
        </w:r>
        <w:r w:rsidR="00C277C6">
          <w:rPr>
            <w:noProof/>
            <w:webHidden/>
          </w:rPr>
        </w:r>
        <w:r w:rsidR="00C277C6">
          <w:rPr>
            <w:noProof/>
            <w:webHidden/>
          </w:rPr>
          <w:fldChar w:fldCharType="separate"/>
        </w:r>
        <w:r w:rsidR="00C277C6">
          <w:rPr>
            <w:noProof/>
            <w:webHidden/>
          </w:rPr>
          <w:t>108</w:t>
        </w:r>
        <w:r w:rsidR="00C277C6">
          <w:rPr>
            <w:noProof/>
            <w:webHidden/>
          </w:rPr>
          <w:fldChar w:fldCharType="end"/>
        </w:r>
      </w:hyperlink>
    </w:p>
    <w:p w14:paraId="1351B21F" w14:textId="0F018FF3" w:rsidR="00C277C6" w:rsidRDefault="00DC2DF4">
      <w:pPr>
        <w:pStyle w:val="Obsah4"/>
        <w:tabs>
          <w:tab w:val="left" w:pos="1760"/>
          <w:tab w:val="right" w:leader="dot" w:pos="9062"/>
        </w:tabs>
        <w:rPr>
          <w:rFonts w:eastAsiaTheme="minorEastAsia"/>
          <w:noProof/>
          <w:sz w:val="22"/>
          <w:lang w:eastAsia="sk-SK"/>
        </w:rPr>
      </w:pPr>
      <w:hyperlink w:anchor="_Toc88653024" w:history="1">
        <w:r w:rsidR="00C277C6" w:rsidRPr="00D53B71">
          <w:rPr>
            <w:rStyle w:val="Hypertextovprepojenie"/>
            <w:noProof/>
          </w:rPr>
          <w:t>7.5.1.3</w:t>
        </w:r>
        <w:r w:rsidR="00C277C6">
          <w:rPr>
            <w:rFonts w:eastAsiaTheme="minorEastAsia"/>
            <w:noProof/>
            <w:sz w:val="22"/>
            <w:lang w:eastAsia="sk-SK"/>
          </w:rPr>
          <w:tab/>
        </w:r>
        <w:r w:rsidR="00C277C6" w:rsidRPr="00D53B71">
          <w:rPr>
            <w:rStyle w:val="Hypertextovprepojenie"/>
            <w:noProof/>
          </w:rPr>
          <w:t>Ekonomické príjmy (prínosy)</w:t>
        </w:r>
        <w:r w:rsidR="00C277C6">
          <w:rPr>
            <w:noProof/>
            <w:webHidden/>
          </w:rPr>
          <w:tab/>
        </w:r>
        <w:r w:rsidR="00C277C6">
          <w:rPr>
            <w:noProof/>
            <w:webHidden/>
          </w:rPr>
          <w:fldChar w:fldCharType="begin"/>
        </w:r>
        <w:r w:rsidR="00C277C6">
          <w:rPr>
            <w:noProof/>
            <w:webHidden/>
          </w:rPr>
          <w:instrText xml:space="preserve"> PAGEREF _Toc88653024 \h </w:instrText>
        </w:r>
        <w:r w:rsidR="00C277C6">
          <w:rPr>
            <w:noProof/>
            <w:webHidden/>
          </w:rPr>
        </w:r>
        <w:r w:rsidR="00C277C6">
          <w:rPr>
            <w:noProof/>
            <w:webHidden/>
          </w:rPr>
          <w:fldChar w:fldCharType="separate"/>
        </w:r>
        <w:r w:rsidR="00C277C6">
          <w:rPr>
            <w:noProof/>
            <w:webHidden/>
          </w:rPr>
          <w:t>109</w:t>
        </w:r>
        <w:r w:rsidR="00C277C6">
          <w:rPr>
            <w:noProof/>
            <w:webHidden/>
          </w:rPr>
          <w:fldChar w:fldCharType="end"/>
        </w:r>
      </w:hyperlink>
    </w:p>
    <w:p w14:paraId="402B1C37" w14:textId="102E1D68" w:rsidR="00C277C6" w:rsidRDefault="00DC2DF4">
      <w:pPr>
        <w:pStyle w:val="Obsah4"/>
        <w:tabs>
          <w:tab w:val="left" w:pos="1760"/>
          <w:tab w:val="right" w:leader="dot" w:pos="9062"/>
        </w:tabs>
        <w:rPr>
          <w:rFonts w:eastAsiaTheme="minorEastAsia"/>
          <w:noProof/>
          <w:sz w:val="22"/>
          <w:lang w:eastAsia="sk-SK"/>
        </w:rPr>
      </w:pPr>
      <w:hyperlink w:anchor="_Toc88653025" w:history="1">
        <w:r w:rsidR="00C277C6" w:rsidRPr="00D53B71">
          <w:rPr>
            <w:rStyle w:val="Hypertextovprepojenie"/>
            <w:noProof/>
          </w:rPr>
          <w:t>7.5.1.4</w:t>
        </w:r>
        <w:r w:rsidR="00C277C6">
          <w:rPr>
            <w:rFonts w:eastAsiaTheme="minorEastAsia"/>
            <w:noProof/>
            <w:sz w:val="22"/>
            <w:lang w:eastAsia="sk-SK"/>
          </w:rPr>
          <w:tab/>
        </w:r>
        <w:r w:rsidR="00C277C6" w:rsidRPr="00D53B71">
          <w:rPr>
            <w:rStyle w:val="Hypertextovprepojenie"/>
            <w:noProof/>
          </w:rPr>
          <w:t>Zostatková hodnota</w:t>
        </w:r>
        <w:r w:rsidR="00C277C6">
          <w:rPr>
            <w:noProof/>
            <w:webHidden/>
          </w:rPr>
          <w:tab/>
        </w:r>
        <w:r w:rsidR="00C277C6">
          <w:rPr>
            <w:noProof/>
            <w:webHidden/>
          </w:rPr>
          <w:fldChar w:fldCharType="begin"/>
        </w:r>
        <w:r w:rsidR="00C277C6">
          <w:rPr>
            <w:noProof/>
            <w:webHidden/>
          </w:rPr>
          <w:instrText xml:space="preserve"> PAGEREF _Toc88653025 \h </w:instrText>
        </w:r>
        <w:r w:rsidR="00C277C6">
          <w:rPr>
            <w:noProof/>
            <w:webHidden/>
          </w:rPr>
        </w:r>
        <w:r w:rsidR="00C277C6">
          <w:rPr>
            <w:noProof/>
            <w:webHidden/>
          </w:rPr>
          <w:fldChar w:fldCharType="separate"/>
        </w:r>
        <w:r w:rsidR="00C277C6">
          <w:rPr>
            <w:noProof/>
            <w:webHidden/>
          </w:rPr>
          <w:t>109</w:t>
        </w:r>
        <w:r w:rsidR="00C277C6">
          <w:rPr>
            <w:noProof/>
            <w:webHidden/>
          </w:rPr>
          <w:fldChar w:fldCharType="end"/>
        </w:r>
      </w:hyperlink>
    </w:p>
    <w:p w14:paraId="50E6325C" w14:textId="21B40771" w:rsidR="00C277C6" w:rsidRDefault="00DC2DF4">
      <w:pPr>
        <w:pStyle w:val="Obsah4"/>
        <w:tabs>
          <w:tab w:val="left" w:pos="1760"/>
          <w:tab w:val="right" w:leader="dot" w:pos="9062"/>
        </w:tabs>
        <w:rPr>
          <w:rFonts w:eastAsiaTheme="minorEastAsia"/>
          <w:noProof/>
          <w:sz w:val="22"/>
          <w:lang w:eastAsia="sk-SK"/>
        </w:rPr>
      </w:pPr>
      <w:hyperlink w:anchor="_Toc88653026" w:history="1">
        <w:r w:rsidR="00C277C6" w:rsidRPr="00D53B71">
          <w:rPr>
            <w:rStyle w:val="Hypertextovprepojenie"/>
            <w:noProof/>
          </w:rPr>
          <w:t>7.5.1.5</w:t>
        </w:r>
        <w:r w:rsidR="00C277C6">
          <w:rPr>
            <w:rFonts w:eastAsiaTheme="minorEastAsia"/>
            <w:noProof/>
            <w:sz w:val="22"/>
            <w:lang w:eastAsia="sk-SK"/>
          </w:rPr>
          <w:tab/>
        </w:r>
        <w:r w:rsidR="00C277C6" w:rsidRPr="00D53B71">
          <w:rPr>
            <w:rStyle w:val="Hypertextovprepojenie"/>
            <w:noProof/>
          </w:rPr>
          <w:t>Výstupy ekonomickej analýzy</w:t>
        </w:r>
        <w:r w:rsidR="00C277C6">
          <w:rPr>
            <w:noProof/>
            <w:webHidden/>
          </w:rPr>
          <w:tab/>
        </w:r>
        <w:r w:rsidR="00C277C6">
          <w:rPr>
            <w:noProof/>
            <w:webHidden/>
          </w:rPr>
          <w:fldChar w:fldCharType="begin"/>
        </w:r>
        <w:r w:rsidR="00C277C6">
          <w:rPr>
            <w:noProof/>
            <w:webHidden/>
          </w:rPr>
          <w:instrText xml:space="preserve"> PAGEREF _Toc88653026 \h </w:instrText>
        </w:r>
        <w:r w:rsidR="00C277C6">
          <w:rPr>
            <w:noProof/>
            <w:webHidden/>
          </w:rPr>
        </w:r>
        <w:r w:rsidR="00C277C6">
          <w:rPr>
            <w:noProof/>
            <w:webHidden/>
          </w:rPr>
          <w:fldChar w:fldCharType="separate"/>
        </w:r>
        <w:r w:rsidR="00C277C6">
          <w:rPr>
            <w:noProof/>
            <w:webHidden/>
          </w:rPr>
          <w:t>110</w:t>
        </w:r>
        <w:r w:rsidR="00C277C6">
          <w:rPr>
            <w:noProof/>
            <w:webHidden/>
          </w:rPr>
          <w:fldChar w:fldCharType="end"/>
        </w:r>
      </w:hyperlink>
    </w:p>
    <w:p w14:paraId="2A26DF18" w14:textId="2E609716" w:rsidR="00C277C6" w:rsidRDefault="00DC2DF4">
      <w:pPr>
        <w:pStyle w:val="Obsah4"/>
        <w:tabs>
          <w:tab w:val="right" w:leader="dot" w:pos="9062"/>
        </w:tabs>
        <w:rPr>
          <w:rFonts w:eastAsiaTheme="minorEastAsia"/>
          <w:noProof/>
          <w:sz w:val="22"/>
          <w:lang w:eastAsia="sk-SK"/>
        </w:rPr>
      </w:pPr>
      <w:hyperlink w:anchor="_Toc88653027" w:history="1">
        <w:r w:rsidR="00C277C6" w:rsidRPr="00D53B71">
          <w:rPr>
            <w:rStyle w:val="Hypertextovprepojenie"/>
            <w:rFonts w:eastAsiaTheme="majorEastAsia" w:cstheme="majorBidi"/>
            <w:i/>
            <w:iCs/>
            <w:noProof/>
          </w:rPr>
          <w:t>Vnútorné výnosové percento</w:t>
        </w:r>
        <w:r w:rsidR="00C277C6">
          <w:rPr>
            <w:noProof/>
            <w:webHidden/>
          </w:rPr>
          <w:tab/>
        </w:r>
        <w:r w:rsidR="00C277C6">
          <w:rPr>
            <w:noProof/>
            <w:webHidden/>
          </w:rPr>
          <w:fldChar w:fldCharType="begin"/>
        </w:r>
        <w:r w:rsidR="00C277C6">
          <w:rPr>
            <w:noProof/>
            <w:webHidden/>
          </w:rPr>
          <w:instrText xml:space="preserve"> PAGEREF _Toc88653027 \h </w:instrText>
        </w:r>
        <w:r w:rsidR="00C277C6">
          <w:rPr>
            <w:noProof/>
            <w:webHidden/>
          </w:rPr>
        </w:r>
        <w:r w:rsidR="00C277C6">
          <w:rPr>
            <w:noProof/>
            <w:webHidden/>
          </w:rPr>
          <w:fldChar w:fldCharType="separate"/>
        </w:r>
        <w:r w:rsidR="00C277C6">
          <w:rPr>
            <w:noProof/>
            <w:webHidden/>
          </w:rPr>
          <w:t>110</w:t>
        </w:r>
        <w:r w:rsidR="00C277C6">
          <w:rPr>
            <w:noProof/>
            <w:webHidden/>
          </w:rPr>
          <w:fldChar w:fldCharType="end"/>
        </w:r>
      </w:hyperlink>
    </w:p>
    <w:p w14:paraId="3049763C" w14:textId="6E5CAB03" w:rsidR="00C277C6" w:rsidRDefault="00DC2DF4">
      <w:pPr>
        <w:pStyle w:val="Obsah4"/>
        <w:tabs>
          <w:tab w:val="right" w:leader="dot" w:pos="9062"/>
        </w:tabs>
        <w:rPr>
          <w:rFonts w:eastAsiaTheme="minorEastAsia"/>
          <w:noProof/>
          <w:sz w:val="22"/>
          <w:lang w:eastAsia="sk-SK"/>
        </w:rPr>
      </w:pPr>
      <w:hyperlink w:anchor="_Toc88653028" w:history="1">
        <w:r w:rsidR="00C277C6" w:rsidRPr="00D53B71">
          <w:rPr>
            <w:rStyle w:val="Hypertextovprepojenie"/>
            <w:rFonts w:eastAsiaTheme="majorEastAsia" w:cstheme="majorBidi"/>
            <w:i/>
            <w:iCs/>
            <w:noProof/>
          </w:rPr>
          <w:t>Čistá súčasná hodnota</w:t>
        </w:r>
        <w:r w:rsidR="00C277C6">
          <w:rPr>
            <w:noProof/>
            <w:webHidden/>
          </w:rPr>
          <w:tab/>
        </w:r>
        <w:r w:rsidR="00C277C6">
          <w:rPr>
            <w:noProof/>
            <w:webHidden/>
          </w:rPr>
          <w:fldChar w:fldCharType="begin"/>
        </w:r>
        <w:r w:rsidR="00C277C6">
          <w:rPr>
            <w:noProof/>
            <w:webHidden/>
          </w:rPr>
          <w:instrText xml:space="preserve"> PAGEREF _Toc88653028 \h </w:instrText>
        </w:r>
        <w:r w:rsidR="00C277C6">
          <w:rPr>
            <w:noProof/>
            <w:webHidden/>
          </w:rPr>
        </w:r>
        <w:r w:rsidR="00C277C6">
          <w:rPr>
            <w:noProof/>
            <w:webHidden/>
          </w:rPr>
          <w:fldChar w:fldCharType="separate"/>
        </w:r>
        <w:r w:rsidR="00C277C6">
          <w:rPr>
            <w:noProof/>
            <w:webHidden/>
          </w:rPr>
          <w:t>111</w:t>
        </w:r>
        <w:r w:rsidR="00C277C6">
          <w:rPr>
            <w:noProof/>
            <w:webHidden/>
          </w:rPr>
          <w:fldChar w:fldCharType="end"/>
        </w:r>
      </w:hyperlink>
    </w:p>
    <w:p w14:paraId="0D499F76" w14:textId="7B06FC1E" w:rsidR="00C277C6" w:rsidRDefault="00DC2DF4">
      <w:pPr>
        <w:pStyle w:val="Obsah3"/>
        <w:tabs>
          <w:tab w:val="left" w:pos="1320"/>
          <w:tab w:val="right" w:leader="dot" w:pos="9062"/>
        </w:tabs>
        <w:rPr>
          <w:rFonts w:eastAsiaTheme="minorEastAsia"/>
          <w:noProof/>
          <w:sz w:val="22"/>
          <w:lang w:eastAsia="sk-SK"/>
        </w:rPr>
      </w:pPr>
      <w:hyperlink w:anchor="_Toc88653029" w:history="1">
        <w:r w:rsidR="00C277C6" w:rsidRPr="00D53B71">
          <w:rPr>
            <w:rStyle w:val="Hypertextovprepojenie"/>
            <w:noProof/>
          </w:rPr>
          <w:t>7.5.2</w:t>
        </w:r>
        <w:r w:rsidR="00C277C6">
          <w:rPr>
            <w:rFonts w:eastAsiaTheme="minorEastAsia"/>
            <w:noProof/>
            <w:sz w:val="22"/>
            <w:lang w:eastAsia="sk-SK"/>
          </w:rPr>
          <w:tab/>
        </w:r>
        <w:r w:rsidR="00C277C6" w:rsidRPr="00D53B71">
          <w:rPr>
            <w:rStyle w:val="Hypertextovprepojenie"/>
            <w:noProof/>
          </w:rPr>
          <w:t>Variant B „MODERNIZÁCIA žel. trate na rýchlosť 120 až 160 km/hod“</w:t>
        </w:r>
        <w:r w:rsidR="00C277C6">
          <w:rPr>
            <w:noProof/>
            <w:webHidden/>
          </w:rPr>
          <w:tab/>
        </w:r>
        <w:r w:rsidR="00C277C6">
          <w:rPr>
            <w:noProof/>
            <w:webHidden/>
          </w:rPr>
          <w:fldChar w:fldCharType="begin"/>
        </w:r>
        <w:r w:rsidR="00C277C6">
          <w:rPr>
            <w:noProof/>
            <w:webHidden/>
          </w:rPr>
          <w:instrText xml:space="preserve"> PAGEREF _Toc88653029 \h </w:instrText>
        </w:r>
        <w:r w:rsidR="00C277C6">
          <w:rPr>
            <w:noProof/>
            <w:webHidden/>
          </w:rPr>
        </w:r>
        <w:r w:rsidR="00C277C6">
          <w:rPr>
            <w:noProof/>
            <w:webHidden/>
          </w:rPr>
          <w:fldChar w:fldCharType="separate"/>
        </w:r>
        <w:r w:rsidR="00C277C6">
          <w:rPr>
            <w:noProof/>
            <w:webHidden/>
          </w:rPr>
          <w:t>111</w:t>
        </w:r>
        <w:r w:rsidR="00C277C6">
          <w:rPr>
            <w:noProof/>
            <w:webHidden/>
          </w:rPr>
          <w:fldChar w:fldCharType="end"/>
        </w:r>
      </w:hyperlink>
    </w:p>
    <w:p w14:paraId="5C77262A" w14:textId="665E7D61" w:rsidR="00C277C6" w:rsidRDefault="00DC2DF4">
      <w:pPr>
        <w:pStyle w:val="Obsah4"/>
        <w:tabs>
          <w:tab w:val="left" w:pos="1760"/>
          <w:tab w:val="right" w:leader="dot" w:pos="9062"/>
        </w:tabs>
        <w:rPr>
          <w:rFonts w:eastAsiaTheme="minorEastAsia"/>
          <w:noProof/>
          <w:sz w:val="22"/>
          <w:lang w:eastAsia="sk-SK"/>
        </w:rPr>
      </w:pPr>
      <w:hyperlink w:anchor="_Toc88653030" w:history="1">
        <w:r w:rsidR="00C277C6" w:rsidRPr="00D53B71">
          <w:rPr>
            <w:rStyle w:val="Hypertextovprepojenie"/>
            <w:noProof/>
          </w:rPr>
          <w:t>7.5.2.1</w:t>
        </w:r>
        <w:r w:rsidR="00C277C6">
          <w:rPr>
            <w:rFonts w:eastAsiaTheme="minorEastAsia"/>
            <w:noProof/>
            <w:sz w:val="22"/>
            <w:lang w:eastAsia="sk-SK"/>
          </w:rPr>
          <w:tab/>
        </w:r>
        <w:r w:rsidR="00C277C6" w:rsidRPr="00D53B71">
          <w:rPr>
            <w:rStyle w:val="Hypertextovprepojenie"/>
            <w:noProof/>
          </w:rPr>
          <w:t>Prevádzkové náklady</w:t>
        </w:r>
        <w:r w:rsidR="00C277C6">
          <w:rPr>
            <w:noProof/>
            <w:webHidden/>
          </w:rPr>
          <w:tab/>
        </w:r>
        <w:r w:rsidR="00C277C6">
          <w:rPr>
            <w:noProof/>
            <w:webHidden/>
          </w:rPr>
          <w:fldChar w:fldCharType="begin"/>
        </w:r>
        <w:r w:rsidR="00C277C6">
          <w:rPr>
            <w:noProof/>
            <w:webHidden/>
          </w:rPr>
          <w:instrText xml:space="preserve"> PAGEREF _Toc88653030 \h </w:instrText>
        </w:r>
        <w:r w:rsidR="00C277C6">
          <w:rPr>
            <w:noProof/>
            <w:webHidden/>
          </w:rPr>
        </w:r>
        <w:r w:rsidR="00C277C6">
          <w:rPr>
            <w:noProof/>
            <w:webHidden/>
          </w:rPr>
          <w:fldChar w:fldCharType="separate"/>
        </w:r>
        <w:r w:rsidR="00C277C6">
          <w:rPr>
            <w:noProof/>
            <w:webHidden/>
          </w:rPr>
          <w:t>112</w:t>
        </w:r>
        <w:r w:rsidR="00C277C6">
          <w:rPr>
            <w:noProof/>
            <w:webHidden/>
          </w:rPr>
          <w:fldChar w:fldCharType="end"/>
        </w:r>
      </w:hyperlink>
    </w:p>
    <w:p w14:paraId="62001137" w14:textId="457ABB4B" w:rsidR="00C277C6" w:rsidRDefault="00DC2DF4">
      <w:pPr>
        <w:pStyle w:val="Obsah4"/>
        <w:tabs>
          <w:tab w:val="left" w:pos="1760"/>
          <w:tab w:val="right" w:leader="dot" w:pos="9062"/>
        </w:tabs>
        <w:rPr>
          <w:rFonts w:eastAsiaTheme="minorEastAsia"/>
          <w:noProof/>
          <w:sz w:val="22"/>
          <w:lang w:eastAsia="sk-SK"/>
        </w:rPr>
      </w:pPr>
      <w:hyperlink w:anchor="_Toc88653031" w:history="1">
        <w:r w:rsidR="00C277C6" w:rsidRPr="00D53B71">
          <w:rPr>
            <w:rStyle w:val="Hypertextovprepojenie"/>
            <w:noProof/>
          </w:rPr>
          <w:t>7.5.2.2</w:t>
        </w:r>
        <w:r w:rsidR="00C277C6">
          <w:rPr>
            <w:rFonts w:eastAsiaTheme="minorEastAsia"/>
            <w:noProof/>
            <w:sz w:val="22"/>
            <w:lang w:eastAsia="sk-SK"/>
          </w:rPr>
          <w:tab/>
        </w:r>
        <w:r w:rsidR="00C277C6" w:rsidRPr="00D53B71">
          <w:rPr>
            <w:rStyle w:val="Hypertextovprepojenie"/>
            <w:noProof/>
          </w:rPr>
          <w:t>Ekonomické príjmy (prínosy)</w:t>
        </w:r>
        <w:r w:rsidR="00C277C6">
          <w:rPr>
            <w:noProof/>
            <w:webHidden/>
          </w:rPr>
          <w:tab/>
        </w:r>
        <w:r w:rsidR="00C277C6">
          <w:rPr>
            <w:noProof/>
            <w:webHidden/>
          </w:rPr>
          <w:fldChar w:fldCharType="begin"/>
        </w:r>
        <w:r w:rsidR="00C277C6">
          <w:rPr>
            <w:noProof/>
            <w:webHidden/>
          </w:rPr>
          <w:instrText xml:space="preserve"> PAGEREF _Toc88653031 \h </w:instrText>
        </w:r>
        <w:r w:rsidR="00C277C6">
          <w:rPr>
            <w:noProof/>
            <w:webHidden/>
          </w:rPr>
        </w:r>
        <w:r w:rsidR="00C277C6">
          <w:rPr>
            <w:noProof/>
            <w:webHidden/>
          </w:rPr>
          <w:fldChar w:fldCharType="separate"/>
        </w:r>
        <w:r w:rsidR="00C277C6">
          <w:rPr>
            <w:noProof/>
            <w:webHidden/>
          </w:rPr>
          <w:t>112</w:t>
        </w:r>
        <w:r w:rsidR="00C277C6">
          <w:rPr>
            <w:noProof/>
            <w:webHidden/>
          </w:rPr>
          <w:fldChar w:fldCharType="end"/>
        </w:r>
      </w:hyperlink>
    </w:p>
    <w:p w14:paraId="37A163C4" w14:textId="4F596AAF" w:rsidR="00C277C6" w:rsidRDefault="00DC2DF4">
      <w:pPr>
        <w:pStyle w:val="Obsah4"/>
        <w:tabs>
          <w:tab w:val="left" w:pos="1760"/>
          <w:tab w:val="right" w:leader="dot" w:pos="9062"/>
        </w:tabs>
        <w:rPr>
          <w:rFonts w:eastAsiaTheme="minorEastAsia"/>
          <w:noProof/>
          <w:sz w:val="22"/>
          <w:lang w:eastAsia="sk-SK"/>
        </w:rPr>
      </w:pPr>
      <w:hyperlink w:anchor="_Toc88653032" w:history="1">
        <w:r w:rsidR="00C277C6" w:rsidRPr="00D53B71">
          <w:rPr>
            <w:rStyle w:val="Hypertextovprepojenie"/>
            <w:noProof/>
          </w:rPr>
          <w:t>7.5.2.3</w:t>
        </w:r>
        <w:r w:rsidR="00C277C6">
          <w:rPr>
            <w:rFonts w:eastAsiaTheme="minorEastAsia"/>
            <w:noProof/>
            <w:sz w:val="22"/>
            <w:lang w:eastAsia="sk-SK"/>
          </w:rPr>
          <w:tab/>
        </w:r>
        <w:r w:rsidR="00C277C6" w:rsidRPr="00D53B71">
          <w:rPr>
            <w:rStyle w:val="Hypertextovprepojenie"/>
            <w:noProof/>
          </w:rPr>
          <w:t>Zostatková hodnota</w:t>
        </w:r>
        <w:r w:rsidR="00C277C6">
          <w:rPr>
            <w:noProof/>
            <w:webHidden/>
          </w:rPr>
          <w:tab/>
        </w:r>
        <w:r w:rsidR="00C277C6">
          <w:rPr>
            <w:noProof/>
            <w:webHidden/>
          </w:rPr>
          <w:fldChar w:fldCharType="begin"/>
        </w:r>
        <w:r w:rsidR="00C277C6">
          <w:rPr>
            <w:noProof/>
            <w:webHidden/>
          </w:rPr>
          <w:instrText xml:space="preserve"> PAGEREF _Toc88653032 \h </w:instrText>
        </w:r>
        <w:r w:rsidR="00C277C6">
          <w:rPr>
            <w:noProof/>
            <w:webHidden/>
          </w:rPr>
        </w:r>
        <w:r w:rsidR="00C277C6">
          <w:rPr>
            <w:noProof/>
            <w:webHidden/>
          </w:rPr>
          <w:fldChar w:fldCharType="separate"/>
        </w:r>
        <w:r w:rsidR="00C277C6">
          <w:rPr>
            <w:noProof/>
            <w:webHidden/>
          </w:rPr>
          <w:t>113</w:t>
        </w:r>
        <w:r w:rsidR="00C277C6">
          <w:rPr>
            <w:noProof/>
            <w:webHidden/>
          </w:rPr>
          <w:fldChar w:fldCharType="end"/>
        </w:r>
      </w:hyperlink>
    </w:p>
    <w:p w14:paraId="457D288D" w14:textId="760F1462" w:rsidR="00C277C6" w:rsidRDefault="00DC2DF4">
      <w:pPr>
        <w:pStyle w:val="Obsah4"/>
        <w:tabs>
          <w:tab w:val="left" w:pos="1760"/>
          <w:tab w:val="right" w:leader="dot" w:pos="9062"/>
        </w:tabs>
        <w:rPr>
          <w:rFonts w:eastAsiaTheme="minorEastAsia"/>
          <w:noProof/>
          <w:sz w:val="22"/>
          <w:lang w:eastAsia="sk-SK"/>
        </w:rPr>
      </w:pPr>
      <w:hyperlink w:anchor="_Toc88653033" w:history="1">
        <w:r w:rsidR="00C277C6" w:rsidRPr="00D53B71">
          <w:rPr>
            <w:rStyle w:val="Hypertextovprepojenie"/>
            <w:noProof/>
          </w:rPr>
          <w:t>7.5.2.4</w:t>
        </w:r>
        <w:r w:rsidR="00C277C6">
          <w:rPr>
            <w:rFonts w:eastAsiaTheme="minorEastAsia"/>
            <w:noProof/>
            <w:sz w:val="22"/>
            <w:lang w:eastAsia="sk-SK"/>
          </w:rPr>
          <w:tab/>
        </w:r>
        <w:r w:rsidR="00C277C6" w:rsidRPr="00D53B71">
          <w:rPr>
            <w:rStyle w:val="Hypertextovprepojenie"/>
            <w:noProof/>
          </w:rPr>
          <w:t>Výstupy ekonomickej analýzy</w:t>
        </w:r>
        <w:r w:rsidR="00C277C6">
          <w:rPr>
            <w:noProof/>
            <w:webHidden/>
          </w:rPr>
          <w:tab/>
        </w:r>
        <w:r w:rsidR="00C277C6">
          <w:rPr>
            <w:noProof/>
            <w:webHidden/>
          </w:rPr>
          <w:fldChar w:fldCharType="begin"/>
        </w:r>
        <w:r w:rsidR="00C277C6">
          <w:rPr>
            <w:noProof/>
            <w:webHidden/>
          </w:rPr>
          <w:instrText xml:space="preserve"> PAGEREF _Toc88653033 \h </w:instrText>
        </w:r>
        <w:r w:rsidR="00C277C6">
          <w:rPr>
            <w:noProof/>
            <w:webHidden/>
          </w:rPr>
        </w:r>
        <w:r w:rsidR="00C277C6">
          <w:rPr>
            <w:noProof/>
            <w:webHidden/>
          </w:rPr>
          <w:fldChar w:fldCharType="separate"/>
        </w:r>
        <w:r w:rsidR="00C277C6">
          <w:rPr>
            <w:noProof/>
            <w:webHidden/>
          </w:rPr>
          <w:t>114</w:t>
        </w:r>
        <w:r w:rsidR="00C277C6">
          <w:rPr>
            <w:noProof/>
            <w:webHidden/>
          </w:rPr>
          <w:fldChar w:fldCharType="end"/>
        </w:r>
      </w:hyperlink>
    </w:p>
    <w:p w14:paraId="6D897499" w14:textId="67451DA9" w:rsidR="00C277C6" w:rsidRDefault="00DC2DF4">
      <w:pPr>
        <w:pStyle w:val="Obsah4"/>
        <w:tabs>
          <w:tab w:val="right" w:leader="dot" w:pos="9062"/>
        </w:tabs>
        <w:rPr>
          <w:rFonts w:eastAsiaTheme="minorEastAsia"/>
          <w:noProof/>
          <w:sz w:val="22"/>
          <w:lang w:eastAsia="sk-SK"/>
        </w:rPr>
      </w:pPr>
      <w:hyperlink w:anchor="_Toc88653034" w:history="1">
        <w:r w:rsidR="00C277C6" w:rsidRPr="00D53B71">
          <w:rPr>
            <w:rStyle w:val="Hypertextovprepojenie"/>
            <w:rFonts w:eastAsiaTheme="majorEastAsia" w:cstheme="majorBidi"/>
            <w:i/>
            <w:iCs/>
            <w:noProof/>
          </w:rPr>
          <w:t>Vnútorné výnosové percento</w:t>
        </w:r>
        <w:r w:rsidR="00C277C6">
          <w:rPr>
            <w:noProof/>
            <w:webHidden/>
          </w:rPr>
          <w:tab/>
        </w:r>
        <w:r w:rsidR="00C277C6">
          <w:rPr>
            <w:noProof/>
            <w:webHidden/>
          </w:rPr>
          <w:fldChar w:fldCharType="begin"/>
        </w:r>
        <w:r w:rsidR="00C277C6">
          <w:rPr>
            <w:noProof/>
            <w:webHidden/>
          </w:rPr>
          <w:instrText xml:space="preserve"> PAGEREF _Toc88653034 \h </w:instrText>
        </w:r>
        <w:r w:rsidR="00C277C6">
          <w:rPr>
            <w:noProof/>
            <w:webHidden/>
          </w:rPr>
        </w:r>
        <w:r w:rsidR="00C277C6">
          <w:rPr>
            <w:noProof/>
            <w:webHidden/>
          </w:rPr>
          <w:fldChar w:fldCharType="separate"/>
        </w:r>
        <w:r w:rsidR="00C277C6">
          <w:rPr>
            <w:noProof/>
            <w:webHidden/>
          </w:rPr>
          <w:t>114</w:t>
        </w:r>
        <w:r w:rsidR="00C277C6">
          <w:rPr>
            <w:noProof/>
            <w:webHidden/>
          </w:rPr>
          <w:fldChar w:fldCharType="end"/>
        </w:r>
      </w:hyperlink>
    </w:p>
    <w:p w14:paraId="4D4B0772" w14:textId="1F5BD07D" w:rsidR="00C277C6" w:rsidRDefault="00DC2DF4">
      <w:pPr>
        <w:pStyle w:val="Obsah4"/>
        <w:tabs>
          <w:tab w:val="right" w:leader="dot" w:pos="9062"/>
        </w:tabs>
        <w:rPr>
          <w:rFonts w:eastAsiaTheme="minorEastAsia"/>
          <w:noProof/>
          <w:sz w:val="22"/>
          <w:lang w:eastAsia="sk-SK"/>
        </w:rPr>
      </w:pPr>
      <w:hyperlink w:anchor="_Toc88653035" w:history="1">
        <w:r w:rsidR="00C277C6" w:rsidRPr="00D53B71">
          <w:rPr>
            <w:rStyle w:val="Hypertextovprepojenie"/>
            <w:rFonts w:eastAsiaTheme="majorEastAsia" w:cstheme="majorBidi"/>
            <w:i/>
            <w:iCs/>
            <w:noProof/>
          </w:rPr>
          <w:t>Čistá súčasná hodnota</w:t>
        </w:r>
        <w:r w:rsidR="00C277C6">
          <w:rPr>
            <w:noProof/>
            <w:webHidden/>
          </w:rPr>
          <w:tab/>
        </w:r>
        <w:r w:rsidR="00C277C6">
          <w:rPr>
            <w:noProof/>
            <w:webHidden/>
          </w:rPr>
          <w:fldChar w:fldCharType="begin"/>
        </w:r>
        <w:r w:rsidR="00C277C6">
          <w:rPr>
            <w:noProof/>
            <w:webHidden/>
          </w:rPr>
          <w:instrText xml:space="preserve"> PAGEREF _Toc88653035 \h </w:instrText>
        </w:r>
        <w:r w:rsidR="00C277C6">
          <w:rPr>
            <w:noProof/>
            <w:webHidden/>
          </w:rPr>
        </w:r>
        <w:r w:rsidR="00C277C6">
          <w:rPr>
            <w:noProof/>
            <w:webHidden/>
          </w:rPr>
          <w:fldChar w:fldCharType="separate"/>
        </w:r>
        <w:r w:rsidR="00C277C6">
          <w:rPr>
            <w:noProof/>
            <w:webHidden/>
          </w:rPr>
          <w:t>114</w:t>
        </w:r>
        <w:r w:rsidR="00C277C6">
          <w:rPr>
            <w:noProof/>
            <w:webHidden/>
          </w:rPr>
          <w:fldChar w:fldCharType="end"/>
        </w:r>
      </w:hyperlink>
    </w:p>
    <w:p w14:paraId="52696F9D" w14:textId="42AA9732" w:rsidR="00C277C6" w:rsidRDefault="00DC2DF4">
      <w:pPr>
        <w:pStyle w:val="Obsah3"/>
        <w:tabs>
          <w:tab w:val="left" w:pos="1320"/>
          <w:tab w:val="right" w:leader="dot" w:pos="9062"/>
        </w:tabs>
        <w:rPr>
          <w:rFonts w:eastAsiaTheme="minorEastAsia"/>
          <w:noProof/>
          <w:sz w:val="22"/>
          <w:lang w:eastAsia="sk-SK"/>
        </w:rPr>
      </w:pPr>
      <w:hyperlink w:anchor="_Toc88653036" w:history="1">
        <w:r w:rsidR="00C277C6" w:rsidRPr="00D53B71">
          <w:rPr>
            <w:rStyle w:val="Hypertextovprepojenie"/>
            <w:noProof/>
          </w:rPr>
          <w:t>7.5.3</w:t>
        </w:r>
        <w:r w:rsidR="00C277C6">
          <w:rPr>
            <w:rFonts w:eastAsiaTheme="minorEastAsia"/>
            <w:noProof/>
            <w:sz w:val="22"/>
            <w:lang w:eastAsia="sk-SK"/>
          </w:rPr>
          <w:tab/>
        </w:r>
        <w:r w:rsidR="00C277C6" w:rsidRPr="00D53B71">
          <w:rPr>
            <w:rStyle w:val="Hypertextovprepojenie"/>
            <w:noProof/>
          </w:rPr>
          <w:t>Variant C „KOMBINOVANÝ – optimalizácia trate“</w:t>
        </w:r>
        <w:r w:rsidR="00C277C6">
          <w:rPr>
            <w:noProof/>
            <w:webHidden/>
          </w:rPr>
          <w:tab/>
        </w:r>
        <w:r w:rsidR="00C277C6">
          <w:rPr>
            <w:noProof/>
            <w:webHidden/>
          </w:rPr>
          <w:fldChar w:fldCharType="begin"/>
        </w:r>
        <w:r w:rsidR="00C277C6">
          <w:rPr>
            <w:noProof/>
            <w:webHidden/>
          </w:rPr>
          <w:instrText xml:space="preserve"> PAGEREF _Toc88653036 \h </w:instrText>
        </w:r>
        <w:r w:rsidR="00C277C6">
          <w:rPr>
            <w:noProof/>
            <w:webHidden/>
          </w:rPr>
        </w:r>
        <w:r w:rsidR="00C277C6">
          <w:rPr>
            <w:noProof/>
            <w:webHidden/>
          </w:rPr>
          <w:fldChar w:fldCharType="separate"/>
        </w:r>
        <w:r w:rsidR="00C277C6">
          <w:rPr>
            <w:noProof/>
            <w:webHidden/>
          </w:rPr>
          <w:t>114</w:t>
        </w:r>
        <w:r w:rsidR="00C277C6">
          <w:rPr>
            <w:noProof/>
            <w:webHidden/>
          </w:rPr>
          <w:fldChar w:fldCharType="end"/>
        </w:r>
      </w:hyperlink>
    </w:p>
    <w:p w14:paraId="31EBB3A7" w14:textId="4E9F69B7" w:rsidR="00C277C6" w:rsidRDefault="00DC2DF4">
      <w:pPr>
        <w:pStyle w:val="Obsah4"/>
        <w:tabs>
          <w:tab w:val="left" w:pos="1760"/>
          <w:tab w:val="right" w:leader="dot" w:pos="9062"/>
        </w:tabs>
        <w:rPr>
          <w:rFonts w:eastAsiaTheme="minorEastAsia"/>
          <w:noProof/>
          <w:sz w:val="22"/>
          <w:lang w:eastAsia="sk-SK"/>
        </w:rPr>
      </w:pPr>
      <w:hyperlink w:anchor="_Toc88653037" w:history="1">
        <w:r w:rsidR="00C277C6" w:rsidRPr="00D53B71">
          <w:rPr>
            <w:rStyle w:val="Hypertextovprepojenie"/>
            <w:noProof/>
          </w:rPr>
          <w:t>7.5.3.1</w:t>
        </w:r>
        <w:r w:rsidR="00C277C6">
          <w:rPr>
            <w:rFonts w:eastAsiaTheme="minorEastAsia"/>
            <w:noProof/>
            <w:sz w:val="22"/>
            <w:lang w:eastAsia="sk-SK"/>
          </w:rPr>
          <w:tab/>
        </w:r>
        <w:r w:rsidR="00C277C6" w:rsidRPr="00D53B71">
          <w:rPr>
            <w:rStyle w:val="Hypertextovprepojenie"/>
            <w:noProof/>
          </w:rPr>
          <w:t>Investičné náklady</w:t>
        </w:r>
        <w:r w:rsidR="00C277C6">
          <w:rPr>
            <w:noProof/>
            <w:webHidden/>
          </w:rPr>
          <w:tab/>
        </w:r>
        <w:r w:rsidR="00C277C6">
          <w:rPr>
            <w:noProof/>
            <w:webHidden/>
          </w:rPr>
          <w:fldChar w:fldCharType="begin"/>
        </w:r>
        <w:r w:rsidR="00C277C6">
          <w:rPr>
            <w:noProof/>
            <w:webHidden/>
          </w:rPr>
          <w:instrText xml:space="preserve"> PAGEREF _Toc88653037 \h </w:instrText>
        </w:r>
        <w:r w:rsidR="00C277C6">
          <w:rPr>
            <w:noProof/>
            <w:webHidden/>
          </w:rPr>
        </w:r>
        <w:r w:rsidR="00C277C6">
          <w:rPr>
            <w:noProof/>
            <w:webHidden/>
          </w:rPr>
          <w:fldChar w:fldCharType="separate"/>
        </w:r>
        <w:r w:rsidR="00C277C6">
          <w:rPr>
            <w:noProof/>
            <w:webHidden/>
          </w:rPr>
          <w:t>114</w:t>
        </w:r>
        <w:r w:rsidR="00C277C6">
          <w:rPr>
            <w:noProof/>
            <w:webHidden/>
          </w:rPr>
          <w:fldChar w:fldCharType="end"/>
        </w:r>
      </w:hyperlink>
    </w:p>
    <w:p w14:paraId="3A57CA6F" w14:textId="183C71FD" w:rsidR="00C277C6" w:rsidRDefault="00DC2DF4">
      <w:pPr>
        <w:pStyle w:val="Obsah4"/>
        <w:tabs>
          <w:tab w:val="left" w:pos="1760"/>
          <w:tab w:val="right" w:leader="dot" w:pos="9062"/>
        </w:tabs>
        <w:rPr>
          <w:rFonts w:eastAsiaTheme="minorEastAsia"/>
          <w:noProof/>
          <w:sz w:val="22"/>
          <w:lang w:eastAsia="sk-SK"/>
        </w:rPr>
      </w:pPr>
      <w:hyperlink w:anchor="_Toc88653038" w:history="1">
        <w:r w:rsidR="00C277C6" w:rsidRPr="00D53B71">
          <w:rPr>
            <w:rStyle w:val="Hypertextovprepojenie"/>
            <w:noProof/>
          </w:rPr>
          <w:t>7.5.3.2</w:t>
        </w:r>
        <w:r w:rsidR="00C277C6">
          <w:rPr>
            <w:rFonts w:eastAsiaTheme="minorEastAsia"/>
            <w:noProof/>
            <w:sz w:val="22"/>
            <w:lang w:eastAsia="sk-SK"/>
          </w:rPr>
          <w:tab/>
        </w:r>
        <w:r w:rsidR="00C277C6" w:rsidRPr="00D53B71">
          <w:rPr>
            <w:rStyle w:val="Hypertextovprepojenie"/>
            <w:noProof/>
          </w:rPr>
          <w:t>Prevádzkové  náklady</w:t>
        </w:r>
        <w:r w:rsidR="00C277C6">
          <w:rPr>
            <w:noProof/>
            <w:webHidden/>
          </w:rPr>
          <w:tab/>
        </w:r>
        <w:r w:rsidR="00C277C6">
          <w:rPr>
            <w:noProof/>
            <w:webHidden/>
          </w:rPr>
          <w:fldChar w:fldCharType="begin"/>
        </w:r>
        <w:r w:rsidR="00C277C6">
          <w:rPr>
            <w:noProof/>
            <w:webHidden/>
          </w:rPr>
          <w:instrText xml:space="preserve"> PAGEREF _Toc88653038 \h </w:instrText>
        </w:r>
        <w:r w:rsidR="00C277C6">
          <w:rPr>
            <w:noProof/>
            <w:webHidden/>
          </w:rPr>
        </w:r>
        <w:r w:rsidR="00C277C6">
          <w:rPr>
            <w:noProof/>
            <w:webHidden/>
          </w:rPr>
          <w:fldChar w:fldCharType="separate"/>
        </w:r>
        <w:r w:rsidR="00C277C6">
          <w:rPr>
            <w:noProof/>
            <w:webHidden/>
          </w:rPr>
          <w:t>115</w:t>
        </w:r>
        <w:r w:rsidR="00C277C6">
          <w:rPr>
            <w:noProof/>
            <w:webHidden/>
          </w:rPr>
          <w:fldChar w:fldCharType="end"/>
        </w:r>
      </w:hyperlink>
    </w:p>
    <w:p w14:paraId="54FDEA13" w14:textId="52AA2AB6" w:rsidR="00C277C6" w:rsidRDefault="00DC2DF4">
      <w:pPr>
        <w:pStyle w:val="Obsah4"/>
        <w:tabs>
          <w:tab w:val="left" w:pos="1760"/>
          <w:tab w:val="right" w:leader="dot" w:pos="9062"/>
        </w:tabs>
        <w:rPr>
          <w:rFonts w:eastAsiaTheme="minorEastAsia"/>
          <w:noProof/>
          <w:sz w:val="22"/>
          <w:lang w:eastAsia="sk-SK"/>
        </w:rPr>
      </w:pPr>
      <w:hyperlink w:anchor="_Toc88653039" w:history="1">
        <w:r w:rsidR="00C277C6" w:rsidRPr="00D53B71">
          <w:rPr>
            <w:rStyle w:val="Hypertextovprepojenie"/>
            <w:noProof/>
          </w:rPr>
          <w:t>7.5.3.3</w:t>
        </w:r>
        <w:r w:rsidR="00C277C6">
          <w:rPr>
            <w:rFonts w:eastAsiaTheme="minorEastAsia"/>
            <w:noProof/>
            <w:sz w:val="22"/>
            <w:lang w:eastAsia="sk-SK"/>
          </w:rPr>
          <w:tab/>
        </w:r>
        <w:r w:rsidR="00C277C6" w:rsidRPr="00D53B71">
          <w:rPr>
            <w:rStyle w:val="Hypertextovprepojenie"/>
            <w:noProof/>
          </w:rPr>
          <w:t>Ekonomické príjmy (prínosy)</w:t>
        </w:r>
        <w:r w:rsidR="00C277C6">
          <w:rPr>
            <w:noProof/>
            <w:webHidden/>
          </w:rPr>
          <w:tab/>
        </w:r>
        <w:r w:rsidR="00C277C6">
          <w:rPr>
            <w:noProof/>
            <w:webHidden/>
          </w:rPr>
          <w:fldChar w:fldCharType="begin"/>
        </w:r>
        <w:r w:rsidR="00C277C6">
          <w:rPr>
            <w:noProof/>
            <w:webHidden/>
          </w:rPr>
          <w:instrText xml:space="preserve"> PAGEREF _Toc88653039 \h </w:instrText>
        </w:r>
        <w:r w:rsidR="00C277C6">
          <w:rPr>
            <w:noProof/>
            <w:webHidden/>
          </w:rPr>
        </w:r>
        <w:r w:rsidR="00C277C6">
          <w:rPr>
            <w:noProof/>
            <w:webHidden/>
          </w:rPr>
          <w:fldChar w:fldCharType="separate"/>
        </w:r>
        <w:r w:rsidR="00C277C6">
          <w:rPr>
            <w:noProof/>
            <w:webHidden/>
          </w:rPr>
          <w:t>115</w:t>
        </w:r>
        <w:r w:rsidR="00C277C6">
          <w:rPr>
            <w:noProof/>
            <w:webHidden/>
          </w:rPr>
          <w:fldChar w:fldCharType="end"/>
        </w:r>
      </w:hyperlink>
    </w:p>
    <w:p w14:paraId="2C09CE5E" w14:textId="68C39E24" w:rsidR="00C277C6" w:rsidRDefault="00DC2DF4">
      <w:pPr>
        <w:pStyle w:val="Obsah4"/>
        <w:tabs>
          <w:tab w:val="left" w:pos="1760"/>
          <w:tab w:val="right" w:leader="dot" w:pos="9062"/>
        </w:tabs>
        <w:rPr>
          <w:rFonts w:eastAsiaTheme="minorEastAsia"/>
          <w:noProof/>
          <w:sz w:val="22"/>
          <w:lang w:eastAsia="sk-SK"/>
        </w:rPr>
      </w:pPr>
      <w:hyperlink w:anchor="_Toc88653040" w:history="1">
        <w:r w:rsidR="00C277C6" w:rsidRPr="00D53B71">
          <w:rPr>
            <w:rStyle w:val="Hypertextovprepojenie"/>
            <w:noProof/>
          </w:rPr>
          <w:t>7.5.3.4</w:t>
        </w:r>
        <w:r w:rsidR="00C277C6">
          <w:rPr>
            <w:rFonts w:eastAsiaTheme="minorEastAsia"/>
            <w:noProof/>
            <w:sz w:val="22"/>
            <w:lang w:eastAsia="sk-SK"/>
          </w:rPr>
          <w:tab/>
        </w:r>
        <w:r w:rsidR="00C277C6" w:rsidRPr="00D53B71">
          <w:rPr>
            <w:rStyle w:val="Hypertextovprepojenie"/>
            <w:noProof/>
          </w:rPr>
          <w:t>Zostatková hodnota</w:t>
        </w:r>
        <w:r w:rsidR="00C277C6">
          <w:rPr>
            <w:noProof/>
            <w:webHidden/>
          </w:rPr>
          <w:tab/>
        </w:r>
        <w:r w:rsidR="00C277C6">
          <w:rPr>
            <w:noProof/>
            <w:webHidden/>
          </w:rPr>
          <w:fldChar w:fldCharType="begin"/>
        </w:r>
        <w:r w:rsidR="00C277C6">
          <w:rPr>
            <w:noProof/>
            <w:webHidden/>
          </w:rPr>
          <w:instrText xml:space="preserve"> PAGEREF _Toc88653040 \h </w:instrText>
        </w:r>
        <w:r w:rsidR="00C277C6">
          <w:rPr>
            <w:noProof/>
            <w:webHidden/>
          </w:rPr>
        </w:r>
        <w:r w:rsidR="00C277C6">
          <w:rPr>
            <w:noProof/>
            <w:webHidden/>
          </w:rPr>
          <w:fldChar w:fldCharType="separate"/>
        </w:r>
        <w:r w:rsidR="00C277C6">
          <w:rPr>
            <w:noProof/>
            <w:webHidden/>
          </w:rPr>
          <w:t>116</w:t>
        </w:r>
        <w:r w:rsidR="00C277C6">
          <w:rPr>
            <w:noProof/>
            <w:webHidden/>
          </w:rPr>
          <w:fldChar w:fldCharType="end"/>
        </w:r>
      </w:hyperlink>
    </w:p>
    <w:p w14:paraId="0F3EC278" w14:textId="7EAD264F" w:rsidR="00C277C6" w:rsidRDefault="00DC2DF4">
      <w:pPr>
        <w:pStyle w:val="Obsah4"/>
        <w:tabs>
          <w:tab w:val="left" w:pos="1760"/>
          <w:tab w:val="right" w:leader="dot" w:pos="9062"/>
        </w:tabs>
        <w:rPr>
          <w:rFonts w:eastAsiaTheme="minorEastAsia"/>
          <w:noProof/>
          <w:sz w:val="22"/>
          <w:lang w:eastAsia="sk-SK"/>
        </w:rPr>
      </w:pPr>
      <w:hyperlink w:anchor="_Toc88653041" w:history="1">
        <w:r w:rsidR="00C277C6" w:rsidRPr="00D53B71">
          <w:rPr>
            <w:rStyle w:val="Hypertextovprepojenie"/>
            <w:noProof/>
          </w:rPr>
          <w:t>7.5.3.5</w:t>
        </w:r>
        <w:r w:rsidR="00C277C6">
          <w:rPr>
            <w:rFonts w:eastAsiaTheme="minorEastAsia"/>
            <w:noProof/>
            <w:sz w:val="22"/>
            <w:lang w:eastAsia="sk-SK"/>
          </w:rPr>
          <w:tab/>
        </w:r>
        <w:r w:rsidR="00C277C6" w:rsidRPr="00D53B71">
          <w:rPr>
            <w:rStyle w:val="Hypertextovprepojenie"/>
            <w:noProof/>
          </w:rPr>
          <w:t>Výstupy ekonomickej analýzy</w:t>
        </w:r>
        <w:r w:rsidR="00C277C6">
          <w:rPr>
            <w:noProof/>
            <w:webHidden/>
          </w:rPr>
          <w:tab/>
        </w:r>
        <w:r w:rsidR="00C277C6">
          <w:rPr>
            <w:noProof/>
            <w:webHidden/>
          </w:rPr>
          <w:fldChar w:fldCharType="begin"/>
        </w:r>
        <w:r w:rsidR="00C277C6">
          <w:rPr>
            <w:noProof/>
            <w:webHidden/>
          </w:rPr>
          <w:instrText xml:space="preserve"> PAGEREF _Toc88653041 \h </w:instrText>
        </w:r>
        <w:r w:rsidR="00C277C6">
          <w:rPr>
            <w:noProof/>
            <w:webHidden/>
          </w:rPr>
        </w:r>
        <w:r w:rsidR="00C277C6">
          <w:rPr>
            <w:noProof/>
            <w:webHidden/>
          </w:rPr>
          <w:fldChar w:fldCharType="separate"/>
        </w:r>
        <w:r w:rsidR="00C277C6">
          <w:rPr>
            <w:noProof/>
            <w:webHidden/>
          </w:rPr>
          <w:t>117</w:t>
        </w:r>
        <w:r w:rsidR="00C277C6">
          <w:rPr>
            <w:noProof/>
            <w:webHidden/>
          </w:rPr>
          <w:fldChar w:fldCharType="end"/>
        </w:r>
      </w:hyperlink>
    </w:p>
    <w:p w14:paraId="75B732A8" w14:textId="0E367E03" w:rsidR="00C277C6" w:rsidRDefault="00DC2DF4">
      <w:pPr>
        <w:pStyle w:val="Obsah4"/>
        <w:tabs>
          <w:tab w:val="right" w:leader="dot" w:pos="9062"/>
        </w:tabs>
        <w:rPr>
          <w:rFonts w:eastAsiaTheme="minorEastAsia"/>
          <w:noProof/>
          <w:sz w:val="22"/>
          <w:lang w:eastAsia="sk-SK"/>
        </w:rPr>
      </w:pPr>
      <w:hyperlink w:anchor="_Toc88653042" w:history="1">
        <w:r w:rsidR="00C277C6" w:rsidRPr="00D53B71">
          <w:rPr>
            <w:rStyle w:val="Hypertextovprepojenie"/>
            <w:rFonts w:eastAsiaTheme="majorEastAsia" w:cstheme="majorBidi"/>
            <w:i/>
            <w:iCs/>
            <w:noProof/>
          </w:rPr>
          <w:t>Vnútorné výnosové percento</w:t>
        </w:r>
        <w:r w:rsidR="00C277C6">
          <w:rPr>
            <w:noProof/>
            <w:webHidden/>
          </w:rPr>
          <w:tab/>
        </w:r>
        <w:r w:rsidR="00C277C6">
          <w:rPr>
            <w:noProof/>
            <w:webHidden/>
          </w:rPr>
          <w:fldChar w:fldCharType="begin"/>
        </w:r>
        <w:r w:rsidR="00C277C6">
          <w:rPr>
            <w:noProof/>
            <w:webHidden/>
          </w:rPr>
          <w:instrText xml:space="preserve"> PAGEREF _Toc88653042 \h </w:instrText>
        </w:r>
        <w:r w:rsidR="00C277C6">
          <w:rPr>
            <w:noProof/>
            <w:webHidden/>
          </w:rPr>
        </w:r>
        <w:r w:rsidR="00C277C6">
          <w:rPr>
            <w:noProof/>
            <w:webHidden/>
          </w:rPr>
          <w:fldChar w:fldCharType="separate"/>
        </w:r>
        <w:r w:rsidR="00C277C6">
          <w:rPr>
            <w:noProof/>
            <w:webHidden/>
          </w:rPr>
          <w:t>117</w:t>
        </w:r>
        <w:r w:rsidR="00C277C6">
          <w:rPr>
            <w:noProof/>
            <w:webHidden/>
          </w:rPr>
          <w:fldChar w:fldCharType="end"/>
        </w:r>
      </w:hyperlink>
    </w:p>
    <w:p w14:paraId="101F58A9" w14:textId="2E28CD4D" w:rsidR="00C277C6" w:rsidRDefault="00DC2DF4">
      <w:pPr>
        <w:pStyle w:val="Obsah4"/>
        <w:tabs>
          <w:tab w:val="right" w:leader="dot" w:pos="9062"/>
        </w:tabs>
        <w:rPr>
          <w:rFonts w:eastAsiaTheme="minorEastAsia"/>
          <w:noProof/>
          <w:sz w:val="22"/>
          <w:lang w:eastAsia="sk-SK"/>
        </w:rPr>
      </w:pPr>
      <w:hyperlink w:anchor="_Toc88653043" w:history="1">
        <w:r w:rsidR="00C277C6" w:rsidRPr="00D53B71">
          <w:rPr>
            <w:rStyle w:val="Hypertextovprepojenie"/>
            <w:rFonts w:eastAsiaTheme="majorEastAsia" w:cstheme="majorBidi"/>
            <w:i/>
            <w:iCs/>
            <w:noProof/>
          </w:rPr>
          <w:t>Čistá súčasná hodnota</w:t>
        </w:r>
        <w:r w:rsidR="00C277C6">
          <w:rPr>
            <w:noProof/>
            <w:webHidden/>
          </w:rPr>
          <w:tab/>
        </w:r>
        <w:r w:rsidR="00C277C6">
          <w:rPr>
            <w:noProof/>
            <w:webHidden/>
          </w:rPr>
          <w:fldChar w:fldCharType="begin"/>
        </w:r>
        <w:r w:rsidR="00C277C6">
          <w:rPr>
            <w:noProof/>
            <w:webHidden/>
          </w:rPr>
          <w:instrText xml:space="preserve"> PAGEREF _Toc88653043 \h </w:instrText>
        </w:r>
        <w:r w:rsidR="00C277C6">
          <w:rPr>
            <w:noProof/>
            <w:webHidden/>
          </w:rPr>
        </w:r>
        <w:r w:rsidR="00C277C6">
          <w:rPr>
            <w:noProof/>
            <w:webHidden/>
          </w:rPr>
          <w:fldChar w:fldCharType="separate"/>
        </w:r>
        <w:r w:rsidR="00C277C6">
          <w:rPr>
            <w:noProof/>
            <w:webHidden/>
          </w:rPr>
          <w:t>117</w:t>
        </w:r>
        <w:r w:rsidR="00C277C6">
          <w:rPr>
            <w:noProof/>
            <w:webHidden/>
          </w:rPr>
          <w:fldChar w:fldCharType="end"/>
        </w:r>
      </w:hyperlink>
    </w:p>
    <w:p w14:paraId="1D99082A" w14:textId="52C9C617" w:rsidR="00C277C6" w:rsidRDefault="00DC2DF4">
      <w:pPr>
        <w:pStyle w:val="Obsah2"/>
        <w:tabs>
          <w:tab w:val="left" w:pos="880"/>
          <w:tab w:val="right" w:leader="dot" w:pos="9062"/>
        </w:tabs>
        <w:rPr>
          <w:rFonts w:eastAsiaTheme="minorEastAsia"/>
          <w:noProof/>
          <w:sz w:val="22"/>
          <w:lang w:eastAsia="sk-SK"/>
        </w:rPr>
      </w:pPr>
      <w:hyperlink w:anchor="_Toc88653044" w:history="1">
        <w:r w:rsidR="00C277C6" w:rsidRPr="00D53B71">
          <w:rPr>
            <w:rStyle w:val="Hypertextovprepojenie"/>
            <w:noProof/>
          </w:rPr>
          <w:t>7.6</w:t>
        </w:r>
        <w:r w:rsidR="00C277C6">
          <w:rPr>
            <w:rFonts w:eastAsiaTheme="minorEastAsia"/>
            <w:noProof/>
            <w:sz w:val="22"/>
            <w:lang w:eastAsia="sk-SK"/>
          </w:rPr>
          <w:tab/>
        </w:r>
        <w:r w:rsidR="00C277C6" w:rsidRPr="00D53B71">
          <w:rPr>
            <w:rStyle w:val="Hypertextovprepojenie"/>
            <w:noProof/>
          </w:rPr>
          <w:t>Citlivostná riziková analýza</w:t>
        </w:r>
        <w:r w:rsidR="00C277C6">
          <w:rPr>
            <w:noProof/>
            <w:webHidden/>
          </w:rPr>
          <w:tab/>
        </w:r>
        <w:r w:rsidR="00C277C6">
          <w:rPr>
            <w:noProof/>
            <w:webHidden/>
          </w:rPr>
          <w:fldChar w:fldCharType="begin"/>
        </w:r>
        <w:r w:rsidR="00C277C6">
          <w:rPr>
            <w:noProof/>
            <w:webHidden/>
          </w:rPr>
          <w:instrText xml:space="preserve"> PAGEREF _Toc88653044 \h </w:instrText>
        </w:r>
        <w:r w:rsidR="00C277C6">
          <w:rPr>
            <w:noProof/>
            <w:webHidden/>
          </w:rPr>
        </w:r>
        <w:r w:rsidR="00C277C6">
          <w:rPr>
            <w:noProof/>
            <w:webHidden/>
          </w:rPr>
          <w:fldChar w:fldCharType="separate"/>
        </w:r>
        <w:r w:rsidR="00C277C6">
          <w:rPr>
            <w:noProof/>
            <w:webHidden/>
          </w:rPr>
          <w:t>118</w:t>
        </w:r>
        <w:r w:rsidR="00C277C6">
          <w:rPr>
            <w:noProof/>
            <w:webHidden/>
          </w:rPr>
          <w:fldChar w:fldCharType="end"/>
        </w:r>
      </w:hyperlink>
    </w:p>
    <w:p w14:paraId="12DAF2A6" w14:textId="3BA4F317" w:rsidR="00C277C6" w:rsidRDefault="00DC2DF4">
      <w:pPr>
        <w:pStyle w:val="Obsah3"/>
        <w:tabs>
          <w:tab w:val="left" w:pos="1320"/>
          <w:tab w:val="right" w:leader="dot" w:pos="9062"/>
        </w:tabs>
        <w:rPr>
          <w:rFonts w:eastAsiaTheme="minorEastAsia"/>
          <w:noProof/>
          <w:sz w:val="22"/>
          <w:lang w:eastAsia="sk-SK"/>
        </w:rPr>
      </w:pPr>
      <w:hyperlink w:anchor="_Toc88653045" w:history="1">
        <w:r w:rsidR="00C277C6" w:rsidRPr="00D53B71">
          <w:rPr>
            <w:rStyle w:val="Hypertextovprepojenie"/>
            <w:noProof/>
          </w:rPr>
          <w:t>7.6.1</w:t>
        </w:r>
        <w:r w:rsidR="00C277C6">
          <w:rPr>
            <w:rFonts w:eastAsiaTheme="minorEastAsia"/>
            <w:noProof/>
            <w:sz w:val="22"/>
            <w:lang w:eastAsia="sk-SK"/>
          </w:rPr>
          <w:tab/>
        </w:r>
        <w:r w:rsidR="00C277C6" w:rsidRPr="00D53B71">
          <w:rPr>
            <w:rStyle w:val="Hypertextovprepojenie"/>
            <w:noProof/>
          </w:rPr>
          <w:t>Variant A „ZÁKLADNÁ MODERNIZÁCIA“</w:t>
        </w:r>
        <w:r w:rsidR="00C277C6">
          <w:rPr>
            <w:noProof/>
            <w:webHidden/>
          </w:rPr>
          <w:tab/>
        </w:r>
        <w:r w:rsidR="00C277C6">
          <w:rPr>
            <w:noProof/>
            <w:webHidden/>
          </w:rPr>
          <w:fldChar w:fldCharType="begin"/>
        </w:r>
        <w:r w:rsidR="00C277C6">
          <w:rPr>
            <w:noProof/>
            <w:webHidden/>
          </w:rPr>
          <w:instrText xml:space="preserve"> PAGEREF _Toc88653045 \h </w:instrText>
        </w:r>
        <w:r w:rsidR="00C277C6">
          <w:rPr>
            <w:noProof/>
            <w:webHidden/>
          </w:rPr>
        </w:r>
        <w:r w:rsidR="00C277C6">
          <w:rPr>
            <w:noProof/>
            <w:webHidden/>
          </w:rPr>
          <w:fldChar w:fldCharType="separate"/>
        </w:r>
        <w:r w:rsidR="00C277C6">
          <w:rPr>
            <w:noProof/>
            <w:webHidden/>
          </w:rPr>
          <w:t>118</w:t>
        </w:r>
        <w:r w:rsidR="00C277C6">
          <w:rPr>
            <w:noProof/>
            <w:webHidden/>
          </w:rPr>
          <w:fldChar w:fldCharType="end"/>
        </w:r>
      </w:hyperlink>
    </w:p>
    <w:p w14:paraId="749B9767" w14:textId="2492E110" w:rsidR="00C277C6" w:rsidRDefault="00DC2DF4">
      <w:pPr>
        <w:pStyle w:val="Obsah4"/>
        <w:tabs>
          <w:tab w:val="left" w:pos="1760"/>
          <w:tab w:val="right" w:leader="dot" w:pos="9062"/>
        </w:tabs>
        <w:rPr>
          <w:rFonts w:eastAsiaTheme="minorEastAsia"/>
          <w:noProof/>
          <w:sz w:val="22"/>
          <w:lang w:eastAsia="sk-SK"/>
        </w:rPr>
      </w:pPr>
      <w:hyperlink w:anchor="_Toc88653046" w:history="1">
        <w:r w:rsidR="00C277C6" w:rsidRPr="00D53B71">
          <w:rPr>
            <w:rStyle w:val="Hypertextovprepojenie"/>
            <w:noProof/>
          </w:rPr>
          <w:t>7.6.1.1</w:t>
        </w:r>
        <w:r w:rsidR="00C277C6">
          <w:rPr>
            <w:rFonts w:eastAsiaTheme="minorEastAsia"/>
            <w:noProof/>
            <w:sz w:val="22"/>
            <w:lang w:eastAsia="sk-SK"/>
          </w:rPr>
          <w:tab/>
        </w:r>
        <w:r w:rsidR="00C277C6" w:rsidRPr="00D53B71">
          <w:rPr>
            <w:rStyle w:val="Hypertextovprepojenie"/>
            <w:noProof/>
          </w:rPr>
          <w:t>Citlivostná analýza</w:t>
        </w:r>
        <w:r w:rsidR="00C277C6">
          <w:rPr>
            <w:noProof/>
            <w:webHidden/>
          </w:rPr>
          <w:tab/>
        </w:r>
        <w:r w:rsidR="00C277C6">
          <w:rPr>
            <w:noProof/>
            <w:webHidden/>
          </w:rPr>
          <w:fldChar w:fldCharType="begin"/>
        </w:r>
        <w:r w:rsidR="00C277C6">
          <w:rPr>
            <w:noProof/>
            <w:webHidden/>
          </w:rPr>
          <w:instrText xml:space="preserve"> PAGEREF _Toc88653046 \h </w:instrText>
        </w:r>
        <w:r w:rsidR="00C277C6">
          <w:rPr>
            <w:noProof/>
            <w:webHidden/>
          </w:rPr>
        </w:r>
        <w:r w:rsidR="00C277C6">
          <w:rPr>
            <w:noProof/>
            <w:webHidden/>
          </w:rPr>
          <w:fldChar w:fldCharType="separate"/>
        </w:r>
        <w:r w:rsidR="00C277C6">
          <w:rPr>
            <w:noProof/>
            <w:webHidden/>
          </w:rPr>
          <w:t>118</w:t>
        </w:r>
        <w:r w:rsidR="00C277C6">
          <w:rPr>
            <w:noProof/>
            <w:webHidden/>
          </w:rPr>
          <w:fldChar w:fldCharType="end"/>
        </w:r>
      </w:hyperlink>
    </w:p>
    <w:p w14:paraId="100C471A" w14:textId="02EAAF5C" w:rsidR="00C277C6" w:rsidRDefault="00DC2DF4">
      <w:pPr>
        <w:pStyle w:val="Obsah4"/>
        <w:tabs>
          <w:tab w:val="left" w:pos="1760"/>
          <w:tab w:val="right" w:leader="dot" w:pos="9062"/>
        </w:tabs>
        <w:rPr>
          <w:rFonts w:eastAsiaTheme="minorEastAsia"/>
          <w:noProof/>
          <w:sz w:val="22"/>
          <w:lang w:eastAsia="sk-SK"/>
        </w:rPr>
      </w:pPr>
      <w:hyperlink w:anchor="_Toc88653047" w:history="1">
        <w:r w:rsidR="00C277C6" w:rsidRPr="00D53B71">
          <w:rPr>
            <w:rStyle w:val="Hypertextovprepojenie"/>
            <w:noProof/>
          </w:rPr>
          <w:t>7.6.1.2</w:t>
        </w:r>
        <w:r w:rsidR="00C277C6">
          <w:rPr>
            <w:rFonts w:eastAsiaTheme="minorEastAsia"/>
            <w:noProof/>
            <w:sz w:val="22"/>
            <w:lang w:eastAsia="sk-SK"/>
          </w:rPr>
          <w:tab/>
        </w:r>
        <w:r w:rsidR="00C277C6" w:rsidRPr="00D53B71">
          <w:rPr>
            <w:rStyle w:val="Hypertextovprepojenie"/>
            <w:noProof/>
          </w:rPr>
          <w:t>Analýza scenárov</w:t>
        </w:r>
        <w:r w:rsidR="00C277C6">
          <w:rPr>
            <w:noProof/>
            <w:webHidden/>
          </w:rPr>
          <w:tab/>
        </w:r>
        <w:r w:rsidR="00C277C6">
          <w:rPr>
            <w:noProof/>
            <w:webHidden/>
          </w:rPr>
          <w:fldChar w:fldCharType="begin"/>
        </w:r>
        <w:r w:rsidR="00C277C6">
          <w:rPr>
            <w:noProof/>
            <w:webHidden/>
          </w:rPr>
          <w:instrText xml:space="preserve"> PAGEREF _Toc88653047 \h </w:instrText>
        </w:r>
        <w:r w:rsidR="00C277C6">
          <w:rPr>
            <w:noProof/>
            <w:webHidden/>
          </w:rPr>
        </w:r>
        <w:r w:rsidR="00C277C6">
          <w:rPr>
            <w:noProof/>
            <w:webHidden/>
          </w:rPr>
          <w:fldChar w:fldCharType="separate"/>
        </w:r>
        <w:r w:rsidR="00C277C6">
          <w:rPr>
            <w:noProof/>
            <w:webHidden/>
          </w:rPr>
          <w:t>122</w:t>
        </w:r>
        <w:r w:rsidR="00C277C6">
          <w:rPr>
            <w:noProof/>
            <w:webHidden/>
          </w:rPr>
          <w:fldChar w:fldCharType="end"/>
        </w:r>
      </w:hyperlink>
    </w:p>
    <w:p w14:paraId="42106D83" w14:textId="1D0B6666" w:rsidR="00C277C6" w:rsidRDefault="00DC2DF4">
      <w:pPr>
        <w:pStyle w:val="Obsah4"/>
        <w:tabs>
          <w:tab w:val="left" w:pos="1760"/>
          <w:tab w:val="right" w:leader="dot" w:pos="9062"/>
        </w:tabs>
        <w:rPr>
          <w:rFonts w:eastAsiaTheme="minorEastAsia"/>
          <w:noProof/>
          <w:sz w:val="22"/>
          <w:lang w:eastAsia="sk-SK"/>
        </w:rPr>
      </w:pPr>
      <w:hyperlink w:anchor="_Toc88653048" w:history="1">
        <w:r w:rsidR="00C277C6" w:rsidRPr="00D53B71">
          <w:rPr>
            <w:rStyle w:val="Hypertextovprepojenie"/>
            <w:noProof/>
          </w:rPr>
          <w:t>7.6.1.3</w:t>
        </w:r>
        <w:r w:rsidR="00C277C6">
          <w:rPr>
            <w:rFonts w:eastAsiaTheme="minorEastAsia"/>
            <w:noProof/>
            <w:sz w:val="22"/>
            <w:lang w:eastAsia="sk-SK"/>
          </w:rPr>
          <w:tab/>
        </w:r>
        <w:r w:rsidR="00C277C6" w:rsidRPr="00D53B71">
          <w:rPr>
            <w:rStyle w:val="Hypertextovprepojenie"/>
            <w:noProof/>
          </w:rPr>
          <w:t>Kvalitatívna riziková analýza</w:t>
        </w:r>
        <w:r w:rsidR="00C277C6">
          <w:rPr>
            <w:noProof/>
            <w:webHidden/>
          </w:rPr>
          <w:tab/>
        </w:r>
        <w:r w:rsidR="00C277C6">
          <w:rPr>
            <w:noProof/>
            <w:webHidden/>
          </w:rPr>
          <w:fldChar w:fldCharType="begin"/>
        </w:r>
        <w:r w:rsidR="00C277C6">
          <w:rPr>
            <w:noProof/>
            <w:webHidden/>
          </w:rPr>
          <w:instrText xml:space="preserve"> PAGEREF _Toc88653048 \h </w:instrText>
        </w:r>
        <w:r w:rsidR="00C277C6">
          <w:rPr>
            <w:noProof/>
            <w:webHidden/>
          </w:rPr>
        </w:r>
        <w:r w:rsidR="00C277C6">
          <w:rPr>
            <w:noProof/>
            <w:webHidden/>
          </w:rPr>
          <w:fldChar w:fldCharType="separate"/>
        </w:r>
        <w:r w:rsidR="00C277C6">
          <w:rPr>
            <w:noProof/>
            <w:webHidden/>
          </w:rPr>
          <w:t>123</w:t>
        </w:r>
        <w:r w:rsidR="00C277C6">
          <w:rPr>
            <w:noProof/>
            <w:webHidden/>
          </w:rPr>
          <w:fldChar w:fldCharType="end"/>
        </w:r>
      </w:hyperlink>
    </w:p>
    <w:p w14:paraId="0B4615DB" w14:textId="278FA43E" w:rsidR="00C277C6" w:rsidRDefault="00DC2DF4">
      <w:pPr>
        <w:pStyle w:val="Obsah4"/>
        <w:tabs>
          <w:tab w:val="left" w:pos="1760"/>
          <w:tab w:val="right" w:leader="dot" w:pos="9062"/>
        </w:tabs>
        <w:rPr>
          <w:rFonts w:eastAsiaTheme="minorEastAsia"/>
          <w:noProof/>
          <w:sz w:val="22"/>
          <w:lang w:eastAsia="sk-SK"/>
        </w:rPr>
      </w:pPr>
      <w:hyperlink w:anchor="_Toc88653049" w:history="1">
        <w:r w:rsidR="00C277C6" w:rsidRPr="00D53B71">
          <w:rPr>
            <w:rStyle w:val="Hypertextovprepojenie"/>
            <w:noProof/>
          </w:rPr>
          <w:t>7.6.1.4</w:t>
        </w:r>
        <w:r w:rsidR="00C277C6">
          <w:rPr>
            <w:rFonts w:eastAsiaTheme="minorEastAsia"/>
            <w:noProof/>
            <w:sz w:val="22"/>
            <w:lang w:eastAsia="sk-SK"/>
          </w:rPr>
          <w:tab/>
        </w:r>
        <w:r w:rsidR="00C277C6" w:rsidRPr="00D53B71">
          <w:rPr>
            <w:rStyle w:val="Hypertextovprepojenie"/>
            <w:noProof/>
          </w:rPr>
          <w:t>Pravdepodobnostná riziková analýza</w:t>
        </w:r>
        <w:r w:rsidR="00C277C6">
          <w:rPr>
            <w:noProof/>
            <w:webHidden/>
          </w:rPr>
          <w:tab/>
        </w:r>
        <w:r w:rsidR="00C277C6">
          <w:rPr>
            <w:noProof/>
            <w:webHidden/>
          </w:rPr>
          <w:fldChar w:fldCharType="begin"/>
        </w:r>
        <w:r w:rsidR="00C277C6">
          <w:rPr>
            <w:noProof/>
            <w:webHidden/>
          </w:rPr>
          <w:instrText xml:space="preserve"> PAGEREF _Toc88653049 \h </w:instrText>
        </w:r>
        <w:r w:rsidR="00C277C6">
          <w:rPr>
            <w:noProof/>
            <w:webHidden/>
          </w:rPr>
        </w:r>
        <w:r w:rsidR="00C277C6">
          <w:rPr>
            <w:noProof/>
            <w:webHidden/>
          </w:rPr>
          <w:fldChar w:fldCharType="separate"/>
        </w:r>
        <w:r w:rsidR="00C277C6">
          <w:rPr>
            <w:noProof/>
            <w:webHidden/>
          </w:rPr>
          <w:t>125</w:t>
        </w:r>
        <w:r w:rsidR="00C277C6">
          <w:rPr>
            <w:noProof/>
            <w:webHidden/>
          </w:rPr>
          <w:fldChar w:fldCharType="end"/>
        </w:r>
      </w:hyperlink>
    </w:p>
    <w:p w14:paraId="1AC12F2E" w14:textId="5C9959CB" w:rsidR="00C277C6" w:rsidRDefault="00DC2DF4">
      <w:pPr>
        <w:pStyle w:val="Obsah3"/>
        <w:tabs>
          <w:tab w:val="left" w:pos="1320"/>
          <w:tab w:val="right" w:leader="dot" w:pos="9062"/>
        </w:tabs>
        <w:rPr>
          <w:rFonts w:eastAsiaTheme="minorEastAsia"/>
          <w:noProof/>
          <w:sz w:val="22"/>
          <w:lang w:eastAsia="sk-SK"/>
        </w:rPr>
      </w:pPr>
      <w:hyperlink w:anchor="_Toc88653050" w:history="1">
        <w:r w:rsidR="00C277C6" w:rsidRPr="00D53B71">
          <w:rPr>
            <w:rStyle w:val="Hypertextovprepojenie"/>
            <w:noProof/>
          </w:rPr>
          <w:t>7.6.2</w:t>
        </w:r>
        <w:r w:rsidR="00C277C6">
          <w:rPr>
            <w:rFonts w:eastAsiaTheme="minorEastAsia"/>
            <w:noProof/>
            <w:sz w:val="22"/>
            <w:lang w:eastAsia="sk-SK"/>
          </w:rPr>
          <w:tab/>
        </w:r>
        <w:r w:rsidR="00C277C6" w:rsidRPr="00D53B71">
          <w:rPr>
            <w:rStyle w:val="Hypertextovprepojenie"/>
            <w:noProof/>
          </w:rPr>
          <w:t>Variant B „MODERNIZÁCIA žel. trate na rýchlosť 120 až 160 km/hod“</w:t>
        </w:r>
        <w:r w:rsidR="00C277C6">
          <w:rPr>
            <w:noProof/>
            <w:webHidden/>
          </w:rPr>
          <w:tab/>
        </w:r>
        <w:r w:rsidR="00C277C6">
          <w:rPr>
            <w:noProof/>
            <w:webHidden/>
          </w:rPr>
          <w:fldChar w:fldCharType="begin"/>
        </w:r>
        <w:r w:rsidR="00C277C6">
          <w:rPr>
            <w:noProof/>
            <w:webHidden/>
          </w:rPr>
          <w:instrText xml:space="preserve"> PAGEREF _Toc88653050 \h </w:instrText>
        </w:r>
        <w:r w:rsidR="00C277C6">
          <w:rPr>
            <w:noProof/>
            <w:webHidden/>
          </w:rPr>
        </w:r>
        <w:r w:rsidR="00C277C6">
          <w:rPr>
            <w:noProof/>
            <w:webHidden/>
          </w:rPr>
          <w:fldChar w:fldCharType="separate"/>
        </w:r>
        <w:r w:rsidR="00C277C6">
          <w:rPr>
            <w:noProof/>
            <w:webHidden/>
          </w:rPr>
          <w:t>126</w:t>
        </w:r>
        <w:r w:rsidR="00C277C6">
          <w:rPr>
            <w:noProof/>
            <w:webHidden/>
          </w:rPr>
          <w:fldChar w:fldCharType="end"/>
        </w:r>
      </w:hyperlink>
    </w:p>
    <w:p w14:paraId="003BA92B" w14:textId="4033211B" w:rsidR="00C277C6" w:rsidRDefault="00DC2DF4">
      <w:pPr>
        <w:pStyle w:val="Obsah4"/>
        <w:tabs>
          <w:tab w:val="left" w:pos="1760"/>
          <w:tab w:val="right" w:leader="dot" w:pos="9062"/>
        </w:tabs>
        <w:rPr>
          <w:rFonts w:eastAsiaTheme="minorEastAsia"/>
          <w:noProof/>
          <w:sz w:val="22"/>
          <w:lang w:eastAsia="sk-SK"/>
        </w:rPr>
      </w:pPr>
      <w:hyperlink w:anchor="_Toc88653051" w:history="1">
        <w:r w:rsidR="00C277C6" w:rsidRPr="00D53B71">
          <w:rPr>
            <w:rStyle w:val="Hypertextovprepojenie"/>
            <w:noProof/>
          </w:rPr>
          <w:t>7.6.2.1</w:t>
        </w:r>
        <w:r w:rsidR="00C277C6">
          <w:rPr>
            <w:rFonts w:eastAsiaTheme="minorEastAsia"/>
            <w:noProof/>
            <w:sz w:val="22"/>
            <w:lang w:eastAsia="sk-SK"/>
          </w:rPr>
          <w:tab/>
        </w:r>
        <w:r w:rsidR="00C277C6" w:rsidRPr="00D53B71">
          <w:rPr>
            <w:rStyle w:val="Hypertextovprepojenie"/>
            <w:noProof/>
          </w:rPr>
          <w:t>Citlivostná analýza</w:t>
        </w:r>
        <w:r w:rsidR="00C277C6">
          <w:rPr>
            <w:noProof/>
            <w:webHidden/>
          </w:rPr>
          <w:tab/>
        </w:r>
        <w:r w:rsidR="00C277C6">
          <w:rPr>
            <w:noProof/>
            <w:webHidden/>
          </w:rPr>
          <w:fldChar w:fldCharType="begin"/>
        </w:r>
        <w:r w:rsidR="00C277C6">
          <w:rPr>
            <w:noProof/>
            <w:webHidden/>
          </w:rPr>
          <w:instrText xml:space="preserve"> PAGEREF _Toc88653051 \h </w:instrText>
        </w:r>
        <w:r w:rsidR="00C277C6">
          <w:rPr>
            <w:noProof/>
            <w:webHidden/>
          </w:rPr>
        </w:r>
        <w:r w:rsidR="00C277C6">
          <w:rPr>
            <w:noProof/>
            <w:webHidden/>
          </w:rPr>
          <w:fldChar w:fldCharType="separate"/>
        </w:r>
        <w:r w:rsidR="00C277C6">
          <w:rPr>
            <w:noProof/>
            <w:webHidden/>
          </w:rPr>
          <w:t>126</w:t>
        </w:r>
        <w:r w:rsidR="00C277C6">
          <w:rPr>
            <w:noProof/>
            <w:webHidden/>
          </w:rPr>
          <w:fldChar w:fldCharType="end"/>
        </w:r>
      </w:hyperlink>
    </w:p>
    <w:p w14:paraId="0BD5859B" w14:textId="26A8F4DD" w:rsidR="00C277C6" w:rsidRDefault="00DC2DF4">
      <w:pPr>
        <w:pStyle w:val="Obsah4"/>
        <w:tabs>
          <w:tab w:val="left" w:pos="1760"/>
          <w:tab w:val="right" w:leader="dot" w:pos="9062"/>
        </w:tabs>
        <w:rPr>
          <w:rFonts w:eastAsiaTheme="minorEastAsia"/>
          <w:noProof/>
          <w:sz w:val="22"/>
          <w:lang w:eastAsia="sk-SK"/>
        </w:rPr>
      </w:pPr>
      <w:hyperlink w:anchor="_Toc88653052" w:history="1">
        <w:r w:rsidR="00C277C6" w:rsidRPr="00D53B71">
          <w:rPr>
            <w:rStyle w:val="Hypertextovprepojenie"/>
            <w:noProof/>
          </w:rPr>
          <w:t>7.6.2.2</w:t>
        </w:r>
        <w:r w:rsidR="00C277C6">
          <w:rPr>
            <w:rFonts w:eastAsiaTheme="minorEastAsia"/>
            <w:noProof/>
            <w:sz w:val="22"/>
            <w:lang w:eastAsia="sk-SK"/>
          </w:rPr>
          <w:tab/>
        </w:r>
        <w:r w:rsidR="00C277C6" w:rsidRPr="00D53B71">
          <w:rPr>
            <w:rStyle w:val="Hypertextovprepojenie"/>
            <w:noProof/>
          </w:rPr>
          <w:t>Analýza scenárov</w:t>
        </w:r>
        <w:r w:rsidR="00C277C6">
          <w:rPr>
            <w:noProof/>
            <w:webHidden/>
          </w:rPr>
          <w:tab/>
        </w:r>
        <w:r w:rsidR="00C277C6">
          <w:rPr>
            <w:noProof/>
            <w:webHidden/>
          </w:rPr>
          <w:fldChar w:fldCharType="begin"/>
        </w:r>
        <w:r w:rsidR="00C277C6">
          <w:rPr>
            <w:noProof/>
            <w:webHidden/>
          </w:rPr>
          <w:instrText xml:space="preserve"> PAGEREF _Toc88653052 \h </w:instrText>
        </w:r>
        <w:r w:rsidR="00C277C6">
          <w:rPr>
            <w:noProof/>
            <w:webHidden/>
          </w:rPr>
        </w:r>
        <w:r w:rsidR="00C277C6">
          <w:rPr>
            <w:noProof/>
            <w:webHidden/>
          </w:rPr>
          <w:fldChar w:fldCharType="separate"/>
        </w:r>
        <w:r w:rsidR="00C277C6">
          <w:rPr>
            <w:noProof/>
            <w:webHidden/>
          </w:rPr>
          <w:t>130</w:t>
        </w:r>
        <w:r w:rsidR="00C277C6">
          <w:rPr>
            <w:noProof/>
            <w:webHidden/>
          </w:rPr>
          <w:fldChar w:fldCharType="end"/>
        </w:r>
      </w:hyperlink>
    </w:p>
    <w:p w14:paraId="19733A84" w14:textId="478F7342" w:rsidR="00C277C6" w:rsidRDefault="00DC2DF4">
      <w:pPr>
        <w:pStyle w:val="Obsah4"/>
        <w:tabs>
          <w:tab w:val="left" w:pos="1760"/>
          <w:tab w:val="right" w:leader="dot" w:pos="9062"/>
        </w:tabs>
        <w:rPr>
          <w:rFonts w:eastAsiaTheme="minorEastAsia"/>
          <w:noProof/>
          <w:sz w:val="22"/>
          <w:lang w:eastAsia="sk-SK"/>
        </w:rPr>
      </w:pPr>
      <w:hyperlink w:anchor="_Toc88653053" w:history="1">
        <w:r w:rsidR="00C277C6" w:rsidRPr="00D53B71">
          <w:rPr>
            <w:rStyle w:val="Hypertextovprepojenie"/>
            <w:noProof/>
          </w:rPr>
          <w:t>7.6.2.3</w:t>
        </w:r>
        <w:r w:rsidR="00C277C6">
          <w:rPr>
            <w:rFonts w:eastAsiaTheme="minorEastAsia"/>
            <w:noProof/>
            <w:sz w:val="22"/>
            <w:lang w:eastAsia="sk-SK"/>
          </w:rPr>
          <w:tab/>
        </w:r>
        <w:r w:rsidR="00C277C6" w:rsidRPr="00D53B71">
          <w:rPr>
            <w:rStyle w:val="Hypertextovprepojenie"/>
            <w:noProof/>
          </w:rPr>
          <w:t>Kvalitatívna riziková analýza</w:t>
        </w:r>
        <w:r w:rsidR="00C277C6">
          <w:rPr>
            <w:noProof/>
            <w:webHidden/>
          </w:rPr>
          <w:tab/>
        </w:r>
        <w:r w:rsidR="00C277C6">
          <w:rPr>
            <w:noProof/>
            <w:webHidden/>
          </w:rPr>
          <w:fldChar w:fldCharType="begin"/>
        </w:r>
        <w:r w:rsidR="00C277C6">
          <w:rPr>
            <w:noProof/>
            <w:webHidden/>
          </w:rPr>
          <w:instrText xml:space="preserve"> PAGEREF _Toc88653053 \h </w:instrText>
        </w:r>
        <w:r w:rsidR="00C277C6">
          <w:rPr>
            <w:noProof/>
            <w:webHidden/>
          </w:rPr>
        </w:r>
        <w:r w:rsidR="00C277C6">
          <w:rPr>
            <w:noProof/>
            <w:webHidden/>
          </w:rPr>
          <w:fldChar w:fldCharType="separate"/>
        </w:r>
        <w:r w:rsidR="00C277C6">
          <w:rPr>
            <w:noProof/>
            <w:webHidden/>
          </w:rPr>
          <w:t>131</w:t>
        </w:r>
        <w:r w:rsidR="00C277C6">
          <w:rPr>
            <w:noProof/>
            <w:webHidden/>
          </w:rPr>
          <w:fldChar w:fldCharType="end"/>
        </w:r>
      </w:hyperlink>
    </w:p>
    <w:p w14:paraId="7498AC70" w14:textId="7636C79E" w:rsidR="00C277C6" w:rsidRDefault="00DC2DF4">
      <w:pPr>
        <w:pStyle w:val="Obsah4"/>
        <w:tabs>
          <w:tab w:val="left" w:pos="1760"/>
          <w:tab w:val="right" w:leader="dot" w:pos="9062"/>
        </w:tabs>
        <w:rPr>
          <w:rFonts w:eastAsiaTheme="minorEastAsia"/>
          <w:noProof/>
          <w:sz w:val="22"/>
          <w:lang w:eastAsia="sk-SK"/>
        </w:rPr>
      </w:pPr>
      <w:hyperlink w:anchor="_Toc88653054" w:history="1">
        <w:r w:rsidR="00C277C6" w:rsidRPr="00D53B71">
          <w:rPr>
            <w:rStyle w:val="Hypertextovprepojenie"/>
            <w:noProof/>
          </w:rPr>
          <w:t>7.6.2.4</w:t>
        </w:r>
        <w:r w:rsidR="00C277C6">
          <w:rPr>
            <w:rFonts w:eastAsiaTheme="minorEastAsia"/>
            <w:noProof/>
            <w:sz w:val="22"/>
            <w:lang w:eastAsia="sk-SK"/>
          </w:rPr>
          <w:tab/>
        </w:r>
        <w:r w:rsidR="00C277C6" w:rsidRPr="00D53B71">
          <w:rPr>
            <w:rStyle w:val="Hypertextovprepojenie"/>
            <w:noProof/>
          </w:rPr>
          <w:t>Pravdepodobnostná riziková analýza</w:t>
        </w:r>
        <w:r w:rsidR="00C277C6">
          <w:rPr>
            <w:noProof/>
            <w:webHidden/>
          </w:rPr>
          <w:tab/>
        </w:r>
        <w:r w:rsidR="00C277C6">
          <w:rPr>
            <w:noProof/>
            <w:webHidden/>
          </w:rPr>
          <w:fldChar w:fldCharType="begin"/>
        </w:r>
        <w:r w:rsidR="00C277C6">
          <w:rPr>
            <w:noProof/>
            <w:webHidden/>
          </w:rPr>
          <w:instrText xml:space="preserve"> PAGEREF _Toc88653054 \h </w:instrText>
        </w:r>
        <w:r w:rsidR="00C277C6">
          <w:rPr>
            <w:noProof/>
            <w:webHidden/>
          </w:rPr>
        </w:r>
        <w:r w:rsidR="00C277C6">
          <w:rPr>
            <w:noProof/>
            <w:webHidden/>
          </w:rPr>
          <w:fldChar w:fldCharType="separate"/>
        </w:r>
        <w:r w:rsidR="00C277C6">
          <w:rPr>
            <w:noProof/>
            <w:webHidden/>
          </w:rPr>
          <w:t>133</w:t>
        </w:r>
        <w:r w:rsidR="00C277C6">
          <w:rPr>
            <w:noProof/>
            <w:webHidden/>
          </w:rPr>
          <w:fldChar w:fldCharType="end"/>
        </w:r>
      </w:hyperlink>
    </w:p>
    <w:p w14:paraId="201C351F" w14:textId="4BEA7861" w:rsidR="00C277C6" w:rsidRDefault="00DC2DF4">
      <w:pPr>
        <w:pStyle w:val="Obsah3"/>
        <w:tabs>
          <w:tab w:val="left" w:pos="1320"/>
          <w:tab w:val="right" w:leader="dot" w:pos="9062"/>
        </w:tabs>
        <w:rPr>
          <w:rFonts w:eastAsiaTheme="minorEastAsia"/>
          <w:noProof/>
          <w:sz w:val="22"/>
          <w:lang w:eastAsia="sk-SK"/>
        </w:rPr>
      </w:pPr>
      <w:hyperlink w:anchor="_Toc88653055" w:history="1">
        <w:r w:rsidR="00C277C6" w:rsidRPr="00D53B71">
          <w:rPr>
            <w:rStyle w:val="Hypertextovprepojenie"/>
            <w:noProof/>
          </w:rPr>
          <w:t>7.6.3</w:t>
        </w:r>
        <w:r w:rsidR="00C277C6">
          <w:rPr>
            <w:rFonts w:eastAsiaTheme="minorEastAsia"/>
            <w:noProof/>
            <w:sz w:val="22"/>
            <w:lang w:eastAsia="sk-SK"/>
          </w:rPr>
          <w:tab/>
        </w:r>
        <w:r w:rsidR="00C277C6" w:rsidRPr="00D53B71">
          <w:rPr>
            <w:rStyle w:val="Hypertextovprepojenie"/>
            <w:noProof/>
          </w:rPr>
          <w:t>Variant C „KOMBINOVANÝ – optimalizácia trate“</w:t>
        </w:r>
        <w:r w:rsidR="00C277C6">
          <w:rPr>
            <w:noProof/>
            <w:webHidden/>
          </w:rPr>
          <w:tab/>
        </w:r>
        <w:r w:rsidR="00C277C6">
          <w:rPr>
            <w:noProof/>
            <w:webHidden/>
          </w:rPr>
          <w:fldChar w:fldCharType="begin"/>
        </w:r>
        <w:r w:rsidR="00C277C6">
          <w:rPr>
            <w:noProof/>
            <w:webHidden/>
          </w:rPr>
          <w:instrText xml:space="preserve"> PAGEREF _Toc88653055 \h </w:instrText>
        </w:r>
        <w:r w:rsidR="00C277C6">
          <w:rPr>
            <w:noProof/>
            <w:webHidden/>
          </w:rPr>
        </w:r>
        <w:r w:rsidR="00C277C6">
          <w:rPr>
            <w:noProof/>
            <w:webHidden/>
          </w:rPr>
          <w:fldChar w:fldCharType="separate"/>
        </w:r>
        <w:r w:rsidR="00C277C6">
          <w:rPr>
            <w:noProof/>
            <w:webHidden/>
          </w:rPr>
          <w:t>134</w:t>
        </w:r>
        <w:r w:rsidR="00C277C6">
          <w:rPr>
            <w:noProof/>
            <w:webHidden/>
          </w:rPr>
          <w:fldChar w:fldCharType="end"/>
        </w:r>
      </w:hyperlink>
    </w:p>
    <w:p w14:paraId="752E9BD5" w14:textId="275F7A94" w:rsidR="00C277C6" w:rsidRDefault="00DC2DF4">
      <w:pPr>
        <w:pStyle w:val="Obsah4"/>
        <w:tabs>
          <w:tab w:val="left" w:pos="1760"/>
          <w:tab w:val="right" w:leader="dot" w:pos="9062"/>
        </w:tabs>
        <w:rPr>
          <w:rFonts w:eastAsiaTheme="minorEastAsia"/>
          <w:noProof/>
          <w:sz w:val="22"/>
          <w:lang w:eastAsia="sk-SK"/>
        </w:rPr>
      </w:pPr>
      <w:hyperlink w:anchor="_Toc88653056" w:history="1">
        <w:r w:rsidR="00C277C6" w:rsidRPr="00D53B71">
          <w:rPr>
            <w:rStyle w:val="Hypertextovprepojenie"/>
            <w:noProof/>
          </w:rPr>
          <w:t>7.6.3.1</w:t>
        </w:r>
        <w:r w:rsidR="00C277C6">
          <w:rPr>
            <w:rFonts w:eastAsiaTheme="minorEastAsia"/>
            <w:noProof/>
            <w:sz w:val="22"/>
            <w:lang w:eastAsia="sk-SK"/>
          </w:rPr>
          <w:tab/>
        </w:r>
        <w:r w:rsidR="00C277C6" w:rsidRPr="00D53B71">
          <w:rPr>
            <w:rStyle w:val="Hypertextovprepojenie"/>
            <w:noProof/>
          </w:rPr>
          <w:t>Citlivostná analýza</w:t>
        </w:r>
        <w:r w:rsidR="00C277C6">
          <w:rPr>
            <w:noProof/>
            <w:webHidden/>
          </w:rPr>
          <w:tab/>
        </w:r>
        <w:r w:rsidR="00C277C6">
          <w:rPr>
            <w:noProof/>
            <w:webHidden/>
          </w:rPr>
          <w:fldChar w:fldCharType="begin"/>
        </w:r>
        <w:r w:rsidR="00C277C6">
          <w:rPr>
            <w:noProof/>
            <w:webHidden/>
          </w:rPr>
          <w:instrText xml:space="preserve"> PAGEREF _Toc88653056 \h </w:instrText>
        </w:r>
        <w:r w:rsidR="00C277C6">
          <w:rPr>
            <w:noProof/>
            <w:webHidden/>
          </w:rPr>
        </w:r>
        <w:r w:rsidR="00C277C6">
          <w:rPr>
            <w:noProof/>
            <w:webHidden/>
          </w:rPr>
          <w:fldChar w:fldCharType="separate"/>
        </w:r>
        <w:r w:rsidR="00C277C6">
          <w:rPr>
            <w:noProof/>
            <w:webHidden/>
          </w:rPr>
          <w:t>134</w:t>
        </w:r>
        <w:r w:rsidR="00C277C6">
          <w:rPr>
            <w:noProof/>
            <w:webHidden/>
          </w:rPr>
          <w:fldChar w:fldCharType="end"/>
        </w:r>
      </w:hyperlink>
    </w:p>
    <w:p w14:paraId="181D35B7" w14:textId="4D79EA6F" w:rsidR="00C277C6" w:rsidRDefault="00DC2DF4">
      <w:pPr>
        <w:pStyle w:val="Obsah4"/>
        <w:tabs>
          <w:tab w:val="left" w:pos="1760"/>
          <w:tab w:val="right" w:leader="dot" w:pos="9062"/>
        </w:tabs>
        <w:rPr>
          <w:rFonts w:eastAsiaTheme="minorEastAsia"/>
          <w:noProof/>
          <w:sz w:val="22"/>
          <w:lang w:eastAsia="sk-SK"/>
        </w:rPr>
      </w:pPr>
      <w:hyperlink w:anchor="_Toc88653057" w:history="1">
        <w:r w:rsidR="00C277C6" w:rsidRPr="00D53B71">
          <w:rPr>
            <w:rStyle w:val="Hypertextovprepojenie"/>
            <w:noProof/>
          </w:rPr>
          <w:t>7.6.3.2</w:t>
        </w:r>
        <w:r w:rsidR="00C277C6">
          <w:rPr>
            <w:rFonts w:eastAsiaTheme="minorEastAsia"/>
            <w:noProof/>
            <w:sz w:val="22"/>
            <w:lang w:eastAsia="sk-SK"/>
          </w:rPr>
          <w:tab/>
        </w:r>
        <w:r w:rsidR="00C277C6" w:rsidRPr="00D53B71">
          <w:rPr>
            <w:rStyle w:val="Hypertextovprepojenie"/>
            <w:noProof/>
          </w:rPr>
          <w:t>Analýza scenárov</w:t>
        </w:r>
        <w:r w:rsidR="00C277C6">
          <w:rPr>
            <w:noProof/>
            <w:webHidden/>
          </w:rPr>
          <w:tab/>
        </w:r>
        <w:r w:rsidR="00C277C6">
          <w:rPr>
            <w:noProof/>
            <w:webHidden/>
          </w:rPr>
          <w:fldChar w:fldCharType="begin"/>
        </w:r>
        <w:r w:rsidR="00C277C6">
          <w:rPr>
            <w:noProof/>
            <w:webHidden/>
          </w:rPr>
          <w:instrText xml:space="preserve"> PAGEREF _Toc88653057 \h </w:instrText>
        </w:r>
        <w:r w:rsidR="00C277C6">
          <w:rPr>
            <w:noProof/>
            <w:webHidden/>
          </w:rPr>
        </w:r>
        <w:r w:rsidR="00C277C6">
          <w:rPr>
            <w:noProof/>
            <w:webHidden/>
          </w:rPr>
          <w:fldChar w:fldCharType="separate"/>
        </w:r>
        <w:r w:rsidR="00C277C6">
          <w:rPr>
            <w:noProof/>
            <w:webHidden/>
          </w:rPr>
          <w:t>136</w:t>
        </w:r>
        <w:r w:rsidR="00C277C6">
          <w:rPr>
            <w:noProof/>
            <w:webHidden/>
          </w:rPr>
          <w:fldChar w:fldCharType="end"/>
        </w:r>
      </w:hyperlink>
    </w:p>
    <w:p w14:paraId="33A2605C" w14:textId="0B761950" w:rsidR="00C277C6" w:rsidRDefault="00DC2DF4">
      <w:pPr>
        <w:pStyle w:val="Obsah4"/>
        <w:tabs>
          <w:tab w:val="left" w:pos="1760"/>
          <w:tab w:val="right" w:leader="dot" w:pos="9062"/>
        </w:tabs>
        <w:rPr>
          <w:rFonts w:eastAsiaTheme="minorEastAsia"/>
          <w:noProof/>
          <w:sz w:val="22"/>
          <w:lang w:eastAsia="sk-SK"/>
        </w:rPr>
      </w:pPr>
      <w:hyperlink w:anchor="_Toc88653058" w:history="1">
        <w:r w:rsidR="00C277C6" w:rsidRPr="00D53B71">
          <w:rPr>
            <w:rStyle w:val="Hypertextovprepojenie"/>
            <w:noProof/>
          </w:rPr>
          <w:t>7.6.3.3</w:t>
        </w:r>
        <w:r w:rsidR="00C277C6">
          <w:rPr>
            <w:rFonts w:eastAsiaTheme="minorEastAsia"/>
            <w:noProof/>
            <w:sz w:val="22"/>
            <w:lang w:eastAsia="sk-SK"/>
          </w:rPr>
          <w:tab/>
        </w:r>
        <w:r w:rsidR="00C277C6" w:rsidRPr="00D53B71">
          <w:rPr>
            <w:rStyle w:val="Hypertextovprepojenie"/>
            <w:noProof/>
          </w:rPr>
          <w:t>Kvalitatívna riziková analýza</w:t>
        </w:r>
        <w:r w:rsidR="00C277C6">
          <w:rPr>
            <w:noProof/>
            <w:webHidden/>
          </w:rPr>
          <w:tab/>
        </w:r>
        <w:r w:rsidR="00C277C6">
          <w:rPr>
            <w:noProof/>
            <w:webHidden/>
          </w:rPr>
          <w:fldChar w:fldCharType="begin"/>
        </w:r>
        <w:r w:rsidR="00C277C6">
          <w:rPr>
            <w:noProof/>
            <w:webHidden/>
          </w:rPr>
          <w:instrText xml:space="preserve"> PAGEREF _Toc88653058 \h </w:instrText>
        </w:r>
        <w:r w:rsidR="00C277C6">
          <w:rPr>
            <w:noProof/>
            <w:webHidden/>
          </w:rPr>
        </w:r>
        <w:r w:rsidR="00C277C6">
          <w:rPr>
            <w:noProof/>
            <w:webHidden/>
          </w:rPr>
          <w:fldChar w:fldCharType="separate"/>
        </w:r>
        <w:r w:rsidR="00C277C6">
          <w:rPr>
            <w:noProof/>
            <w:webHidden/>
          </w:rPr>
          <w:t>137</w:t>
        </w:r>
        <w:r w:rsidR="00C277C6">
          <w:rPr>
            <w:noProof/>
            <w:webHidden/>
          </w:rPr>
          <w:fldChar w:fldCharType="end"/>
        </w:r>
      </w:hyperlink>
    </w:p>
    <w:p w14:paraId="775769B5" w14:textId="20F26C5E" w:rsidR="00C277C6" w:rsidRDefault="00DC2DF4">
      <w:pPr>
        <w:pStyle w:val="Obsah4"/>
        <w:tabs>
          <w:tab w:val="left" w:pos="1760"/>
          <w:tab w:val="right" w:leader="dot" w:pos="9062"/>
        </w:tabs>
        <w:rPr>
          <w:rFonts w:eastAsiaTheme="minorEastAsia"/>
          <w:noProof/>
          <w:sz w:val="22"/>
          <w:lang w:eastAsia="sk-SK"/>
        </w:rPr>
      </w:pPr>
      <w:hyperlink w:anchor="_Toc88653059" w:history="1">
        <w:r w:rsidR="00C277C6" w:rsidRPr="00D53B71">
          <w:rPr>
            <w:rStyle w:val="Hypertextovprepojenie"/>
            <w:noProof/>
          </w:rPr>
          <w:t>7.6.3.4</w:t>
        </w:r>
        <w:r w:rsidR="00C277C6">
          <w:rPr>
            <w:rFonts w:eastAsiaTheme="minorEastAsia"/>
            <w:noProof/>
            <w:sz w:val="22"/>
            <w:lang w:eastAsia="sk-SK"/>
          </w:rPr>
          <w:tab/>
        </w:r>
        <w:r w:rsidR="00C277C6" w:rsidRPr="00D53B71">
          <w:rPr>
            <w:rStyle w:val="Hypertextovprepojenie"/>
            <w:noProof/>
          </w:rPr>
          <w:t>Pravdepodobnostná riziková analýza</w:t>
        </w:r>
        <w:r w:rsidR="00C277C6">
          <w:rPr>
            <w:noProof/>
            <w:webHidden/>
          </w:rPr>
          <w:tab/>
        </w:r>
        <w:r w:rsidR="00C277C6">
          <w:rPr>
            <w:noProof/>
            <w:webHidden/>
          </w:rPr>
          <w:fldChar w:fldCharType="begin"/>
        </w:r>
        <w:r w:rsidR="00C277C6">
          <w:rPr>
            <w:noProof/>
            <w:webHidden/>
          </w:rPr>
          <w:instrText xml:space="preserve"> PAGEREF _Toc88653059 \h </w:instrText>
        </w:r>
        <w:r w:rsidR="00C277C6">
          <w:rPr>
            <w:noProof/>
            <w:webHidden/>
          </w:rPr>
        </w:r>
        <w:r w:rsidR="00C277C6">
          <w:rPr>
            <w:noProof/>
            <w:webHidden/>
          </w:rPr>
          <w:fldChar w:fldCharType="separate"/>
        </w:r>
        <w:r w:rsidR="00C277C6">
          <w:rPr>
            <w:noProof/>
            <w:webHidden/>
          </w:rPr>
          <w:t>139</w:t>
        </w:r>
        <w:r w:rsidR="00C277C6">
          <w:rPr>
            <w:noProof/>
            <w:webHidden/>
          </w:rPr>
          <w:fldChar w:fldCharType="end"/>
        </w:r>
      </w:hyperlink>
    </w:p>
    <w:p w14:paraId="6F7F3F1C" w14:textId="2026161D" w:rsidR="00C277C6" w:rsidRDefault="00DC2DF4">
      <w:pPr>
        <w:pStyle w:val="Obsah1"/>
        <w:rPr>
          <w:rFonts w:eastAsiaTheme="minorEastAsia"/>
          <w:b w:val="0"/>
          <w:lang w:eastAsia="sk-SK"/>
        </w:rPr>
      </w:pPr>
      <w:hyperlink w:anchor="_Toc88653060" w:history="1">
        <w:r w:rsidR="00C277C6" w:rsidRPr="00D53B71">
          <w:rPr>
            <w:rStyle w:val="Hypertextovprepojenie"/>
            <w:rFonts w:cstheme="minorHAnsi"/>
            <w:caps/>
          </w:rPr>
          <w:t>8.</w:t>
        </w:r>
        <w:r w:rsidR="00C277C6">
          <w:rPr>
            <w:rFonts w:eastAsiaTheme="minorEastAsia"/>
            <w:b w:val="0"/>
            <w:lang w:eastAsia="sk-SK"/>
          </w:rPr>
          <w:tab/>
        </w:r>
        <w:r w:rsidR="00C277C6" w:rsidRPr="00D53B71">
          <w:rPr>
            <w:rStyle w:val="Hypertextovprepojenie"/>
            <w:rFonts w:cstheme="minorHAnsi"/>
            <w:caps/>
          </w:rPr>
          <w:t>Záver</w:t>
        </w:r>
        <w:r w:rsidR="00C277C6">
          <w:rPr>
            <w:webHidden/>
          </w:rPr>
          <w:tab/>
        </w:r>
        <w:r w:rsidR="00C277C6">
          <w:rPr>
            <w:webHidden/>
          </w:rPr>
          <w:fldChar w:fldCharType="begin"/>
        </w:r>
        <w:r w:rsidR="00C277C6">
          <w:rPr>
            <w:webHidden/>
          </w:rPr>
          <w:instrText xml:space="preserve"> PAGEREF _Toc88653060 \h </w:instrText>
        </w:r>
        <w:r w:rsidR="00C277C6">
          <w:rPr>
            <w:webHidden/>
          </w:rPr>
        </w:r>
        <w:r w:rsidR="00C277C6">
          <w:rPr>
            <w:webHidden/>
          </w:rPr>
          <w:fldChar w:fldCharType="separate"/>
        </w:r>
        <w:r w:rsidR="00C277C6">
          <w:rPr>
            <w:webHidden/>
          </w:rPr>
          <w:t>141</w:t>
        </w:r>
        <w:r w:rsidR="00C277C6">
          <w:rPr>
            <w:webHidden/>
          </w:rPr>
          <w:fldChar w:fldCharType="end"/>
        </w:r>
      </w:hyperlink>
    </w:p>
    <w:p w14:paraId="7FA506D6" w14:textId="5C627BFF" w:rsidR="00C277C6" w:rsidRDefault="00DC2DF4">
      <w:pPr>
        <w:pStyle w:val="Obsah1"/>
        <w:rPr>
          <w:rFonts w:eastAsiaTheme="minorEastAsia"/>
          <w:b w:val="0"/>
          <w:lang w:eastAsia="sk-SK"/>
        </w:rPr>
      </w:pPr>
      <w:hyperlink w:anchor="_Toc88653061" w:history="1">
        <w:r w:rsidR="00C277C6" w:rsidRPr="00D53B71">
          <w:rPr>
            <w:rStyle w:val="Hypertextovprepojenie"/>
            <w:rFonts w:cstheme="minorHAnsi"/>
          </w:rPr>
          <w:t>8.</w:t>
        </w:r>
        <w:r w:rsidR="00C277C6">
          <w:rPr>
            <w:rFonts w:eastAsiaTheme="minorEastAsia"/>
            <w:b w:val="0"/>
            <w:lang w:eastAsia="sk-SK"/>
          </w:rPr>
          <w:tab/>
        </w:r>
        <w:r w:rsidR="00C277C6" w:rsidRPr="00D53B71">
          <w:rPr>
            <w:rStyle w:val="Hypertextovprepojenie"/>
            <w:rFonts w:cstheme="minorHAnsi"/>
          </w:rPr>
          <w:t>PRÍLOHY - zoznam</w:t>
        </w:r>
        <w:r w:rsidR="00C277C6">
          <w:rPr>
            <w:webHidden/>
          </w:rPr>
          <w:tab/>
        </w:r>
        <w:r w:rsidR="00C277C6">
          <w:rPr>
            <w:webHidden/>
          </w:rPr>
          <w:fldChar w:fldCharType="begin"/>
        </w:r>
        <w:r w:rsidR="00C277C6">
          <w:rPr>
            <w:webHidden/>
          </w:rPr>
          <w:instrText xml:space="preserve"> PAGEREF _Toc88653061 \h </w:instrText>
        </w:r>
        <w:r w:rsidR="00C277C6">
          <w:rPr>
            <w:webHidden/>
          </w:rPr>
        </w:r>
        <w:r w:rsidR="00C277C6">
          <w:rPr>
            <w:webHidden/>
          </w:rPr>
          <w:fldChar w:fldCharType="separate"/>
        </w:r>
        <w:r w:rsidR="00C277C6">
          <w:rPr>
            <w:webHidden/>
          </w:rPr>
          <w:t>143</w:t>
        </w:r>
        <w:r w:rsidR="00C277C6">
          <w:rPr>
            <w:webHidden/>
          </w:rPr>
          <w:fldChar w:fldCharType="end"/>
        </w:r>
      </w:hyperlink>
    </w:p>
    <w:p w14:paraId="5A02DB39" w14:textId="79042EB5" w:rsidR="00A216D4" w:rsidRPr="00930B46" w:rsidRDefault="00B05F60" w:rsidP="00931169">
      <w:pPr>
        <w:rPr>
          <w:rFonts w:cstheme="minorHAnsi"/>
        </w:rPr>
      </w:pPr>
      <w:r w:rsidRPr="004F1EDD">
        <w:rPr>
          <w:rFonts w:cstheme="minorHAnsi"/>
          <w:sz w:val="22"/>
        </w:rPr>
        <w:fldChar w:fldCharType="end"/>
      </w:r>
    </w:p>
    <w:p w14:paraId="3AA106CE" w14:textId="77777777" w:rsidR="00D30164" w:rsidRPr="00930B46" w:rsidRDefault="00D30164" w:rsidP="00931169">
      <w:pPr>
        <w:spacing w:after="200" w:line="276" w:lineRule="auto"/>
        <w:rPr>
          <w:rFonts w:eastAsiaTheme="majorEastAsia" w:cstheme="minorHAnsi"/>
          <w:b/>
          <w:bCs/>
          <w:color w:val="00B050"/>
          <w:sz w:val="28"/>
          <w:szCs w:val="28"/>
        </w:rPr>
      </w:pPr>
      <w:r w:rsidRPr="00930B46">
        <w:rPr>
          <w:rFonts w:cstheme="minorHAnsi"/>
        </w:rPr>
        <w:br w:type="page"/>
      </w:r>
    </w:p>
    <w:p w14:paraId="4E8ED24B" w14:textId="77777777" w:rsidR="00877955" w:rsidRPr="00930B46" w:rsidRDefault="00C91908" w:rsidP="00931169">
      <w:pPr>
        <w:pStyle w:val="Nadpis1"/>
        <w:rPr>
          <w:rFonts w:cstheme="minorHAnsi"/>
        </w:rPr>
      </w:pPr>
      <w:bookmarkStart w:id="0" w:name="_Toc88652907"/>
      <w:r w:rsidRPr="00930B46">
        <w:rPr>
          <w:rFonts w:cstheme="minorHAnsi"/>
        </w:rPr>
        <w:lastRenderedPageBreak/>
        <w:t>1.</w:t>
      </w:r>
      <w:r w:rsidRPr="00930B46">
        <w:rPr>
          <w:rFonts w:cstheme="minorHAnsi"/>
        </w:rPr>
        <w:tab/>
        <w:t>ÚVOD</w:t>
      </w:r>
      <w:bookmarkEnd w:id="0"/>
    </w:p>
    <w:p w14:paraId="3EB0ADD4" w14:textId="7DBCD69C" w:rsidR="009B2BC2" w:rsidRPr="00930B46" w:rsidRDefault="009B2BC2" w:rsidP="00931169">
      <w:pPr>
        <w:rPr>
          <w:rFonts w:cstheme="minorHAnsi"/>
        </w:rPr>
      </w:pPr>
      <w:r w:rsidRPr="00930B46">
        <w:rPr>
          <w:rFonts w:cstheme="minorHAnsi"/>
        </w:rPr>
        <w:tab/>
        <w:t>Modernizácia trate v</w:t>
      </w:r>
      <w:r w:rsidR="005940CA">
        <w:rPr>
          <w:rFonts w:cstheme="minorHAnsi"/>
        </w:rPr>
        <w:t> </w:t>
      </w:r>
      <w:r w:rsidRPr="00930B46">
        <w:rPr>
          <w:rFonts w:cstheme="minorHAnsi"/>
        </w:rPr>
        <w:t>úseku</w:t>
      </w:r>
      <w:r w:rsidR="005940CA">
        <w:rPr>
          <w:rFonts w:cstheme="minorHAnsi"/>
        </w:rPr>
        <w:t xml:space="preserve"> </w:t>
      </w:r>
      <w:r w:rsidR="00592348">
        <w:rPr>
          <w:rFonts w:cstheme="minorHAnsi"/>
          <w:b/>
          <w:snapToGrid w:val="0"/>
          <w:sz w:val="28"/>
          <w:szCs w:val="28"/>
          <w:lang w:eastAsia="cs-CZ"/>
        </w:rPr>
        <w:t>Š</w:t>
      </w:r>
      <w:r w:rsidR="003F536E" w:rsidRPr="00930B46">
        <w:rPr>
          <w:rFonts w:cstheme="minorHAnsi"/>
          <w:b/>
          <w:snapToGrid w:val="0"/>
          <w:sz w:val="28"/>
          <w:szCs w:val="28"/>
          <w:lang w:eastAsia="cs-CZ"/>
        </w:rPr>
        <w:t>tátna hranica ČR/SR – Čadca – Krásno nad Kysucou (mimo)</w:t>
      </w:r>
      <w:r w:rsidR="005940CA">
        <w:rPr>
          <w:rFonts w:cstheme="minorHAnsi"/>
        </w:rPr>
        <w:t xml:space="preserve"> </w:t>
      </w:r>
      <w:r w:rsidRPr="00930B46">
        <w:rPr>
          <w:rFonts w:cstheme="minorHAnsi"/>
        </w:rPr>
        <w:t>predstavuje ďalšiu stavbu v rámci projektu modernizácie</w:t>
      </w:r>
      <w:r w:rsidR="000B0F5A">
        <w:rPr>
          <w:rFonts w:cstheme="minorHAnsi"/>
        </w:rPr>
        <w:t xml:space="preserve"> </w:t>
      </w:r>
      <w:r w:rsidRPr="00930B46">
        <w:rPr>
          <w:rFonts w:cstheme="minorHAnsi"/>
        </w:rPr>
        <w:t>medzinárodného železničného koridoru č. V</w:t>
      </w:r>
      <w:r w:rsidR="003F536E" w:rsidRPr="00930B46">
        <w:rPr>
          <w:rFonts w:cstheme="minorHAnsi"/>
        </w:rPr>
        <w:t>I</w:t>
      </w:r>
      <w:r w:rsidRPr="00930B46">
        <w:rPr>
          <w:rFonts w:cstheme="minorHAnsi"/>
        </w:rPr>
        <w:t xml:space="preserve">. </w:t>
      </w:r>
      <w:r w:rsidR="003F536E" w:rsidRPr="00930B46">
        <w:rPr>
          <w:rFonts w:cstheme="minorHAnsi"/>
        </w:rPr>
        <w:t>Žilina – Zwardoň – Gdynia. Úsek Čadca – št. hranica ČR/SR je prepojením tohto koridoru s koridorom č.3 v sieti ČD.</w:t>
      </w:r>
    </w:p>
    <w:p w14:paraId="52FD789D" w14:textId="049B5784" w:rsidR="0051218F" w:rsidRPr="00930B46" w:rsidRDefault="0051218F" w:rsidP="00931169">
      <w:pPr>
        <w:rPr>
          <w:rFonts w:cstheme="minorHAnsi"/>
        </w:rPr>
      </w:pPr>
      <w:r w:rsidRPr="00930B46">
        <w:rPr>
          <w:rFonts w:cstheme="minorHAnsi"/>
        </w:rPr>
        <w:tab/>
      </w:r>
      <w:r w:rsidR="00930B46" w:rsidRPr="00930B46">
        <w:rPr>
          <w:rFonts w:cstheme="minorHAnsi"/>
        </w:rPr>
        <w:t>Úsek predstavuje súčasť Paneurópskeho koridoru č. VI a súčasť Základnej siete TEN-T (Core network).</w:t>
      </w:r>
    </w:p>
    <w:p w14:paraId="6108F520" w14:textId="77777777" w:rsidR="003F536E" w:rsidRPr="00930B46" w:rsidRDefault="003F536E" w:rsidP="00931169">
      <w:pPr>
        <w:rPr>
          <w:rFonts w:cstheme="minorHAnsi"/>
        </w:rPr>
      </w:pPr>
    </w:p>
    <w:p w14:paraId="2FB0C184" w14:textId="77777777" w:rsidR="0051218F" w:rsidRPr="00930B46" w:rsidRDefault="0051218F" w:rsidP="00931169">
      <w:pPr>
        <w:ind w:firstLine="708"/>
        <w:rPr>
          <w:rFonts w:cstheme="minorHAnsi"/>
        </w:rPr>
      </w:pPr>
      <w:r w:rsidRPr="00930B46">
        <w:rPr>
          <w:rFonts w:cstheme="minorHAnsi"/>
        </w:rPr>
        <w:t>Obsahom tejto dokumentácie je vypracovanie komplexnej Štúdie realizovateľnosti podľa požiadaviek OPII a európskeho spolufinancovania a porovnať ekonomickú efektívnosť variantov modernizácie a optimalizácie riešených úsekov 1., 2. etapy a 3. etapy tejto stavby.</w:t>
      </w:r>
    </w:p>
    <w:p w14:paraId="39816DD6" w14:textId="77777777" w:rsidR="005A2657" w:rsidRPr="00930B46" w:rsidRDefault="005A2657" w:rsidP="00931169">
      <w:pPr>
        <w:pStyle w:val="Nadpis2"/>
        <w:tabs>
          <w:tab w:val="left" w:pos="567"/>
        </w:tabs>
        <w:rPr>
          <w:rFonts w:cstheme="minorHAnsi"/>
        </w:rPr>
      </w:pPr>
      <w:bookmarkStart w:id="1" w:name="_Toc12907740"/>
      <w:r w:rsidRPr="00930B46">
        <w:rPr>
          <w:rFonts w:cstheme="minorHAnsi"/>
        </w:rPr>
        <w:tab/>
      </w:r>
      <w:bookmarkStart w:id="2" w:name="_Toc15667187"/>
      <w:bookmarkStart w:id="3" w:name="_Toc16745189"/>
      <w:bookmarkStart w:id="4" w:name="_Toc88652908"/>
      <w:r w:rsidRPr="00930B46">
        <w:rPr>
          <w:rFonts w:cstheme="minorHAnsi"/>
        </w:rPr>
        <w:t>Metodika hodnotenia</w:t>
      </w:r>
      <w:bookmarkEnd w:id="1"/>
      <w:bookmarkEnd w:id="2"/>
      <w:bookmarkEnd w:id="3"/>
      <w:bookmarkEnd w:id="4"/>
    </w:p>
    <w:p w14:paraId="2DB5CB0F" w14:textId="77777777" w:rsidR="005A2657" w:rsidRPr="00930B46" w:rsidRDefault="005A2657" w:rsidP="00931169">
      <w:pPr>
        <w:ind w:firstLine="432"/>
        <w:rPr>
          <w:rFonts w:cstheme="minorHAnsi"/>
          <w:color w:val="000000"/>
        </w:rPr>
      </w:pPr>
      <w:r w:rsidRPr="00930B46">
        <w:rPr>
          <w:rFonts w:cstheme="minorHAnsi"/>
          <w:color w:val="000000"/>
        </w:rPr>
        <w:t xml:space="preserve">Štúdia realizovateľnosti pokrýva požiadavky metodického rámca na vypracovanie štúdii realizovateľnosti a CBA v aktuálnych podmienkach OPII. </w:t>
      </w:r>
    </w:p>
    <w:p w14:paraId="323BCE66" w14:textId="73EF2094" w:rsidR="005A2657" w:rsidRDefault="005A2657" w:rsidP="00931169">
      <w:pPr>
        <w:ind w:firstLine="432"/>
        <w:rPr>
          <w:rFonts w:cstheme="minorHAnsi"/>
          <w:color w:val="000000"/>
        </w:rPr>
      </w:pPr>
      <w:r w:rsidRPr="00930B46">
        <w:rPr>
          <w:rFonts w:cstheme="minorHAnsi"/>
          <w:color w:val="000000"/>
        </w:rPr>
        <w:t>Technické varianty sú navrhnuté a schválené v spolupráci s objednávateľom ŠR ŽSR a zriaďovateľom MDV</w:t>
      </w:r>
      <w:r w:rsidR="000B0F5A">
        <w:rPr>
          <w:rFonts w:cstheme="minorHAnsi"/>
          <w:color w:val="000000"/>
        </w:rPr>
        <w:t xml:space="preserve"> SR</w:t>
      </w:r>
      <w:r w:rsidRPr="00930B46">
        <w:rPr>
          <w:rFonts w:cstheme="minorHAnsi"/>
          <w:color w:val="000000"/>
        </w:rPr>
        <w:t>.</w:t>
      </w:r>
    </w:p>
    <w:p w14:paraId="7BEC4D04" w14:textId="77777777" w:rsidR="00BC6B53" w:rsidRPr="00930B46" w:rsidRDefault="00BC6B53" w:rsidP="00931169">
      <w:pPr>
        <w:ind w:firstLine="432"/>
        <w:rPr>
          <w:rFonts w:cstheme="minorHAnsi"/>
          <w:color w:val="000000"/>
        </w:rPr>
      </w:pPr>
      <w:r w:rsidRPr="00930B46">
        <w:rPr>
          <w:rFonts w:cstheme="minorHAnsi"/>
          <w:color w:val="000000"/>
        </w:rPr>
        <w:t xml:space="preserve">Prevádzkový koncept železničnej dopravy je v súlade so zámermi verejného železničného dopravcu – ZSSK. </w:t>
      </w:r>
    </w:p>
    <w:p w14:paraId="3B69F1A0" w14:textId="316B7852" w:rsidR="005A2657" w:rsidRPr="00930B46" w:rsidRDefault="005A2657" w:rsidP="00931169">
      <w:pPr>
        <w:ind w:firstLine="432"/>
        <w:rPr>
          <w:rFonts w:cstheme="minorHAnsi"/>
          <w:color w:val="000000"/>
        </w:rPr>
      </w:pPr>
      <w:r w:rsidRPr="00930B46">
        <w:rPr>
          <w:rFonts w:cstheme="minorHAnsi"/>
          <w:color w:val="000000"/>
        </w:rPr>
        <w:t>Zmena dopravného konceptu</w:t>
      </w:r>
      <w:r w:rsidR="00BC6B53">
        <w:rPr>
          <w:rFonts w:cstheme="minorHAnsi"/>
          <w:color w:val="000000"/>
        </w:rPr>
        <w:t xml:space="preserve"> celkovej verejnej dopravy</w:t>
      </w:r>
      <w:r w:rsidRPr="00930B46">
        <w:rPr>
          <w:rFonts w:cstheme="minorHAnsi"/>
          <w:color w:val="000000"/>
        </w:rPr>
        <w:t xml:space="preserve"> je navrhnutá, prerokovaná a schválená zo strany prevádzkovateľa cestnej verejnej dopravy v kraji – Integrovanej dopravy Žilinského kraja (IDZK), zriaďovateľa Žilinského samosprávneho kraja</w:t>
      </w:r>
      <w:r w:rsidR="00BC6B53">
        <w:rPr>
          <w:rFonts w:cstheme="minorHAnsi"/>
          <w:color w:val="000000"/>
        </w:rPr>
        <w:t xml:space="preserve"> a</w:t>
      </w:r>
      <w:r w:rsidRPr="00930B46">
        <w:rPr>
          <w:rFonts w:cstheme="minorHAnsi"/>
          <w:color w:val="000000"/>
        </w:rPr>
        <w:t xml:space="preserve"> dotknut</w:t>
      </w:r>
      <w:r w:rsidR="00BC6B53">
        <w:rPr>
          <w:rFonts w:cstheme="minorHAnsi"/>
          <w:color w:val="000000"/>
        </w:rPr>
        <w:t>ých</w:t>
      </w:r>
      <w:r w:rsidRPr="00930B46">
        <w:rPr>
          <w:rFonts w:cstheme="minorHAnsi"/>
          <w:color w:val="000000"/>
        </w:rPr>
        <w:t xml:space="preserve"> miestn</w:t>
      </w:r>
      <w:r w:rsidR="00BC6B53">
        <w:rPr>
          <w:rFonts w:cstheme="minorHAnsi"/>
          <w:color w:val="000000"/>
        </w:rPr>
        <w:t xml:space="preserve">ych </w:t>
      </w:r>
      <w:r w:rsidRPr="00930B46">
        <w:rPr>
          <w:rFonts w:cstheme="minorHAnsi"/>
          <w:color w:val="000000"/>
        </w:rPr>
        <w:t>samospráv – mesta Krásno nad Kysucou a dotknutých obcí.</w:t>
      </w:r>
    </w:p>
    <w:p w14:paraId="1BF6EA48" w14:textId="77777777" w:rsidR="005A2657" w:rsidRPr="00930B46" w:rsidRDefault="005A2657" w:rsidP="00931169">
      <w:pPr>
        <w:ind w:firstLine="432"/>
        <w:rPr>
          <w:rFonts w:cstheme="minorHAnsi"/>
          <w:color w:val="000000"/>
        </w:rPr>
      </w:pPr>
      <w:r w:rsidRPr="00930B46">
        <w:rPr>
          <w:rFonts w:cstheme="minorHAnsi"/>
          <w:color w:val="000000"/>
        </w:rPr>
        <w:t xml:space="preserve">Pre Štúdiu realizovateľnosti je vypracovaný samostatný dopravný model a z neho vychádzajúce stanovenie dopravnej prognózy  je priamo použitý v CBA. </w:t>
      </w:r>
      <w:r w:rsidRPr="00D44621">
        <w:rPr>
          <w:rFonts w:cstheme="minorHAnsi"/>
          <w:color w:val="000000"/>
        </w:rPr>
        <w:t>Podrobnosti metodiky dopravného modelu sú uvedené v samostatnej kapitole.</w:t>
      </w:r>
    </w:p>
    <w:p w14:paraId="6A869C67" w14:textId="0313F362" w:rsidR="005A2657" w:rsidRPr="00BC102F" w:rsidRDefault="005A2657" w:rsidP="00931169">
      <w:pPr>
        <w:ind w:firstLine="432"/>
        <w:rPr>
          <w:rFonts w:cstheme="minorHAnsi"/>
        </w:rPr>
      </w:pPr>
      <w:r w:rsidRPr="00930B46">
        <w:rPr>
          <w:rFonts w:cstheme="minorHAnsi"/>
          <w:color w:val="000000"/>
        </w:rPr>
        <w:t xml:space="preserve">Ako referenčné obdobie je určená súčasnosť a jej vývoj podľa predpokladaného stavu. Vo výsledku referenčný variant predstavuje </w:t>
      </w:r>
      <w:r w:rsidR="00FD2842" w:rsidRPr="00BC102F">
        <w:rPr>
          <w:rFonts w:cstheme="minorHAnsi"/>
          <w:color w:val="000000"/>
        </w:rPr>
        <w:t xml:space="preserve">udržateľný stav zabezpečený v rámci </w:t>
      </w:r>
      <w:r w:rsidR="000B0F5A" w:rsidRPr="00BC102F">
        <w:rPr>
          <w:rFonts w:cstheme="minorHAnsi"/>
          <w:color w:val="000000"/>
        </w:rPr>
        <w:t>bežn</w:t>
      </w:r>
      <w:r w:rsidR="00FD2842" w:rsidRPr="00BC102F">
        <w:rPr>
          <w:rFonts w:cstheme="minorHAnsi"/>
          <w:color w:val="000000"/>
        </w:rPr>
        <w:t>ej</w:t>
      </w:r>
      <w:r w:rsidR="000B0F5A" w:rsidRPr="00BC102F">
        <w:rPr>
          <w:rFonts w:cstheme="minorHAnsi"/>
          <w:color w:val="000000"/>
        </w:rPr>
        <w:t xml:space="preserve"> údržb</w:t>
      </w:r>
      <w:r w:rsidR="00FD2842" w:rsidRPr="00BC102F">
        <w:rPr>
          <w:rFonts w:cstheme="minorHAnsi"/>
          <w:color w:val="000000"/>
        </w:rPr>
        <w:t>y žel. trate</w:t>
      </w:r>
      <w:r w:rsidR="000B0F5A" w:rsidRPr="00BC102F">
        <w:rPr>
          <w:rFonts w:cstheme="minorHAnsi"/>
          <w:color w:val="000000"/>
        </w:rPr>
        <w:t xml:space="preserve">, ktorá umožňuje </w:t>
      </w:r>
      <w:r w:rsidR="00FD2842" w:rsidRPr="00BC102F">
        <w:rPr>
          <w:rFonts w:cstheme="minorHAnsi"/>
          <w:color w:val="000000"/>
        </w:rPr>
        <w:t xml:space="preserve">dlhodobo </w:t>
      </w:r>
      <w:r w:rsidR="000B0F5A" w:rsidRPr="00BC102F">
        <w:rPr>
          <w:rFonts w:cstheme="minorHAnsi"/>
          <w:color w:val="000000"/>
        </w:rPr>
        <w:t>prevádzku žel. trate</w:t>
      </w:r>
      <w:r w:rsidR="00FD2842" w:rsidRPr="00BC102F">
        <w:rPr>
          <w:rFonts w:cstheme="minorHAnsi"/>
          <w:color w:val="000000"/>
        </w:rPr>
        <w:t xml:space="preserve">. V tomto variante </w:t>
      </w:r>
      <w:r w:rsidR="00FD2842" w:rsidRPr="00592348">
        <w:rPr>
          <w:rFonts w:cstheme="minorHAnsi"/>
        </w:rPr>
        <w:t xml:space="preserve">nie sú </w:t>
      </w:r>
      <w:r w:rsidR="00FD2842" w:rsidRPr="00BC102F">
        <w:rPr>
          <w:rFonts w:cstheme="minorHAnsi"/>
          <w:color w:val="000000"/>
        </w:rPr>
        <w:t>uvažované objekty</w:t>
      </w:r>
      <w:r w:rsidR="000408C9" w:rsidRPr="00BC102F">
        <w:rPr>
          <w:rFonts w:cstheme="minorHAnsi"/>
          <w:color w:val="000000"/>
        </w:rPr>
        <w:t>, ktoré v poslednom čase prešli výraznejšou rekonštrukciou</w:t>
      </w:r>
      <w:r w:rsidRPr="00BC102F">
        <w:rPr>
          <w:rFonts w:cstheme="minorHAnsi"/>
          <w:color w:val="000000"/>
        </w:rPr>
        <w:t>.</w:t>
      </w:r>
    </w:p>
    <w:p w14:paraId="492B09DD" w14:textId="20329B48" w:rsidR="005A2657" w:rsidRPr="00930B46" w:rsidRDefault="005A2657" w:rsidP="00931169">
      <w:pPr>
        <w:ind w:firstLine="432"/>
        <w:rPr>
          <w:rFonts w:cstheme="minorHAnsi"/>
          <w:color w:val="000000"/>
        </w:rPr>
      </w:pPr>
      <w:r w:rsidRPr="00930B46">
        <w:rPr>
          <w:rFonts w:cstheme="minorHAnsi"/>
          <w:color w:val="000000"/>
        </w:rPr>
        <w:t xml:space="preserve"> </w:t>
      </w:r>
      <w:r w:rsidR="00FD2842">
        <w:rPr>
          <w:rFonts w:cstheme="minorHAnsi"/>
          <w:color w:val="000000"/>
        </w:rPr>
        <w:t>V rámci štúdie u</w:t>
      </w:r>
      <w:r w:rsidRPr="00930B46">
        <w:rPr>
          <w:rFonts w:cstheme="minorHAnsi"/>
          <w:color w:val="000000"/>
        </w:rPr>
        <w:t>važuje</w:t>
      </w:r>
      <w:r w:rsidR="00FD2842">
        <w:rPr>
          <w:rFonts w:cstheme="minorHAnsi"/>
          <w:color w:val="000000"/>
        </w:rPr>
        <w:t>me</w:t>
      </w:r>
      <w:r w:rsidRPr="00930B46">
        <w:rPr>
          <w:rFonts w:cstheme="minorHAnsi"/>
          <w:color w:val="000000"/>
        </w:rPr>
        <w:t xml:space="preserve"> sa s dobou výstavby podľa podrobnej projektovej prípravy – 4 roky pre 1. etapu a 3 roky  pre 2. a 3. etapu</w:t>
      </w:r>
      <w:r w:rsidR="00BC6B53">
        <w:rPr>
          <w:rFonts w:cstheme="minorHAnsi"/>
          <w:color w:val="000000"/>
        </w:rPr>
        <w:t xml:space="preserve"> pre stavbu Krásno  - Čadca, št.hr. a so skutočným časom výstavby úseku Žilina – Krásno nad Kysucou – 2009 – 2011. V stavbe „Žilina – Krásno“ bolo ignorované príp</w:t>
      </w:r>
      <w:r w:rsidR="006E3CC1">
        <w:rPr>
          <w:rFonts w:cstheme="minorHAnsi"/>
          <w:color w:val="000000"/>
        </w:rPr>
        <w:t>r</w:t>
      </w:r>
      <w:r w:rsidR="00BC6B53">
        <w:rPr>
          <w:rFonts w:cstheme="minorHAnsi"/>
          <w:color w:val="000000"/>
        </w:rPr>
        <w:t>avné obdobie stavby 09/2008 – 12/2008, kedy neprebehlo finančné plnenie</w:t>
      </w:r>
      <w:r w:rsidRPr="00930B46">
        <w:rPr>
          <w:rFonts w:cstheme="minorHAnsi"/>
          <w:color w:val="000000"/>
        </w:rPr>
        <w:t>.</w:t>
      </w:r>
    </w:p>
    <w:p w14:paraId="13263316" w14:textId="77777777" w:rsidR="000B638A" w:rsidRPr="00930B46" w:rsidRDefault="000B638A" w:rsidP="00931169">
      <w:pPr>
        <w:ind w:firstLine="432"/>
        <w:rPr>
          <w:rFonts w:cstheme="minorHAnsi"/>
        </w:rPr>
      </w:pPr>
      <w:r w:rsidRPr="00930B46">
        <w:rPr>
          <w:rFonts w:cstheme="minorHAnsi"/>
        </w:rPr>
        <w:t>Odhad nákladov hodnotených variantov vychádza z aktuálnej PD pre porovnateľnosť zmeny nákladov.</w:t>
      </w:r>
    </w:p>
    <w:p w14:paraId="3B8297A1" w14:textId="77777777" w:rsidR="000B638A" w:rsidRPr="00930B46" w:rsidRDefault="000B638A" w:rsidP="00931169">
      <w:pPr>
        <w:ind w:firstLine="432"/>
        <w:rPr>
          <w:rFonts w:cstheme="minorHAnsi"/>
        </w:rPr>
      </w:pPr>
      <w:r w:rsidRPr="00930B46">
        <w:rPr>
          <w:rFonts w:cstheme="minorHAnsi"/>
        </w:rPr>
        <w:t>Finančná analýza je vypracovaná pre samotnú stavbu vo všetkých etapách spolu.</w:t>
      </w:r>
    </w:p>
    <w:p w14:paraId="1BFFBDA7" w14:textId="7787362F" w:rsidR="000B638A" w:rsidRDefault="000B638A" w:rsidP="00931169">
      <w:pPr>
        <w:ind w:firstLine="432"/>
        <w:rPr>
          <w:rFonts w:cstheme="minorHAnsi"/>
        </w:rPr>
      </w:pPr>
      <w:r w:rsidRPr="00930B46">
        <w:rPr>
          <w:rFonts w:cstheme="minorHAnsi"/>
        </w:rPr>
        <w:t>Ekonomická analýza a Dopravný model je vypracovaný pre rozšírený úsek Žilina – Čadca – Čadca, št.hr.</w:t>
      </w:r>
    </w:p>
    <w:p w14:paraId="1936A2AF" w14:textId="2E0DDA09" w:rsidR="005940CA" w:rsidRDefault="005940CA" w:rsidP="005940CA">
      <w:pPr>
        <w:rPr>
          <w:rFonts w:cstheme="minorHAnsi"/>
        </w:rPr>
      </w:pPr>
    </w:p>
    <w:p w14:paraId="64725A64" w14:textId="77777777" w:rsidR="005940CA" w:rsidRPr="005940CA" w:rsidRDefault="005940CA" w:rsidP="005940CA">
      <w:pPr>
        <w:rPr>
          <w:rFonts w:cstheme="minorHAnsi"/>
        </w:rPr>
      </w:pPr>
    </w:p>
    <w:p w14:paraId="3D1B720E" w14:textId="77777777" w:rsidR="000B638A" w:rsidRPr="00930B46" w:rsidRDefault="000B638A" w:rsidP="00931169">
      <w:pPr>
        <w:ind w:firstLine="432"/>
        <w:rPr>
          <w:rFonts w:cstheme="minorHAnsi"/>
        </w:rPr>
      </w:pPr>
      <w:r w:rsidRPr="008208F3">
        <w:rPr>
          <w:rFonts w:cstheme="minorHAnsi"/>
        </w:rPr>
        <w:lastRenderedPageBreak/>
        <w:t>Ekonomická analýza kalkuluje so skutočnou investíciou v úseku Žilina – Krásno nad Kysucou (r.2011) vrátane odhadu referenčného variantu. Obdobne sú kalkulované zmeny (úspory) prevádzkových nákladov a socio-ekonomických benefitov za celý úsek.</w:t>
      </w:r>
    </w:p>
    <w:p w14:paraId="319D44A6" w14:textId="77777777" w:rsidR="005940CA" w:rsidRDefault="005940CA" w:rsidP="00931169">
      <w:pPr>
        <w:ind w:firstLine="432"/>
        <w:rPr>
          <w:rFonts w:cstheme="minorHAnsi"/>
          <w:color w:val="000000"/>
        </w:rPr>
      </w:pPr>
    </w:p>
    <w:p w14:paraId="60F35A60" w14:textId="063B7251" w:rsidR="005A2657" w:rsidRPr="00930B46" w:rsidRDefault="005A2657" w:rsidP="00931169">
      <w:pPr>
        <w:ind w:firstLine="432"/>
        <w:rPr>
          <w:rFonts w:cstheme="minorHAnsi"/>
          <w:color w:val="000000"/>
        </w:rPr>
      </w:pPr>
      <w:r w:rsidRPr="00930B46">
        <w:rPr>
          <w:rFonts w:cstheme="minorHAnsi"/>
          <w:color w:val="000000"/>
        </w:rPr>
        <w:t>Použitá je inkrementálna metóda.</w:t>
      </w:r>
    </w:p>
    <w:p w14:paraId="72DF062A" w14:textId="60285902" w:rsidR="005A2657" w:rsidRPr="00930B46" w:rsidRDefault="005A2657" w:rsidP="00931169">
      <w:pPr>
        <w:ind w:firstLine="432"/>
        <w:rPr>
          <w:rFonts w:cstheme="minorHAnsi"/>
          <w:color w:val="000000"/>
        </w:rPr>
      </w:pPr>
      <w:r w:rsidRPr="00930B46">
        <w:rPr>
          <w:rFonts w:cstheme="minorHAnsi"/>
        </w:rPr>
        <w:t>Jednotlivé vstupy do CBA sú podrobne popísané v elek</w:t>
      </w:r>
      <w:r w:rsidR="000B638A" w:rsidRPr="00930B46">
        <w:rPr>
          <w:rFonts w:cstheme="minorHAnsi"/>
        </w:rPr>
        <w:t>t</w:t>
      </w:r>
      <w:r w:rsidRPr="00930B46">
        <w:rPr>
          <w:rFonts w:cstheme="minorHAnsi"/>
        </w:rPr>
        <w:t>ronickej prílohe „Príloha 2 CBA Stand Tab Železnice</w:t>
      </w:r>
      <w:r w:rsidR="00FE7FAB">
        <w:rPr>
          <w:rFonts w:cstheme="minorHAnsi"/>
        </w:rPr>
        <w:t>_Krásno nad kysucoiu – Čadca – štátna hranica</w:t>
      </w:r>
      <w:r w:rsidRPr="00930B46">
        <w:rPr>
          <w:rFonts w:cstheme="minorHAnsi"/>
        </w:rPr>
        <w:t>“.</w:t>
      </w:r>
    </w:p>
    <w:p w14:paraId="70FC6BAC" w14:textId="77777777" w:rsidR="005A2657" w:rsidRPr="00930B46" w:rsidRDefault="005A2657" w:rsidP="00931169">
      <w:pPr>
        <w:ind w:firstLine="432"/>
        <w:rPr>
          <w:rFonts w:cstheme="minorHAnsi"/>
          <w:color w:val="000000"/>
        </w:rPr>
      </w:pPr>
      <w:r w:rsidRPr="00930B46">
        <w:rPr>
          <w:rFonts w:cstheme="minorHAnsi"/>
          <w:color w:val="000000"/>
        </w:rPr>
        <w:t>Samotný metodický postup stanovenie finančnej analýzy a ekonomickej analýzy je plne v súlade s hlavnými metodickými príručkami Európskeho spoločenstva a aktuálnou národnou príručkou CBA.</w:t>
      </w:r>
    </w:p>
    <w:p w14:paraId="1EBB8D6A" w14:textId="77777777" w:rsidR="005A2657" w:rsidRPr="00930B46" w:rsidRDefault="005A2657" w:rsidP="00931169">
      <w:pPr>
        <w:ind w:firstLine="432"/>
        <w:rPr>
          <w:rFonts w:cstheme="minorHAnsi"/>
          <w:color w:val="000000"/>
        </w:rPr>
      </w:pPr>
      <w:r w:rsidRPr="00930B46">
        <w:rPr>
          <w:rFonts w:cstheme="minorHAnsi"/>
          <w:color w:val="000000"/>
        </w:rPr>
        <w:t>Podrobnosti stanovenia socio – ekonomických efektov sú uvedené v predmetnej kapitoly správy. Súčasťou časti  C.1 PD je elektronická príloha s podrobným postupom stanovenia CBA.</w:t>
      </w:r>
    </w:p>
    <w:p w14:paraId="1B09E03C" w14:textId="77777777" w:rsidR="00BB6D39" w:rsidRPr="00930B46" w:rsidRDefault="00BB6D39" w:rsidP="00931169">
      <w:pPr>
        <w:pStyle w:val="Nadpis2"/>
        <w:tabs>
          <w:tab w:val="left" w:pos="567"/>
        </w:tabs>
        <w:rPr>
          <w:rFonts w:cstheme="minorHAnsi"/>
        </w:rPr>
      </w:pPr>
      <w:bookmarkStart w:id="5" w:name="_Toc15667189"/>
      <w:bookmarkStart w:id="6" w:name="_Toc16745190"/>
      <w:bookmarkStart w:id="7" w:name="_Toc24661411"/>
      <w:bookmarkStart w:id="8" w:name="_Toc88652909"/>
      <w:r w:rsidRPr="00930B46">
        <w:rPr>
          <w:rFonts w:cstheme="minorHAnsi"/>
        </w:rPr>
        <w:t>Dopravný model</w:t>
      </w:r>
      <w:bookmarkEnd w:id="5"/>
      <w:bookmarkEnd w:id="6"/>
      <w:bookmarkEnd w:id="7"/>
      <w:bookmarkEnd w:id="8"/>
    </w:p>
    <w:p w14:paraId="64EC201B" w14:textId="35AE6BDE" w:rsidR="00BB6D39" w:rsidRPr="00930B46" w:rsidRDefault="00930B46" w:rsidP="00931169">
      <w:pPr>
        <w:ind w:firstLine="432"/>
        <w:rPr>
          <w:rFonts w:cstheme="minorHAnsi"/>
          <w:color w:val="000000"/>
        </w:rPr>
      </w:pPr>
      <w:r w:rsidRPr="00930B46">
        <w:rPr>
          <w:rFonts w:cstheme="minorHAnsi"/>
          <w:color w:val="000000"/>
        </w:rPr>
        <w:t>Dopravné modelovanie osobnej dopravy pre úsek Žilina – Čadca je spracované podľa príručky Passanger Demand Forecastin Handbook.  Príručka Passanger Demand Forecasting Handbook sumarizuje viac ako dvadsať rokov výskumu prognózovania železničného dopytu a poskytuje usmernenie o aspektoch, ako sú vplyvy kvality služieb, cestovného a externých faktorov na dopyt po železnici.</w:t>
      </w:r>
    </w:p>
    <w:p w14:paraId="1492E715" w14:textId="4B2E48E5" w:rsidR="00930B46" w:rsidRPr="00930B46" w:rsidRDefault="00930B46" w:rsidP="00931169">
      <w:pPr>
        <w:ind w:firstLine="432"/>
        <w:rPr>
          <w:rFonts w:cstheme="minorHAnsi"/>
          <w:color w:val="000000"/>
        </w:rPr>
      </w:pPr>
      <w:r w:rsidRPr="00930B46">
        <w:rPr>
          <w:rFonts w:cstheme="minorHAnsi"/>
          <w:color w:val="000000"/>
        </w:rPr>
        <w:t xml:space="preserve">Oblasť, na ktorú sa vzťahuje model prognózovania osobnej dopravy, je určená intervenciami, ktoré má model riešiť. Model osobnej dopravy rieši trasy cestujúcich, ktoré zodpovedajú za cesty v záujmovej dopravnej sieti (úsek Žilina – Čadca – štátna hranica SR/ČR). </w:t>
      </w:r>
    </w:p>
    <w:p w14:paraId="662B0A6A" w14:textId="77777777" w:rsidR="00930B46" w:rsidRPr="00930B46" w:rsidRDefault="00930B46" w:rsidP="00931169">
      <w:pPr>
        <w:ind w:firstLine="432"/>
        <w:rPr>
          <w:rFonts w:cstheme="minorHAnsi"/>
          <w:color w:val="000000"/>
        </w:rPr>
      </w:pPr>
      <w:r w:rsidRPr="00930B46">
        <w:rPr>
          <w:rFonts w:cstheme="minorHAnsi"/>
          <w:color w:val="000000"/>
        </w:rPr>
        <w:t xml:space="preserve">Maticu počtu prepravených cestujúcich (O- D maticu) dodalo Ministerstvo dopravy a výstavby SR, ako podklad pre kalibráciu a kalkulácie miestneho dopravného modelu Žilina – Čadca – štátna hranica  SR/ČR. </w:t>
      </w:r>
    </w:p>
    <w:p w14:paraId="49AF53B4" w14:textId="714FB946" w:rsidR="00930B46" w:rsidRPr="00930B46" w:rsidRDefault="00930B46" w:rsidP="00931169">
      <w:pPr>
        <w:ind w:firstLine="432"/>
        <w:rPr>
          <w:rFonts w:cstheme="minorHAnsi"/>
          <w:color w:val="000000"/>
        </w:rPr>
      </w:pPr>
      <w:r w:rsidRPr="00930B46">
        <w:rPr>
          <w:rFonts w:cstheme="minorHAnsi"/>
          <w:color w:val="000000"/>
        </w:rPr>
        <w:t>Matica počtu prepravených cestujúcich (O – D matica) je zostavená na základe údajov z predaja cestných lístkov Železničnej spoločnosti Slovensko a. s.</w:t>
      </w:r>
    </w:p>
    <w:p w14:paraId="19743DF3" w14:textId="0A0B6B3C" w:rsidR="00930B46" w:rsidRPr="00930B46" w:rsidRDefault="00930B46" w:rsidP="00931169">
      <w:pPr>
        <w:ind w:firstLine="432"/>
        <w:rPr>
          <w:rFonts w:cstheme="minorHAnsi"/>
          <w:color w:val="000000"/>
        </w:rPr>
      </w:pPr>
      <w:r w:rsidRPr="00930B46">
        <w:rPr>
          <w:rFonts w:cstheme="minorHAnsi"/>
          <w:color w:val="000000"/>
        </w:rPr>
        <w:t>Ďalej je uvažované s demografickým vývojom, zmenami dopravného systému vyvolanými projektom (zmeny jazdných časov) a so zriadením Terminálu integrovanej osobnej prepravy Krásno nad Kysucou (TIOP Krásno).</w:t>
      </w:r>
    </w:p>
    <w:p w14:paraId="78111EB2" w14:textId="4B7486E1" w:rsidR="00930B46" w:rsidRPr="00930B46" w:rsidRDefault="00930B46" w:rsidP="00931169">
      <w:pPr>
        <w:ind w:firstLine="432"/>
        <w:rPr>
          <w:rFonts w:cstheme="minorHAnsi"/>
          <w:color w:val="000000"/>
        </w:rPr>
      </w:pPr>
      <w:r w:rsidRPr="00930B46">
        <w:rPr>
          <w:rFonts w:cstheme="minorHAnsi"/>
          <w:color w:val="000000"/>
        </w:rPr>
        <w:t>Dopravné modelovanie nákladnej dopravy pre úsek Žilina – Čadca št. hr. je vypracované na základe poskytnutého usmernenia  JASPERS Appraisal Guidance (Transport) - Guidance on Appraising the Economic Impacts of Rail Freight Measures.</w:t>
      </w:r>
    </w:p>
    <w:p w14:paraId="26B68324" w14:textId="77777777" w:rsidR="00930B46" w:rsidRPr="00930B46" w:rsidRDefault="00930B46" w:rsidP="00931169">
      <w:pPr>
        <w:ind w:firstLine="432"/>
        <w:rPr>
          <w:rFonts w:cstheme="minorHAnsi"/>
          <w:color w:val="000000"/>
        </w:rPr>
      </w:pPr>
      <w:r w:rsidRPr="00930B46">
        <w:rPr>
          <w:rFonts w:cstheme="minorHAnsi"/>
          <w:color w:val="000000"/>
        </w:rPr>
        <w:t xml:space="preserve">Usmernenie JASPERS Appraisal Guidance (Transport) - Guidance on Appraising the Economic Impacts of Rail Freight Measures je predovšetkým určené na podporu analýzy CBA, ktorá sa môže použiť na hodnotenie a posúdenie možností v štúdii uskutočniteľnosti alebo v samostatnej analýze CBA, ktorá je potrebná na schválenie projektu na vnútroštátnej úrovni alebo na úrovni EÚ. </w:t>
      </w:r>
    </w:p>
    <w:p w14:paraId="42D1D59E" w14:textId="77777777" w:rsidR="00930B46" w:rsidRPr="00930B46" w:rsidRDefault="00930B46" w:rsidP="00931169">
      <w:pPr>
        <w:ind w:firstLine="432"/>
        <w:rPr>
          <w:rFonts w:cstheme="minorHAnsi"/>
          <w:color w:val="000000"/>
        </w:rPr>
      </w:pPr>
      <w:r w:rsidRPr="00930B46">
        <w:rPr>
          <w:rFonts w:cstheme="minorHAnsi"/>
          <w:color w:val="000000"/>
        </w:rPr>
        <w:t>Usmernenie JASPERS Appraisal Guidance (Transport) - Guidance on Appraising the Economic Impacts of Rail Freight Measures nenahrádza potrebu procesu strategického plánovania dopravy, ktorý by mal riadiť výber hlavných koridorov a vhodné riešenia pre nákladnú dopravu na vnútroštátnej aj európskej úrovni.</w:t>
      </w:r>
    </w:p>
    <w:p w14:paraId="506751B6" w14:textId="77777777" w:rsidR="00930B46" w:rsidRPr="00930B46" w:rsidRDefault="00930B46" w:rsidP="00931169">
      <w:pPr>
        <w:rPr>
          <w:rFonts w:cstheme="minorHAnsi"/>
          <w:color w:val="7030A0"/>
          <w:szCs w:val="24"/>
        </w:rPr>
      </w:pPr>
    </w:p>
    <w:p w14:paraId="4E004A1D" w14:textId="7CA5C8F7" w:rsidR="00BB6D39" w:rsidRPr="00FE7FAB" w:rsidRDefault="00930B46" w:rsidP="00FE7FAB">
      <w:pPr>
        <w:ind w:firstLine="432"/>
        <w:rPr>
          <w:rFonts w:cstheme="minorHAnsi"/>
          <w:color w:val="000000"/>
        </w:rPr>
      </w:pPr>
      <w:r w:rsidRPr="00930B46">
        <w:rPr>
          <w:rFonts w:cstheme="minorHAnsi"/>
          <w:color w:val="000000"/>
        </w:rPr>
        <w:lastRenderedPageBreak/>
        <w:t xml:space="preserve">Podrobne je metodika a postup dopravného modelovania uvedený v kapitole </w:t>
      </w:r>
      <w:r w:rsidR="00B533B0">
        <w:rPr>
          <w:rFonts w:cstheme="minorHAnsi"/>
          <w:color w:val="000000"/>
        </w:rPr>
        <w:t>6</w:t>
      </w:r>
      <w:r w:rsidRPr="00930B46">
        <w:rPr>
          <w:rFonts w:cstheme="minorHAnsi"/>
          <w:color w:val="000000"/>
        </w:rPr>
        <w:t>. Dopravný model.</w:t>
      </w:r>
      <w:r w:rsidR="00BB6D39" w:rsidRPr="00930B46">
        <w:rPr>
          <w:rFonts w:cstheme="minorHAnsi"/>
        </w:rPr>
        <w:br w:type="page"/>
      </w:r>
    </w:p>
    <w:p w14:paraId="7C2825E7" w14:textId="6EF3A724" w:rsidR="0051218F" w:rsidRPr="00930B46" w:rsidRDefault="0051218F" w:rsidP="00931169">
      <w:pPr>
        <w:pStyle w:val="Nadpis1"/>
        <w:rPr>
          <w:rFonts w:cstheme="minorHAnsi"/>
        </w:rPr>
      </w:pPr>
      <w:bookmarkStart w:id="9" w:name="_Toc88652910"/>
      <w:r w:rsidRPr="00930B46">
        <w:rPr>
          <w:rFonts w:cstheme="minorHAnsi"/>
        </w:rPr>
        <w:lastRenderedPageBreak/>
        <w:t>2.</w:t>
      </w:r>
      <w:r w:rsidRPr="00930B46">
        <w:rPr>
          <w:rFonts w:cstheme="minorHAnsi"/>
        </w:rPr>
        <w:tab/>
        <w:t>SÚČASNÝ STAV</w:t>
      </w:r>
      <w:bookmarkEnd w:id="9"/>
    </w:p>
    <w:p w14:paraId="145FFC5A" w14:textId="0087B400" w:rsidR="00930B46" w:rsidRPr="00930B46" w:rsidRDefault="00930B46" w:rsidP="00931169">
      <w:pPr>
        <w:autoSpaceDE w:val="0"/>
        <w:autoSpaceDN w:val="0"/>
        <w:adjustRightInd w:val="0"/>
        <w:ind w:firstLine="708"/>
        <w:rPr>
          <w:rFonts w:cstheme="minorHAnsi"/>
          <w:szCs w:val="24"/>
        </w:rPr>
      </w:pPr>
      <w:r w:rsidRPr="00930B46">
        <w:rPr>
          <w:rFonts w:cstheme="minorHAnsi"/>
          <w:szCs w:val="24"/>
        </w:rPr>
        <w:t>Predmetný úsek je súčasťou trate 106D Žilina – Čadca – Mosty u Jablunkova CZ, je dlhý 17,4 sžkm, dvojkoľajný, elektrifikovaný jednosmernou trakčnou sústavou 3 kV.</w:t>
      </w:r>
    </w:p>
    <w:p w14:paraId="711122CA" w14:textId="77777777" w:rsidR="00930B46" w:rsidRPr="00930B46" w:rsidRDefault="00930B46" w:rsidP="00931169">
      <w:pPr>
        <w:autoSpaceDE w:val="0"/>
        <w:autoSpaceDN w:val="0"/>
        <w:adjustRightInd w:val="0"/>
        <w:ind w:firstLine="708"/>
        <w:rPr>
          <w:rFonts w:cstheme="minorHAnsi"/>
          <w:szCs w:val="24"/>
        </w:rPr>
      </w:pPr>
    </w:p>
    <w:p w14:paraId="39955CA9" w14:textId="795F691F" w:rsidR="00930B46" w:rsidRPr="00930B46" w:rsidRDefault="00930B46" w:rsidP="00931169">
      <w:pPr>
        <w:keepNext/>
        <w:rPr>
          <w:rFonts w:cstheme="minorHAnsi"/>
        </w:rPr>
      </w:pPr>
      <w:r w:rsidRPr="00930B46">
        <w:rPr>
          <w:rFonts w:cstheme="minorHAnsi"/>
          <w:i/>
        </w:rPr>
        <w:t>Tab.</w:t>
      </w:r>
      <w:r w:rsidR="005940CA">
        <w:rPr>
          <w:rFonts w:cstheme="minorHAnsi"/>
          <w:i/>
        </w:rPr>
        <w:t>1</w:t>
      </w:r>
      <w:r w:rsidRPr="00930B46">
        <w:rPr>
          <w:rFonts w:cstheme="minorHAnsi"/>
          <w:i/>
        </w:rPr>
        <w:t>: Vzdialenosti dopravní a zastávok</w:t>
      </w:r>
    </w:p>
    <w:tbl>
      <w:tblPr>
        <w:tblW w:w="4934" w:type="dxa"/>
        <w:tblCellMar>
          <w:left w:w="70" w:type="dxa"/>
          <w:right w:w="70" w:type="dxa"/>
        </w:tblCellMar>
        <w:tblLook w:val="0000" w:firstRow="0" w:lastRow="0" w:firstColumn="0" w:lastColumn="0" w:noHBand="0" w:noVBand="0"/>
      </w:tblPr>
      <w:tblGrid>
        <w:gridCol w:w="2120"/>
        <w:gridCol w:w="1074"/>
        <w:gridCol w:w="880"/>
        <w:gridCol w:w="974"/>
      </w:tblGrid>
      <w:tr w:rsidR="00930B46" w:rsidRPr="00930B46" w14:paraId="0259EB9A" w14:textId="77777777" w:rsidTr="00154415">
        <w:trPr>
          <w:trHeight w:val="255"/>
        </w:trPr>
        <w:tc>
          <w:tcPr>
            <w:tcW w:w="2120" w:type="dxa"/>
            <w:tcBorders>
              <w:top w:val="nil"/>
              <w:left w:val="nil"/>
              <w:bottom w:val="nil"/>
              <w:right w:val="nil"/>
            </w:tcBorders>
            <w:shd w:val="clear" w:color="auto" w:fill="auto"/>
            <w:noWrap/>
            <w:vAlign w:val="bottom"/>
          </w:tcPr>
          <w:p w14:paraId="321099E9" w14:textId="77777777" w:rsidR="00930B46" w:rsidRPr="00930B46" w:rsidRDefault="00930B46" w:rsidP="00931169">
            <w:pPr>
              <w:rPr>
                <w:rFonts w:cstheme="minorHAnsi"/>
                <w:sz w:val="20"/>
                <w:lang w:eastAsia="sk-SK"/>
              </w:rPr>
            </w:pPr>
          </w:p>
        </w:tc>
        <w:tc>
          <w:tcPr>
            <w:tcW w:w="1074" w:type="dxa"/>
            <w:vMerge w:val="restart"/>
            <w:tcBorders>
              <w:top w:val="single" w:sz="4" w:space="0" w:color="auto"/>
              <w:left w:val="single" w:sz="4" w:space="0" w:color="auto"/>
              <w:bottom w:val="double" w:sz="6" w:space="0" w:color="000000"/>
              <w:right w:val="single" w:sz="4" w:space="0" w:color="auto"/>
            </w:tcBorders>
            <w:shd w:val="clear" w:color="auto" w:fill="auto"/>
            <w:noWrap/>
            <w:vAlign w:val="bottom"/>
          </w:tcPr>
          <w:p w14:paraId="41ED434E" w14:textId="77777777" w:rsidR="00930B46" w:rsidRPr="00930B46" w:rsidRDefault="00930B46" w:rsidP="00931169">
            <w:pPr>
              <w:rPr>
                <w:rFonts w:cstheme="minorHAnsi"/>
                <w:sz w:val="20"/>
                <w:lang w:eastAsia="sk-SK"/>
              </w:rPr>
            </w:pPr>
            <w:r w:rsidRPr="00930B46">
              <w:rPr>
                <w:rFonts w:cstheme="minorHAnsi"/>
                <w:sz w:val="20"/>
                <w:lang w:eastAsia="sk-SK"/>
              </w:rPr>
              <w:t>Staničenie</w:t>
            </w:r>
          </w:p>
        </w:tc>
        <w:tc>
          <w:tcPr>
            <w:tcW w:w="1740" w:type="dxa"/>
            <w:gridSpan w:val="2"/>
            <w:tcBorders>
              <w:top w:val="single" w:sz="4" w:space="0" w:color="auto"/>
              <w:left w:val="nil"/>
              <w:bottom w:val="single" w:sz="4" w:space="0" w:color="auto"/>
              <w:right w:val="single" w:sz="4" w:space="0" w:color="auto"/>
            </w:tcBorders>
            <w:shd w:val="clear" w:color="auto" w:fill="auto"/>
            <w:noWrap/>
            <w:vAlign w:val="bottom"/>
          </w:tcPr>
          <w:p w14:paraId="463BE200" w14:textId="77777777" w:rsidR="00930B46" w:rsidRPr="00930B46" w:rsidRDefault="00930B46" w:rsidP="00931169">
            <w:pPr>
              <w:rPr>
                <w:rFonts w:cstheme="minorHAnsi"/>
                <w:sz w:val="20"/>
                <w:lang w:eastAsia="sk-SK"/>
              </w:rPr>
            </w:pPr>
            <w:r w:rsidRPr="00930B46">
              <w:rPr>
                <w:rFonts w:cstheme="minorHAnsi"/>
                <w:sz w:val="20"/>
                <w:lang w:eastAsia="sk-SK"/>
              </w:rPr>
              <w:t>Dĺžka úseku</w:t>
            </w:r>
          </w:p>
        </w:tc>
      </w:tr>
      <w:tr w:rsidR="00930B46" w:rsidRPr="00930B46" w14:paraId="0F56D3C7" w14:textId="77777777" w:rsidTr="00154415">
        <w:trPr>
          <w:trHeight w:val="270"/>
        </w:trPr>
        <w:tc>
          <w:tcPr>
            <w:tcW w:w="2120" w:type="dxa"/>
            <w:tcBorders>
              <w:top w:val="nil"/>
              <w:left w:val="nil"/>
              <w:bottom w:val="double" w:sz="6" w:space="0" w:color="auto"/>
              <w:right w:val="nil"/>
            </w:tcBorders>
            <w:shd w:val="clear" w:color="auto" w:fill="auto"/>
            <w:noWrap/>
            <w:vAlign w:val="bottom"/>
          </w:tcPr>
          <w:p w14:paraId="4EB01F01" w14:textId="77777777" w:rsidR="00930B46" w:rsidRPr="00930B46" w:rsidRDefault="00930B46" w:rsidP="00931169">
            <w:pPr>
              <w:rPr>
                <w:rFonts w:cstheme="minorHAnsi"/>
                <w:sz w:val="20"/>
                <w:lang w:eastAsia="sk-SK"/>
              </w:rPr>
            </w:pPr>
            <w:r w:rsidRPr="00930B46">
              <w:rPr>
                <w:rFonts w:cstheme="minorHAnsi"/>
                <w:sz w:val="20"/>
                <w:lang w:eastAsia="sk-SK"/>
              </w:rPr>
              <w:t> </w:t>
            </w:r>
          </w:p>
        </w:tc>
        <w:tc>
          <w:tcPr>
            <w:tcW w:w="1074" w:type="dxa"/>
            <w:vMerge/>
            <w:tcBorders>
              <w:top w:val="single" w:sz="4" w:space="0" w:color="auto"/>
              <w:left w:val="single" w:sz="4" w:space="0" w:color="auto"/>
              <w:bottom w:val="double" w:sz="6" w:space="0" w:color="000000"/>
              <w:right w:val="single" w:sz="4" w:space="0" w:color="auto"/>
            </w:tcBorders>
            <w:vAlign w:val="center"/>
          </w:tcPr>
          <w:p w14:paraId="55A23BB6" w14:textId="77777777" w:rsidR="00930B46" w:rsidRPr="00930B46" w:rsidRDefault="00930B46" w:rsidP="00931169">
            <w:pPr>
              <w:rPr>
                <w:rFonts w:cstheme="minorHAnsi"/>
                <w:sz w:val="20"/>
                <w:lang w:eastAsia="sk-SK"/>
              </w:rPr>
            </w:pPr>
          </w:p>
        </w:tc>
        <w:tc>
          <w:tcPr>
            <w:tcW w:w="766" w:type="dxa"/>
            <w:tcBorders>
              <w:top w:val="nil"/>
              <w:left w:val="nil"/>
              <w:bottom w:val="double" w:sz="6" w:space="0" w:color="auto"/>
              <w:right w:val="single" w:sz="4" w:space="0" w:color="auto"/>
            </w:tcBorders>
            <w:shd w:val="clear" w:color="auto" w:fill="auto"/>
            <w:noWrap/>
            <w:vAlign w:val="bottom"/>
          </w:tcPr>
          <w:p w14:paraId="4BD9977F" w14:textId="40CA3385" w:rsidR="00930B46" w:rsidRPr="00930B46" w:rsidRDefault="00930B46" w:rsidP="00931169">
            <w:pPr>
              <w:rPr>
                <w:rFonts w:cstheme="minorHAnsi"/>
                <w:sz w:val="20"/>
                <w:lang w:eastAsia="sk-SK"/>
              </w:rPr>
            </w:pPr>
            <w:r w:rsidRPr="00930B46">
              <w:rPr>
                <w:rFonts w:cstheme="minorHAnsi"/>
                <w:sz w:val="20"/>
                <w:lang w:eastAsia="sk-SK"/>
              </w:rPr>
              <w:t>T</w:t>
            </w:r>
            <w:r w:rsidR="00C42EE6">
              <w:rPr>
                <w:rFonts w:cstheme="minorHAnsi"/>
                <w:sz w:val="20"/>
                <w:lang w:eastAsia="sk-SK"/>
              </w:rPr>
              <w:t>arif.</w:t>
            </w:r>
            <w:r w:rsidRPr="00930B46">
              <w:rPr>
                <w:rFonts w:cstheme="minorHAnsi"/>
                <w:sz w:val="20"/>
                <w:lang w:eastAsia="sk-SK"/>
              </w:rPr>
              <w:t>B</w:t>
            </w:r>
            <w:r w:rsidR="00C42EE6">
              <w:rPr>
                <w:rFonts w:cstheme="minorHAnsi"/>
                <w:sz w:val="20"/>
                <w:lang w:eastAsia="sk-SK"/>
              </w:rPr>
              <w:t>od</w:t>
            </w:r>
          </w:p>
        </w:tc>
        <w:tc>
          <w:tcPr>
            <w:tcW w:w="974" w:type="dxa"/>
            <w:tcBorders>
              <w:top w:val="nil"/>
              <w:left w:val="nil"/>
              <w:bottom w:val="double" w:sz="6" w:space="0" w:color="auto"/>
              <w:right w:val="single" w:sz="4" w:space="0" w:color="auto"/>
            </w:tcBorders>
            <w:shd w:val="clear" w:color="auto" w:fill="auto"/>
            <w:noWrap/>
            <w:vAlign w:val="bottom"/>
          </w:tcPr>
          <w:p w14:paraId="7595CFEE" w14:textId="068A896A" w:rsidR="00930B46" w:rsidRPr="00930B46" w:rsidRDefault="00C42EE6" w:rsidP="00931169">
            <w:pPr>
              <w:rPr>
                <w:rFonts w:cstheme="minorHAnsi"/>
                <w:sz w:val="20"/>
                <w:lang w:eastAsia="sk-SK"/>
              </w:rPr>
            </w:pPr>
            <w:r>
              <w:rPr>
                <w:rFonts w:cstheme="minorHAnsi"/>
                <w:sz w:val="20"/>
                <w:lang w:eastAsia="sk-SK"/>
              </w:rPr>
              <w:t>D</w:t>
            </w:r>
            <w:r w:rsidR="00930B46" w:rsidRPr="00930B46">
              <w:rPr>
                <w:rFonts w:cstheme="minorHAnsi"/>
                <w:sz w:val="20"/>
                <w:lang w:eastAsia="sk-SK"/>
              </w:rPr>
              <w:t>opravňa</w:t>
            </w:r>
          </w:p>
        </w:tc>
      </w:tr>
      <w:tr w:rsidR="00930B46" w:rsidRPr="00930B46" w14:paraId="61025B1B" w14:textId="77777777" w:rsidTr="00154415">
        <w:trPr>
          <w:trHeight w:hRule="exact" w:val="270"/>
        </w:trPr>
        <w:tc>
          <w:tcPr>
            <w:tcW w:w="2120" w:type="dxa"/>
            <w:tcBorders>
              <w:top w:val="nil"/>
              <w:left w:val="single" w:sz="4" w:space="0" w:color="auto"/>
              <w:bottom w:val="single" w:sz="4" w:space="0" w:color="auto"/>
              <w:right w:val="single" w:sz="4" w:space="0" w:color="auto"/>
            </w:tcBorders>
            <w:shd w:val="clear" w:color="auto" w:fill="auto"/>
            <w:noWrap/>
            <w:vAlign w:val="center"/>
          </w:tcPr>
          <w:p w14:paraId="11072594" w14:textId="77777777" w:rsidR="00930B46" w:rsidRPr="00930B46" w:rsidRDefault="00930B46" w:rsidP="00931169">
            <w:pPr>
              <w:rPr>
                <w:rFonts w:cstheme="minorHAnsi"/>
                <w:sz w:val="20"/>
                <w:lang w:eastAsia="sk-SK"/>
              </w:rPr>
            </w:pPr>
            <w:r w:rsidRPr="00930B46">
              <w:rPr>
                <w:rFonts w:cstheme="minorHAnsi"/>
                <w:sz w:val="20"/>
                <w:lang w:eastAsia="sk-SK"/>
              </w:rPr>
              <w:t>Krásno nad Kysucou</w:t>
            </w:r>
          </w:p>
        </w:tc>
        <w:tc>
          <w:tcPr>
            <w:tcW w:w="1074" w:type="dxa"/>
            <w:tcBorders>
              <w:top w:val="nil"/>
              <w:left w:val="nil"/>
              <w:bottom w:val="single" w:sz="4" w:space="0" w:color="auto"/>
              <w:right w:val="single" w:sz="4" w:space="0" w:color="auto"/>
            </w:tcBorders>
            <w:shd w:val="clear" w:color="auto" w:fill="auto"/>
            <w:noWrap/>
            <w:vAlign w:val="center"/>
          </w:tcPr>
          <w:p w14:paraId="5A395FA7" w14:textId="77777777" w:rsidR="00930B46" w:rsidRPr="00930B46" w:rsidRDefault="00930B46" w:rsidP="00931169">
            <w:pPr>
              <w:rPr>
                <w:rFonts w:cstheme="minorHAnsi"/>
                <w:sz w:val="20"/>
                <w:lang w:eastAsia="sk-SK"/>
              </w:rPr>
            </w:pPr>
            <w:r w:rsidRPr="00930B46">
              <w:rPr>
                <w:rFonts w:cstheme="minorHAnsi"/>
                <w:sz w:val="20"/>
                <w:lang w:eastAsia="sk-SK"/>
              </w:rPr>
              <w:t>269,1</w:t>
            </w:r>
          </w:p>
        </w:tc>
        <w:tc>
          <w:tcPr>
            <w:tcW w:w="766" w:type="dxa"/>
            <w:vMerge w:val="restart"/>
            <w:tcBorders>
              <w:top w:val="nil"/>
              <w:left w:val="single" w:sz="4" w:space="0" w:color="auto"/>
              <w:bottom w:val="single" w:sz="4" w:space="0" w:color="auto"/>
              <w:right w:val="single" w:sz="4" w:space="0" w:color="auto"/>
            </w:tcBorders>
            <w:shd w:val="clear" w:color="auto" w:fill="auto"/>
            <w:noWrap/>
            <w:vAlign w:val="center"/>
          </w:tcPr>
          <w:p w14:paraId="66176F0B" w14:textId="77777777" w:rsidR="00930B46" w:rsidRPr="00930B46" w:rsidRDefault="00930B46" w:rsidP="00931169">
            <w:pPr>
              <w:rPr>
                <w:rFonts w:cstheme="minorHAnsi"/>
                <w:sz w:val="20"/>
                <w:lang w:eastAsia="sk-SK"/>
              </w:rPr>
            </w:pPr>
            <w:r w:rsidRPr="00930B46">
              <w:rPr>
                <w:rFonts w:cstheme="minorHAnsi"/>
                <w:sz w:val="20"/>
                <w:lang w:eastAsia="sk-SK"/>
              </w:rPr>
              <w:t>4,6</w:t>
            </w:r>
          </w:p>
        </w:tc>
        <w:tc>
          <w:tcPr>
            <w:tcW w:w="974" w:type="dxa"/>
            <w:vMerge w:val="restart"/>
            <w:tcBorders>
              <w:top w:val="nil"/>
              <w:left w:val="single" w:sz="4" w:space="0" w:color="auto"/>
              <w:bottom w:val="single" w:sz="4" w:space="0" w:color="auto"/>
              <w:right w:val="single" w:sz="4" w:space="0" w:color="auto"/>
            </w:tcBorders>
            <w:shd w:val="clear" w:color="auto" w:fill="auto"/>
            <w:noWrap/>
            <w:vAlign w:val="center"/>
          </w:tcPr>
          <w:p w14:paraId="2C0BEFFC" w14:textId="77777777" w:rsidR="00930B46" w:rsidRPr="00930B46" w:rsidRDefault="00930B46" w:rsidP="00931169">
            <w:pPr>
              <w:rPr>
                <w:rFonts w:cstheme="minorHAnsi"/>
                <w:sz w:val="20"/>
                <w:lang w:eastAsia="sk-SK"/>
              </w:rPr>
            </w:pPr>
            <w:r w:rsidRPr="00930B46">
              <w:rPr>
                <w:rFonts w:cstheme="minorHAnsi"/>
                <w:sz w:val="20"/>
                <w:lang w:eastAsia="sk-SK"/>
              </w:rPr>
              <w:t>10,7</w:t>
            </w:r>
          </w:p>
        </w:tc>
      </w:tr>
      <w:tr w:rsidR="00930B46" w:rsidRPr="00930B46" w14:paraId="2BFE7B3B" w14:textId="77777777" w:rsidTr="00154415">
        <w:trPr>
          <w:trHeight w:val="244"/>
        </w:trPr>
        <w:tc>
          <w:tcPr>
            <w:tcW w:w="2120" w:type="dxa"/>
            <w:vMerge w:val="restart"/>
            <w:tcBorders>
              <w:top w:val="nil"/>
              <w:left w:val="single" w:sz="4" w:space="0" w:color="auto"/>
              <w:bottom w:val="single" w:sz="4" w:space="0" w:color="auto"/>
              <w:right w:val="single" w:sz="4" w:space="0" w:color="auto"/>
            </w:tcBorders>
            <w:shd w:val="clear" w:color="auto" w:fill="auto"/>
            <w:noWrap/>
            <w:vAlign w:val="center"/>
          </w:tcPr>
          <w:p w14:paraId="326DFC5E" w14:textId="77777777" w:rsidR="00930B46" w:rsidRPr="00930B46" w:rsidRDefault="00930B46" w:rsidP="00931169">
            <w:pPr>
              <w:rPr>
                <w:rFonts w:cstheme="minorHAnsi"/>
                <w:sz w:val="20"/>
                <w:lang w:eastAsia="sk-SK"/>
              </w:rPr>
            </w:pPr>
            <w:r w:rsidRPr="00930B46">
              <w:rPr>
                <w:rFonts w:cstheme="minorHAnsi"/>
                <w:sz w:val="20"/>
                <w:lang w:eastAsia="sk-SK"/>
              </w:rPr>
              <w:t>Osčadnica z</w:t>
            </w:r>
          </w:p>
        </w:tc>
        <w:tc>
          <w:tcPr>
            <w:tcW w:w="1074" w:type="dxa"/>
            <w:vMerge w:val="restart"/>
            <w:tcBorders>
              <w:top w:val="nil"/>
              <w:left w:val="single" w:sz="4" w:space="0" w:color="auto"/>
              <w:bottom w:val="single" w:sz="4" w:space="0" w:color="auto"/>
              <w:right w:val="single" w:sz="4" w:space="0" w:color="auto"/>
            </w:tcBorders>
            <w:shd w:val="clear" w:color="auto" w:fill="auto"/>
            <w:noWrap/>
            <w:vAlign w:val="center"/>
          </w:tcPr>
          <w:p w14:paraId="407768A8" w14:textId="77777777" w:rsidR="00930B46" w:rsidRPr="00930B46" w:rsidRDefault="00930B46" w:rsidP="00931169">
            <w:pPr>
              <w:rPr>
                <w:rFonts w:cstheme="minorHAnsi"/>
                <w:sz w:val="20"/>
                <w:lang w:eastAsia="sk-SK"/>
              </w:rPr>
            </w:pPr>
            <w:r w:rsidRPr="00930B46">
              <w:rPr>
                <w:rFonts w:cstheme="minorHAnsi"/>
                <w:sz w:val="20"/>
                <w:lang w:eastAsia="sk-SK"/>
              </w:rPr>
              <w:t>273,7</w:t>
            </w:r>
          </w:p>
        </w:tc>
        <w:tc>
          <w:tcPr>
            <w:tcW w:w="766" w:type="dxa"/>
            <w:vMerge/>
            <w:tcBorders>
              <w:top w:val="nil"/>
              <w:left w:val="single" w:sz="4" w:space="0" w:color="auto"/>
              <w:bottom w:val="single" w:sz="4" w:space="0" w:color="auto"/>
              <w:right w:val="single" w:sz="4" w:space="0" w:color="auto"/>
            </w:tcBorders>
            <w:vAlign w:val="center"/>
          </w:tcPr>
          <w:p w14:paraId="3FF6CBF3" w14:textId="77777777" w:rsidR="00930B46" w:rsidRPr="00930B46" w:rsidRDefault="00930B46" w:rsidP="00931169">
            <w:pPr>
              <w:rPr>
                <w:rFonts w:cstheme="minorHAnsi"/>
                <w:sz w:val="20"/>
                <w:lang w:eastAsia="sk-SK"/>
              </w:rPr>
            </w:pPr>
          </w:p>
        </w:tc>
        <w:tc>
          <w:tcPr>
            <w:tcW w:w="974" w:type="dxa"/>
            <w:vMerge/>
            <w:tcBorders>
              <w:top w:val="nil"/>
              <w:left w:val="single" w:sz="4" w:space="0" w:color="auto"/>
              <w:bottom w:val="single" w:sz="4" w:space="0" w:color="auto"/>
              <w:right w:val="single" w:sz="4" w:space="0" w:color="auto"/>
            </w:tcBorders>
            <w:vAlign w:val="center"/>
          </w:tcPr>
          <w:p w14:paraId="79FAF7B9" w14:textId="77777777" w:rsidR="00930B46" w:rsidRPr="00930B46" w:rsidRDefault="00930B46" w:rsidP="00931169">
            <w:pPr>
              <w:rPr>
                <w:rFonts w:cstheme="minorHAnsi"/>
                <w:sz w:val="20"/>
                <w:lang w:eastAsia="sk-SK"/>
              </w:rPr>
            </w:pPr>
          </w:p>
        </w:tc>
      </w:tr>
      <w:tr w:rsidR="00930B46" w:rsidRPr="00930B46" w14:paraId="07644D71" w14:textId="77777777" w:rsidTr="00154415">
        <w:trPr>
          <w:trHeight w:val="244"/>
        </w:trPr>
        <w:tc>
          <w:tcPr>
            <w:tcW w:w="2120" w:type="dxa"/>
            <w:vMerge/>
            <w:tcBorders>
              <w:top w:val="nil"/>
              <w:left w:val="single" w:sz="4" w:space="0" w:color="auto"/>
              <w:bottom w:val="single" w:sz="4" w:space="0" w:color="auto"/>
              <w:right w:val="single" w:sz="4" w:space="0" w:color="auto"/>
            </w:tcBorders>
            <w:vAlign w:val="center"/>
          </w:tcPr>
          <w:p w14:paraId="5CCA4632" w14:textId="77777777" w:rsidR="00930B46" w:rsidRPr="00930B46" w:rsidRDefault="00930B46" w:rsidP="00931169">
            <w:pPr>
              <w:rPr>
                <w:rFonts w:cstheme="minorHAnsi"/>
                <w:sz w:val="20"/>
                <w:lang w:eastAsia="sk-SK"/>
              </w:rPr>
            </w:pPr>
          </w:p>
        </w:tc>
        <w:tc>
          <w:tcPr>
            <w:tcW w:w="1074" w:type="dxa"/>
            <w:vMerge/>
            <w:tcBorders>
              <w:top w:val="nil"/>
              <w:left w:val="single" w:sz="4" w:space="0" w:color="auto"/>
              <w:bottom w:val="single" w:sz="4" w:space="0" w:color="auto"/>
              <w:right w:val="single" w:sz="4" w:space="0" w:color="auto"/>
            </w:tcBorders>
            <w:vAlign w:val="center"/>
          </w:tcPr>
          <w:p w14:paraId="56F3DC1B" w14:textId="77777777" w:rsidR="00930B46" w:rsidRPr="00930B46" w:rsidRDefault="00930B46" w:rsidP="00931169">
            <w:pPr>
              <w:rPr>
                <w:rFonts w:cstheme="minorHAnsi"/>
                <w:sz w:val="20"/>
                <w:lang w:eastAsia="sk-SK"/>
              </w:rPr>
            </w:pPr>
          </w:p>
        </w:tc>
        <w:tc>
          <w:tcPr>
            <w:tcW w:w="766" w:type="dxa"/>
            <w:vMerge w:val="restart"/>
            <w:tcBorders>
              <w:top w:val="nil"/>
              <w:left w:val="single" w:sz="4" w:space="0" w:color="auto"/>
              <w:bottom w:val="single" w:sz="4" w:space="0" w:color="auto"/>
              <w:right w:val="single" w:sz="4" w:space="0" w:color="auto"/>
            </w:tcBorders>
            <w:shd w:val="clear" w:color="auto" w:fill="auto"/>
            <w:noWrap/>
            <w:vAlign w:val="center"/>
          </w:tcPr>
          <w:p w14:paraId="644FDFE2" w14:textId="77777777" w:rsidR="00930B46" w:rsidRPr="00930B46" w:rsidRDefault="00930B46" w:rsidP="00931169">
            <w:pPr>
              <w:rPr>
                <w:rFonts w:cstheme="minorHAnsi"/>
                <w:sz w:val="20"/>
                <w:lang w:eastAsia="sk-SK"/>
              </w:rPr>
            </w:pPr>
            <w:r w:rsidRPr="00930B46">
              <w:rPr>
                <w:rFonts w:cstheme="minorHAnsi"/>
                <w:sz w:val="20"/>
                <w:lang w:eastAsia="sk-SK"/>
              </w:rPr>
              <w:t>5,0</w:t>
            </w:r>
          </w:p>
        </w:tc>
        <w:tc>
          <w:tcPr>
            <w:tcW w:w="974" w:type="dxa"/>
            <w:vMerge/>
            <w:tcBorders>
              <w:top w:val="nil"/>
              <w:left w:val="single" w:sz="4" w:space="0" w:color="auto"/>
              <w:bottom w:val="single" w:sz="4" w:space="0" w:color="auto"/>
              <w:right w:val="single" w:sz="4" w:space="0" w:color="auto"/>
            </w:tcBorders>
            <w:vAlign w:val="center"/>
          </w:tcPr>
          <w:p w14:paraId="674CC667" w14:textId="77777777" w:rsidR="00930B46" w:rsidRPr="00930B46" w:rsidRDefault="00930B46" w:rsidP="00931169">
            <w:pPr>
              <w:rPr>
                <w:rFonts w:cstheme="minorHAnsi"/>
                <w:sz w:val="20"/>
                <w:lang w:eastAsia="sk-SK"/>
              </w:rPr>
            </w:pPr>
          </w:p>
        </w:tc>
      </w:tr>
      <w:tr w:rsidR="00930B46" w:rsidRPr="00930B46" w14:paraId="54D0F169" w14:textId="77777777" w:rsidTr="00154415">
        <w:trPr>
          <w:trHeight w:val="244"/>
        </w:trPr>
        <w:tc>
          <w:tcPr>
            <w:tcW w:w="2120" w:type="dxa"/>
            <w:vMerge w:val="restart"/>
            <w:tcBorders>
              <w:top w:val="nil"/>
              <w:left w:val="single" w:sz="4" w:space="0" w:color="auto"/>
              <w:bottom w:val="single" w:sz="4" w:space="0" w:color="auto"/>
              <w:right w:val="single" w:sz="4" w:space="0" w:color="auto"/>
            </w:tcBorders>
            <w:shd w:val="clear" w:color="auto" w:fill="auto"/>
            <w:noWrap/>
            <w:vAlign w:val="center"/>
          </w:tcPr>
          <w:p w14:paraId="2DFB8A5F" w14:textId="77777777" w:rsidR="00930B46" w:rsidRPr="00930B46" w:rsidRDefault="00930B46" w:rsidP="00931169">
            <w:pPr>
              <w:rPr>
                <w:rFonts w:cstheme="minorHAnsi"/>
                <w:sz w:val="20"/>
                <w:lang w:eastAsia="sk-SK"/>
              </w:rPr>
            </w:pPr>
            <w:r w:rsidRPr="00930B46">
              <w:rPr>
                <w:rFonts w:cstheme="minorHAnsi"/>
                <w:sz w:val="20"/>
                <w:lang w:eastAsia="sk-SK"/>
              </w:rPr>
              <w:t>Čadca – mesto z</w:t>
            </w:r>
          </w:p>
        </w:tc>
        <w:tc>
          <w:tcPr>
            <w:tcW w:w="1074" w:type="dxa"/>
            <w:vMerge w:val="restart"/>
            <w:tcBorders>
              <w:top w:val="nil"/>
              <w:left w:val="single" w:sz="4" w:space="0" w:color="auto"/>
              <w:bottom w:val="single" w:sz="4" w:space="0" w:color="auto"/>
              <w:right w:val="single" w:sz="4" w:space="0" w:color="auto"/>
            </w:tcBorders>
            <w:shd w:val="clear" w:color="auto" w:fill="auto"/>
            <w:noWrap/>
            <w:vAlign w:val="center"/>
          </w:tcPr>
          <w:p w14:paraId="25F81955" w14:textId="77777777" w:rsidR="00930B46" w:rsidRPr="00930B46" w:rsidRDefault="00930B46" w:rsidP="00931169">
            <w:pPr>
              <w:rPr>
                <w:rFonts w:cstheme="minorHAnsi"/>
                <w:sz w:val="20"/>
                <w:lang w:eastAsia="sk-SK"/>
              </w:rPr>
            </w:pPr>
            <w:r w:rsidRPr="00930B46">
              <w:rPr>
                <w:rFonts w:cstheme="minorHAnsi"/>
                <w:sz w:val="20"/>
                <w:lang w:eastAsia="sk-SK"/>
              </w:rPr>
              <w:t>278,7</w:t>
            </w:r>
          </w:p>
        </w:tc>
        <w:tc>
          <w:tcPr>
            <w:tcW w:w="766" w:type="dxa"/>
            <w:vMerge/>
            <w:tcBorders>
              <w:top w:val="nil"/>
              <w:left w:val="single" w:sz="4" w:space="0" w:color="auto"/>
              <w:bottom w:val="single" w:sz="4" w:space="0" w:color="auto"/>
              <w:right w:val="single" w:sz="4" w:space="0" w:color="auto"/>
            </w:tcBorders>
            <w:vAlign w:val="center"/>
          </w:tcPr>
          <w:p w14:paraId="39F09BE9" w14:textId="77777777" w:rsidR="00930B46" w:rsidRPr="00930B46" w:rsidRDefault="00930B46" w:rsidP="00931169">
            <w:pPr>
              <w:rPr>
                <w:rFonts w:cstheme="minorHAnsi"/>
                <w:sz w:val="20"/>
                <w:lang w:eastAsia="sk-SK"/>
              </w:rPr>
            </w:pPr>
          </w:p>
        </w:tc>
        <w:tc>
          <w:tcPr>
            <w:tcW w:w="974" w:type="dxa"/>
            <w:vMerge/>
            <w:tcBorders>
              <w:top w:val="nil"/>
              <w:left w:val="single" w:sz="4" w:space="0" w:color="auto"/>
              <w:bottom w:val="single" w:sz="4" w:space="0" w:color="auto"/>
              <w:right w:val="single" w:sz="4" w:space="0" w:color="auto"/>
            </w:tcBorders>
            <w:vAlign w:val="center"/>
          </w:tcPr>
          <w:p w14:paraId="5E99FECD" w14:textId="77777777" w:rsidR="00930B46" w:rsidRPr="00930B46" w:rsidRDefault="00930B46" w:rsidP="00931169">
            <w:pPr>
              <w:rPr>
                <w:rFonts w:cstheme="minorHAnsi"/>
                <w:sz w:val="20"/>
                <w:lang w:eastAsia="sk-SK"/>
              </w:rPr>
            </w:pPr>
          </w:p>
        </w:tc>
      </w:tr>
      <w:tr w:rsidR="00930B46" w:rsidRPr="00930B46" w14:paraId="55C084BA" w14:textId="77777777" w:rsidTr="00154415">
        <w:trPr>
          <w:trHeight w:val="244"/>
        </w:trPr>
        <w:tc>
          <w:tcPr>
            <w:tcW w:w="2120" w:type="dxa"/>
            <w:vMerge/>
            <w:tcBorders>
              <w:top w:val="nil"/>
              <w:left w:val="single" w:sz="4" w:space="0" w:color="auto"/>
              <w:bottom w:val="single" w:sz="4" w:space="0" w:color="auto"/>
              <w:right w:val="single" w:sz="4" w:space="0" w:color="auto"/>
            </w:tcBorders>
            <w:vAlign w:val="center"/>
          </w:tcPr>
          <w:p w14:paraId="6ECA3B68" w14:textId="77777777" w:rsidR="00930B46" w:rsidRPr="00930B46" w:rsidRDefault="00930B46" w:rsidP="00931169">
            <w:pPr>
              <w:rPr>
                <w:rFonts w:cstheme="minorHAnsi"/>
                <w:sz w:val="20"/>
                <w:lang w:eastAsia="sk-SK"/>
              </w:rPr>
            </w:pPr>
          </w:p>
        </w:tc>
        <w:tc>
          <w:tcPr>
            <w:tcW w:w="1074" w:type="dxa"/>
            <w:vMerge/>
            <w:tcBorders>
              <w:top w:val="nil"/>
              <w:left w:val="single" w:sz="4" w:space="0" w:color="auto"/>
              <w:bottom w:val="single" w:sz="4" w:space="0" w:color="auto"/>
              <w:right w:val="single" w:sz="4" w:space="0" w:color="auto"/>
            </w:tcBorders>
            <w:vAlign w:val="center"/>
          </w:tcPr>
          <w:p w14:paraId="5F56050F" w14:textId="77777777" w:rsidR="00930B46" w:rsidRPr="00930B46" w:rsidRDefault="00930B46" w:rsidP="00931169">
            <w:pPr>
              <w:rPr>
                <w:rFonts w:cstheme="minorHAnsi"/>
                <w:sz w:val="20"/>
                <w:lang w:eastAsia="sk-SK"/>
              </w:rPr>
            </w:pPr>
          </w:p>
        </w:tc>
        <w:tc>
          <w:tcPr>
            <w:tcW w:w="766" w:type="dxa"/>
            <w:vMerge w:val="restart"/>
            <w:tcBorders>
              <w:top w:val="nil"/>
              <w:left w:val="single" w:sz="4" w:space="0" w:color="auto"/>
              <w:bottom w:val="single" w:sz="4" w:space="0" w:color="auto"/>
              <w:right w:val="single" w:sz="4" w:space="0" w:color="auto"/>
            </w:tcBorders>
            <w:shd w:val="clear" w:color="auto" w:fill="auto"/>
            <w:noWrap/>
            <w:vAlign w:val="center"/>
          </w:tcPr>
          <w:p w14:paraId="020CE918" w14:textId="77777777" w:rsidR="00930B46" w:rsidRPr="00930B46" w:rsidRDefault="00930B46" w:rsidP="00931169">
            <w:pPr>
              <w:rPr>
                <w:rFonts w:cstheme="minorHAnsi"/>
                <w:sz w:val="20"/>
                <w:lang w:eastAsia="sk-SK"/>
              </w:rPr>
            </w:pPr>
            <w:r w:rsidRPr="00930B46">
              <w:rPr>
                <w:rFonts w:cstheme="minorHAnsi"/>
                <w:sz w:val="20"/>
                <w:lang w:eastAsia="sk-SK"/>
              </w:rPr>
              <w:t>1,1</w:t>
            </w:r>
          </w:p>
        </w:tc>
        <w:tc>
          <w:tcPr>
            <w:tcW w:w="974" w:type="dxa"/>
            <w:vMerge/>
            <w:tcBorders>
              <w:top w:val="nil"/>
              <w:left w:val="single" w:sz="4" w:space="0" w:color="auto"/>
              <w:bottom w:val="single" w:sz="4" w:space="0" w:color="auto"/>
              <w:right w:val="single" w:sz="4" w:space="0" w:color="auto"/>
            </w:tcBorders>
            <w:vAlign w:val="center"/>
          </w:tcPr>
          <w:p w14:paraId="4456ECA0" w14:textId="77777777" w:rsidR="00930B46" w:rsidRPr="00930B46" w:rsidRDefault="00930B46" w:rsidP="00931169">
            <w:pPr>
              <w:rPr>
                <w:rFonts w:cstheme="minorHAnsi"/>
                <w:sz w:val="20"/>
                <w:lang w:eastAsia="sk-SK"/>
              </w:rPr>
            </w:pPr>
          </w:p>
        </w:tc>
      </w:tr>
      <w:tr w:rsidR="00930B46" w:rsidRPr="00930B46" w14:paraId="423692EF" w14:textId="77777777" w:rsidTr="00154415">
        <w:trPr>
          <w:trHeight w:val="244"/>
        </w:trPr>
        <w:tc>
          <w:tcPr>
            <w:tcW w:w="2120" w:type="dxa"/>
            <w:vMerge w:val="restart"/>
            <w:tcBorders>
              <w:top w:val="nil"/>
              <w:left w:val="single" w:sz="4" w:space="0" w:color="auto"/>
              <w:bottom w:val="single" w:sz="4" w:space="0" w:color="auto"/>
              <w:right w:val="single" w:sz="4" w:space="0" w:color="auto"/>
            </w:tcBorders>
            <w:shd w:val="clear" w:color="auto" w:fill="auto"/>
            <w:noWrap/>
            <w:vAlign w:val="center"/>
          </w:tcPr>
          <w:p w14:paraId="55B0B2CE" w14:textId="77777777" w:rsidR="00930B46" w:rsidRPr="00930B46" w:rsidRDefault="00930B46" w:rsidP="00931169">
            <w:pPr>
              <w:rPr>
                <w:rFonts w:cstheme="minorHAnsi"/>
                <w:sz w:val="20"/>
                <w:lang w:eastAsia="sk-SK"/>
              </w:rPr>
            </w:pPr>
            <w:r w:rsidRPr="00930B46">
              <w:rPr>
                <w:rFonts w:cstheme="minorHAnsi"/>
                <w:sz w:val="20"/>
                <w:lang w:eastAsia="sk-SK"/>
              </w:rPr>
              <w:t>Čadca</w:t>
            </w:r>
          </w:p>
        </w:tc>
        <w:tc>
          <w:tcPr>
            <w:tcW w:w="1074" w:type="dxa"/>
            <w:vMerge w:val="restart"/>
            <w:tcBorders>
              <w:top w:val="nil"/>
              <w:left w:val="single" w:sz="4" w:space="0" w:color="auto"/>
              <w:bottom w:val="single" w:sz="4" w:space="0" w:color="auto"/>
              <w:right w:val="single" w:sz="4" w:space="0" w:color="auto"/>
            </w:tcBorders>
            <w:shd w:val="clear" w:color="auto" w:fill="auto"/>
            <w:noWrap/>
            <w:vAlign w:val="center"/>
          </w:tcPr>
          <w:p w14:paraId="76C85D80" w14:textId="77777777" w:rsidR="00930B46" w:rsidRPr="00930B46" w:rsidRDefault="00930B46" w:rsidP="00931169">
            <w:pPr>
              <w:rPr>
                <w:rFonts w:cstheme="minorHAnsi"/>
                <w:sz w:val="20"/>
                <w:lang w:eastAsia="sk-SK"/>
              </w:rPr>
            </w:pPr>
            <w:r w:rsidRPr="00930B46">
              <w:rPr>
                <w:rFonts w:cstheme="minorHAnsi"/>
                <w:sz w:val="20"/>
                <w:lang w:eastAsia="sk-SK"/>
              </w:rPr>
              <w:t>279,8</w:t>
            </w:r>
          </w:p>
        </w:tc>
        <w:tc>
          <w:tcPr>
            <w:tcW w:w="766" w:type="dxa"/>
            <w:vMerge/>
            <w:tcBorders>
              <w:top w:val="nil"/>
              <w:left w:val="single" w:sz="4" w:space="0" w:color="auto"/>
              <w:bottom w:val="single" w:sz="4" w:space="0" w:color="auto"/>
              <w:right w:val="single" w:sz="4" w:space="0" w:color="auto"/>
            </w:tcBorders>
            <w:vAlign w:val="center"/>
          </w:tcPr>
          <w:p w14:paraId="7FB80170" w14:textId="77777777" w:rsidR="00930B46" w:rsidRPr="00930B46" w:rsidRDefault="00930B46" w:rsidP="00931169">
            <w:pPr>
              <w:rPr>
                <w:rFonts w:cstheme="minorHAnsi"/>
                <w:sz w:val="20"/>
                <w:lang w:eastAsia="sk-SK"/>
              </w:rPr>
            </w:pPr>
          </w:p>
        </w:tc>
        <w:tc>
          <w:tcPr>
            <w:tcW w:w="974" w:type="dxa"/>
            <w:vMerge/>
            <w:tcBorders>
              <w:top w:val="nil"/>
              <w:left w:val="single" w:sz="4" w:space="0" w:color="auto"/>
              <w:bottom w:val="single" w:sz="4" w:space="0" w:color="auto"/>
              <w:right w:val="single" w:sz="4" w:space="0" w:color="auto"/>
            </w:tcBorders>
            <w:vAlign w:val="center"/>
          </w:tcPr>
          <w:p w14:paraId="511C3553" w14:textId="77777777" w:rsidR="00930B46" w:rsidRPr="00930B46" w:rsidRDefault="00930B46" w:rsidP="00931169">
            <w:pPr>
              <w:rPr>
                <w:rFonts w:cstheme="minorHAnsi"/>
                <w:sz w:val="20"/>
                <w:lang w:eastAsia="sk-SK"/>
              </w:rPr>
            </w:pPr>
          </w:p>
        </w:tc>
      </w:tr>
      <w:tr w:rsidR="00930B46" w:rsidRPr="00930B46" w14:paraId="28E8DE3D" w14:textId="77777777" w:rsidTr="00154415">
        <w:trPr>
          <w:trHeight w:val="244"/>
        </w:trPr>
        <w:tc>
          <w:tcPr>
            <w:tcW w:w="2120" w:type="dxa"/>
            <w:vMerge/>
            <w:tcBorders>
              <w:top w:val="nil"/>
              <w:left w:val="single" w:sz="4" w:space="0" w:color="auto"/>
              <w:bottom w:val="single" w:sz="4" w:space="0" w:color="auto"/>
              <w:right w:val="single" w:sz="4" w:space="0" w:color="auto"/>
            </w:tcBorders>
            <w:vAlign w:val="center"/>
          </w:tcPr>
          <w:p w14:paraId="42AFB63D" w14:textId="77777777" w:rsidR="00930B46" w:rsidRPr="00930B46" w:rsidRDefault="00930B46" w:rsidP="00931169">
            <w:pPr>
              <w:rPr>
                <w:rFonts w:cstheme="minorHAnsi"/>
                <w:sz w:val="20"/>
                <w:lang w:eastAsia="sk-SK"/>
              </w:rPr>
            </w:pPr>
          </w:p>
        </w:tc>
        <w:tc>
          <w:tcPr>
            <w:tcW w:w="1074" w:type="dxa"/>
            <w:vMerge/>
            <w:tcBorders>
              <w:top w:val="nil"/>
              <w:left w:val="single" w:sz="4" w:space="0" w:color="auto"/>
              <w:bottom w:val="single" w:sz="4" w:space="0" w:color="auto"/>
              <w:right w:val="single" w:sz="4" w:space="0" w:color="auto"/>
            </w:tcBorders>
            <w:vAlign w:val="center"/>
          </w:tcPr>
          <w:p w14:paraId="69EF0CB6" w14:textId="77777777" w:rsidR="00930B46" w:rsidRPr="00930B46" w:rsidRDefault="00930B46" w:rsidP="00931169">
            <w:pPr>
              <w:rPr>
                <w:rFonts w:cstheme="minorHAnsi"/>
                <w:sz w:val="20"/>
                <w:lang w:eastAsia="sk-SK"/>
              </w:rPr>
            </w:pPr>
          </w:p>
        </w:tc>
        <w:tc>
          <w:tcPr>
            <w:tcW w:w="766" w:type="dxa"/>
            <w:vMerge w:val="restart"/>
            <w:tcBorders>
              <w:top w:val="nil"/>
              <w:left w:val="single" w:sz="4" w:space="0" w:color="auto"/>
              <w:bottom w:val="single" w:sz="4" w:space="0" w:color="auto"/>
              <w:right w:val="single" w:sz="4" w:space="0" w:color="auto"/>
            </w:tcBorders>
            <w:shd w:val="clear" w:color="auto" w:fill="auto"/>
            <w:noWrap/>
            <w:vAlign w:val="center"/>
          </w:tcPr>
          <w:p w14:paraId="12C7980F" w14:textId="77777777" w:rsidR="00930B46" w:rsidRPr="00930B46" w:rsidRDefault="00930B46" w:rsidP="00931169">
            <w:pPr>
              <w:rPr>
                <w:rFonts w:cstheme="minorHAnsi"/>
                <w:sz w:val="20"/>
                <w:lang w:eastAsia="sk-SK"/>
              </w:rPr>
            </w:pPr>
            <w:r w:rsidRPr="00930B46">
              <w:rPr>
                <w:rFonts w:cstheme="minorHAnsi"/>
                <w:sz w:val="20"/>
                <w:lang w:eastAsia="sk-SK"/>
              </w:rPr>
              <w:t>4,3</w:t>
            </w:r>
          </w:p>
        </w:tc>
        <w:tc>
          <w:tcPr>
            <w:tcW w:w="974" w:type="dxa"/>
            <w:vMerge w:val="restart"/>
            <w:tcBorders>
              <w:top w:val="nil"/>
              <w:left w:val="single" w:sz="4" w:space="0" w:color="auto"/>
              <w:bottom w:val="single" w:sz="4" w:space="0" w:color="auto"/>
              <w:right w:val="single" w:sz="4" w:space="0" w:color="auto"/>
            </w:tcBorders>
            <w:shd w:val="clear" w:color="auto" w:fill="auto"/>
            <w:noWrap/>
            <w:vAlign w:val="center"/>
          </w:tcPr>
          <w:p w14:paraId="0E21272F" w14:textId="77777777" w:rsidR="00930B46" w:rsidRPr="00930B46" w:rsidRDefault="00930B46" w:rsidP="00931169">
            <w:pPr>
              <w:rPr>
                <w:rFonts w:cstheme="minorHAnsi"/>
                <w:sz w:val="20"/>
                <w:lang w:eastAsia="sk-SK"/>
              </w:rPr>
            </w:pPr>
            <w:r w:rsidRPr="00930B46">
              <w:rPr>
                <w:rFonts w:cstheme="minorHAnsi"/>
                <w:sz w:val="20"/>
                <w:lang w:eastAsia="sk-SK"/>
              </w:rPr>
              <w:t>6,7</w:t>
            </w:r>
          </w:p>
        </w:tc>
      </w:tr>
      <w:tr w:rsidR="00930B46" w:rsidRPr="00930B46" w14:paraId="1F0441AB" w14:textId="77777777" w:rsidTr="00154415">
        <w:trPr>
          <w:trHeight w:val="244"/>
        </w:trPr>
        <w:tc>
          <w:tcPr>
            <w:tcW w:w="2120" w:type="dxa"/>
            <w:vMerge w:val="restart"/>
            <w:tcBorders>
              <w:top w:val="nil"/>
              <w:left w:val="single" w:sz="4" w:space="0" w:color="auto"/>
              <w:bottom w:val="single" w:sz="4" w:space="0" w:color="auto"/>
              <w:right w:val="single" w:sz="4" w:space="0" w:color="auto"/>
            </w:tcBorders>
            <w:shd w:val="clear" w:color="auto" w:fill="auto"/>
            <w:noWrap/>
            <w:vAlign w:val="center"/>
          </w:tcPr>
          <w:p w14:paraId="08A28B6D" w14:textId="77777777" w:rsidR="00930B46" w:rsidRPr="00930B46" w:rsidRDefault="00930B46" w:rsidP="00931169">
            <w:pPr>
              <w:rPr>
                <w:rFonts w:cstheme="minorHAnsi"/>
                <w:sz w:val="20"/>
                <w:lang w:eastAsia="sk-SK"/>
              </w:rPr>
            </w:pPr>
            <w:r w:rsidRPr="00930B46">
              <w:rPr>
                <w:rFonts w:cstheme="minorHAnsi"/>
                <w:sz w:val="20"/>
                <w:lang w:eastAsia="sk-SK"/>
              </w:rPr>
              <w:t>Svrčinovec zastávka z</w:t>
            </w:r>
          </w:p>
        </w:tc>
        <w:tc>
          <w:tcPr>
            <w:tcW w:w="1074" w:type="dxa"/>
            <w:vMerge w:val="restart"/>
            <w:tcBorders>
              <w:top w:val="nil"/>
              <w:left w:val="single" w:sz="4" w:space="0" w:color="auto"/>
              <w:bottom w:val="single" w:sz="4" w:space="0" w:color="auto"/>
              <w:right w:val="single" w:sz="4" w:space="0" w:color="auto"/>
            </w:tcBorders>
            <w:shd w:val="clear" w:color="auto" w:fill="auto"/>
            <w:noWrap/>
            <w:vAlign w:val="center"/>
          </w:tcPr>
          <w:p w14:paraId="5ECB9017" w14:textId="77777777" w:rsidR="00930B46" w:rsidRPr="00930B46" w:rsidRDefault="00930B46" w:rsidP="00931169">
            <w:pPr>
              <w:rPr>
                <w:rFonts w:cstheme="minorHAnsi"/>
                <w:sz w:val="20"/>
                <w:lang w:eastAsia="sk-SK"/>
              </w:rPr>
            </w:pPr>
            <w:r w:rsidRPr="00930B46">
              <w:rPr>
                <w:rFonts w:cstheme="minorHAnsi"/>
                <w:sz w:val="20"/>
                <w:lang w:eastAsia="sk-SK"/>
              </w:rPr>
              <w:t>284,1</w:t>
            </w:r>
          </w:p>
        </w:tc>
        <w:tc>
          <w:tcPr>
            <w:tcW w:w="766" w:type="dxa"/>
            <w:vMerge/>
            <w:tcBorders>
              <w:top w:val="nil"/>
              <w:left w:val="single" w:sz="4" w:space="0" w:color="auto"/>
              <w:bottom w:val="single" w:sz="4" w:space="0" w:color="auto"/>
              <w:right w:val="single" w:sz="4" w:space="0" w:color="auto"/>
            </w:tcBorders>
            <w:vAlign w:val="center"/>
          </w:tcPr>
          <w:p w14:paraId="4263A4BD" w14:textId="77777777" w:rsidR="00930B46" w:rsidRPr="00930B46" w:rsidRDefault="00930B46" w:rsidP="00931169">
            <w:pPr>
              <w:rPr>
                <w:rFonts w:cstheme="minorHAnsi"/>
                <w:sz w:val="20"/>
                <w:lang w:eastAsia="sk-SK"/>
              </w:rPr>
            </w:pPr>
          </w:p>
        </w:tc>
        <w:tc>
          <w:tcPr>
            <w:tcW w:w="974" w:type="dxa"/>
            <w:vMerge/>
            <w:tcBorders>
              <w:top w:val="nil"/>
              <w:left w:val="single" w:sz="4" w:space="0" w:color="auto"/>
              <w:bottom w:val="single" w:sz="4" w:space="0" w:color="auto"/>
              <w:right w:val="single" w:sz="4" w:space="0" w:color="auto"/>
            </w:tcBorders>
            <w:vAlign w:val="center"/>
          </w:tcPr>
          <w:p w14:paraId="03B3AD19" w14:textId="77777777" w:rsidR="00930B46" w:rsidRPr="00930B46" w:rsidRDefault="00930B46" w:rsidP="00931169">
            <w:pPr>
              <w:rPr>
                <w:rFonts w:cstheme="minorHAnsi"/>
                <w:sz w:val="20"/>
                <w:lang w:eastAsia="sk-SK"/>
              </w:rPr>
            </w:pPr>
          </w:p>
        </w:tc>
      </w:tr>
      <w:tr w:rsidR="00930B46" w:rsidRPr="00930B46" w14:paraId="1303A8E5" w14:textId="77777777" w:rsidTr="00154415">
        <w:trPr>
          <w:trHeight w:val="244"/>
        </w:trPr>
        <w:tc>
          <w:tcPr>
            <w:tcW w:w="2120" w:type="dxa"/>
            <w:vMerge/>
            <w:tcBorders>
              <w:top w:val="nil"/>
              <w:left w:val="single" w:sz="4" w:space="0" w:color="auto"/>
              <w:bottom w:val="single" w:sz="4" w:space="0" w:color="auto"/>
              <w:right w:val="single" w:sz="4" w:space="0" w:color="auto"/>
            </w:tcBorders>
            <w:vAlign w:val="center"/>
          </w:tcPr>
          <w:p w14:paraId="01580FB2" w14:textId="77777777" w:rsidR="00930B46" w:rsidRPr="00930B46" w:rsidRDefault="00930B46" w:rsidP="00931169">
            <w:pPr>
              <w:rPr>
                <w:rFonts w:cstheme="minorHAnsi"/>
                <w:sz w:val="20"/>
                <w:lang w:eastAsia="sk-SK"/>
              </w:rPr>
            </w:pPr>
          </w:p>
        </w:tc>
        <w:tc>
          <w:tcPr>
            <w:tcW w:w="1074" w:type="dxa"/>
            <w:vMerge/>
            <w:tcBorders>
              <w:top w:val="nil"/>
              <w:left w:val="single" w:sz="4" w:space="0" w:color="auto"/>
              <w:bottom w:val="single" w:sz="4" w:space="0" w:color="auto"/>
              <w:right w:val="single" w:sz="4" w:space="0" w:color="auto"/>
            </w:tcBorders>
            <w:vAlign w:val="center"/>
          </w:tcPr>
          <w:p w14:paraId="2A5ED996" w14:textId="77777777" w:rsidR="00930B46" w:rsidRPr="00930B46" w:rsidRDefault="00930B46" w:rsidP="00931169">
            <w:pPr>
              <w:rPr>
                <w:rFonts w:cstheme="minorHAnsi"/>
                <w:sz w:val="20"/>
                <w:lang w:eastAsia="sk-SK"/>
              </w:rPr>
            </w:pPr>
          </w:p>
        </w:tc>
        <w:tc>
          <w:tcPr>
            <w:tcW w:w="766" w:type="dxa"/>
            <w:vMerge w:val="restart"/>
            <w:tcBorders>
              <w:top w:val="nil"/>
              <w:left w:val="single" w:sz="4" w:space="0" w:color="auto"/>
              <w:bottom w:val="single" w:sz="4" w:space="0" w:color="auto"/>
              <w:right w:val="single" w:sz="4" w:space="0" w:color="auto"/>
            </w:tcBorders>
            <w:shd w:val="clear" w:color="auto" w:fill="auto"/>
            <w:noWrap/>
            <w:vAlign w:val="center"/>
          </w:tcPr>
          <w:p w14:paraId="13CE12A2" w14:textId="77777777" w:rsidR="00930B46" w:rsidRPr="00930B46" w:rsidRDefault="00930B46" w:rsidP="00931169">
            <w:pPr>
              <w:rPr>
                <w:rFonts w:cstheme="minorHAnsi"/>
                <w:sz w:val="20"/>
                <w:lang w:eastAsia="sk-SK"/>
              </w:rPr>
            </w:pPr>
            <w:r w:rsidRPr="00930B46">
              <w:rPr>
                <w:rFonts w:cstheme="minorHAnsi"/>
                <w:sz w:val="20"/>
                <w:lang w:eastAsia="sk-SK"/>
              </w:rPr>
              <w:t>2,4</w:t>
            </w:r>
          </w:p>
        </w:tc>
        <w:tc>
          <w:tcPr>
            <w:tcW w:w="974" w:type="dxa"/>
            <w:vMerge/>
            <w:tcBorders>
              <w:top w:val="nil"/>
              <w:left w:val="single" w:sz="4" w:space="0" w:color="auto"/>
              <w:bottom w:val="single" w:sz="4" w:space="0" w:color="auto"/>
              <w:right w:val="single" w:sz="4" w:space="0" w:color="auto"/>
            </w:tcBorders>
            <w:vAlign w:val="center"/>
          </w:tcPr>
          <w:p w14:paraId="63AD863C" w14:textId="77777777" w:rsidR="00930B46" w:rsidRPr="00930B46" w:rsidRDefault="00930B46" w:rsidP="00931169">
            <w:pPr>
              <w:rPr>
                <w:rFonts w:cstheme="minorHAnsi"/>
                <w:sz w:val="20"/>
                <w:lang w:eastAsia="sk-SK"/>
              </w:rPr>
            </w:pPr>
          </w:p>
        </w:tc>
      </w:tr>
      <w:tr w:rsidR="00930B46" w:rsidRPr="00930B46" w14:paraId="522DECB4" w14:textId="77777777" w:rsidTr="00154415">
        <w:trPr>
          <w:trHeight w:val="285"/>
        </w:trPr>
        <w:tc>
          <w:tcPr>
            <w:tcW w:w="2120" w:type="dxa"/>
            <w:tcBorders>
              <w:top w:val="nil"/>
              <w:left w:val="single" w:sz="4" w:space="0" w:color="auto"/>
              <w:bottom w:val="single" w:sz="4" w:space="0" w:color="auto"/>
              <w:right w:val="single" w:sz="4" w:space="0" w:color="auto"/>
            </w:tcBorders>
            <w:shd w:val="clear" w:color="auto" w:fill="auto"/>
            <w:noWrap/>
            <w:vAlign w:val="center"/>
          </w:tcPr>
          <w:p w14:paraId="0E730301" w14:textId="77777777" w:rsidR="00930B46" w:rsidRPr="00930B46" w:rsidRDefault="00930B46" w:rsidP="00931169">
            <w:pPr>
              <w:rPr>
                <w:rFonts w:cstheme="minorHAnsi"/>
                <w:sz w:val="20"/>
                <w:lang w:eastAsia="sk-SK"/>
              </w:rPr>
            </w:pPr>
            <w:r w:rsidRPr="00930B46">
              <w:rPr>
                <w:rFonts w:cstheme="minorHAnsi"/>
                <w:sz w:val="20"/>
                <w:lang w:eastAsia="sk-SK"/>
              </w:rPr>
              <w:t>Čadca št.hr.</w:t>
            </w:r>
          </w:p>
        </w:tc>
        <w:tc>
          <w:tcPr>
            <w:tcW w:w="1074" w:type="dxa"/>
            <w:tcBorders>
              <w:top w:val="nil"/>
              <w:left w:val="nil"/>
              <w:bottom w:val="single" w:sz="4" w:space="0" w:color="auto"/>
              <w:right w:val="single" w:sz="4" w:space="0" w:color="auto"/>
            </w:tcBorders>
            <w:shd w:val="clear" w:color="auto" w:fill="auto"/>
            <w:noWrap/>
            <w:vAlign w:val="center"/>
          </w:tcPr>
          <w:p w14:paraId="6D46FE79" w14:textId="77777777" w:rsidR="00930B46" w:rsidRPr="00930B46" w:rsidRDefault="00930B46" w:rsidP="00931169">
            <w:pPr>
              <w:rPr>
                <w:rFonts w:cstheme="minorHAnsi"/>
                <w:sz w:val="20"/>
                <w:lang w:eastAsia="sk-SK"/>
              </w:rPr>
            </w:pPr>
            <w:r w:rsidRPr="00930B46">
              <w:rPr>
                <w:rFonts w:cstheme="minorHAnsi"/>
                <w:sz w:val="20"/>
                <w:lang w:eastAsia="sk-SK"/>
              </w:rPr>
              <w:t>286,5</w:t>
            </w:r>
          </w:p>
        </w:tc>
        <w:tc>
          <w:tcPr>
            <w:tcW w:w="766" w:type="dxa"/>
            <w:vMerge/>
            <w:tcBorders>
              <w:top w:val="nil"/>
              <w:left w:val="single" w:sz="4" w:space="0" w:color="auto"/>
              <w:bottom w:val="single" w:sz="4" w:space="0" w:color="auto"/>
              <w:right w:val="single" w:sz="4" w:space="0" w:color="auto"/>
            </w:tcBorders>
            <w:vAlign w:val="center"/>
          </w:tcPr>
          <w:p w14:paraId="579D623D" w14:textId="77777777" w:rsidR="00930B46" w:rsidRPr="00930B46" w:rsidRDefault="00930B46" w:rsidP="00931169">
            <w:pPr>
              <w:rPr>
                <w:rFonts w:cstheme="minorHAnsi"/>
                <w:sz w:val="20"/>
                <w:lang w:eastAsia="sk-SK"/>
              </w:rPr>
            </w:pPr>
          </w:p>
        </w:tc>
        <w:tc>
          <w:tcPr>
            <w:tcW w:w="974" w:type="dxa"/>
            <w:vMerge/>
            <w:tcBorders>
              <w:top w:val="nil"/>
              <w:left w:val="single" w:sz="4" w:space="0" w:color="auto"/>
              <w:bottom w:val="single" w:sz="4" w:space="0" w:color="auto"/>
              <w:right w:val="single" w:sz="4" w:space="0" w:color="auto"/>
            </w:tcBorders>
            <w:vAlign w:val="center"/>
          </w:tcPr>
          <w:p w14:paraId="4BCEA8C8" w14:textId="77777777" w:rsidR="00930B46" w:rsidRPr="00930B46" w:rsidRDefault="00930B46" w:rsidP="00931169">
            <w:pPr>
              <w:rPr>
                <w:rFonts w:cstheme="minorHAnsi"/>
                <w:sz w:val="20"/>
                <w:lang w:eastAsia="sk-SK"/>
              </w:rPr>
            </w:pPr>
          </w:p>
        </w:tc>
      </w:tr>
    </w:tbl>
    <w:p w14:paraId="577B8B21" w14:textId="39DE4F54" w:rsidR="00930B46" w:rsidRPr="00930B46" w:rsidRDefault="00930B46" w:rsidP="00931169">
      <w:pPr>
        <w:autoSpaceDE w:val="0"/>
        <w:autoSpaceDN w:val="0"/>
        <w:adjustRightInd w:val="0"/>
        <w:ind w:firstLine="708"/>
        <w:rPr>
          <w:rFonts w:cstheme="minorHAnsi"/>
          <w:szCs w:val="24"/>
        </w:rPr>
      </w:pPr>
    </w:p>
    <w:p w14:paraId="70E9617B" w14:textId="77777777" w:rsidR="00930B46" w:rsidRPr="00930B46" w:rsidRDefault="00930B46" w:rsidP="00931169">
      <w:pPr>
        <w:ind w:firstLine="708"/>
        <w:rPr>
          <w:rFonts w:cstheme="minorHAnsi"/>
        </w:rPr>
      </w:pPr>
      <w:r w:rsidRPr="00930B46">
        <w:rPr>
          <w:rFonts w:cstheme="minorHAnsi"/>
        </w:rPr>
        <w:t>Medzistaničné úseky Krásno nad Kysucou – Čadca a Čadca – Mosty u Jablunkova sú vybavené traťovým zabezpečovacím zariadením 3. kategórie – obojsmerným automatickým blokom. Medzistaničný úsek Čadca - Čierne pri Čadci - Skalité je vybavený traťovým zabezpečovacím zariadením 3. kategórie – automatickým diaľkovo ovládaným traťovým zabezpečovacím zariadením. Prevádzka na trati je pravostranná.</w:t>
      </w:r>
    </w:p>
    <w:p w14:paraId="70E7EABB" w14:textId="14469642" w:rsidR="00930B46" w:rsidRPr="00930B46" w:rsidRDefault="00930B46" w:rsidP="00931169">
      <w:pPr>
        <w:ind w:firstLine="708"/>
        <w:rPr>
          <w:rFonts w:cstheme="minorHAnsi"/>
        </w:rPr>
      </w:pPr>
      <w:r w:rsidRPr="00930B46">
        <w:rPr>
          <w:rFonts w:cstheme="minorHAnsi"/>
        </w:rPr>
        <w:t>Najvyššia traťová rýchlosť v úseku je 100 km/hod, s miestnymi obmedzeniami na 2.koľaji na 80 až 60 km/hod, 40 km/h</w:t>
      </w:r>
      <w:r w:rsidR="00FD2842">
        <w:rPr>
          <w:rFonts w:cstheme="minorHAnsi"/>
        </w:rPr>
        <w:t>od</w:t>
      </w:r>
      <w:r w:rsidRPr="00930B46">
        <w:rPr>
          <w:rFonts w:cstheme="minorHAnsi"/>
        </w:rPr>
        <w:t xml:space="preserve"> v km 286,380 až 286,420 (žel. spodok), 40 km/h</w:t>
      </w:r>
      <w:r w:rsidR="00FD2842">
        <w:rPr>
          <w:rFonts w:cstheme="minorHAnsi"/>
        </w:rPr>
        <w:t>od</w:t>
      </w:r>
      <w:r w:rsidRPr="00930B46">
        <w:rPr>
          <w:rFonts w:cstheme="minorHAnsi"/>
        </w:rPr>
        <w:t xml:space="preserve"> pre HDV skupiny prechodnosti 3 v km 273,142, na 1.koľaji na 80 až 60 km/h</w:t>
      </w:r>
      <w:r w:rsidR="00FD2842">
        <w:rPr>
          <w:rFonts w:cstheme="minorHAnsi"/>
        </w:rPr>
        <w:t>od</w:t>
      </w:r>
      <w:r w:rsidRPr="00930B46">
        <w:rPr>
          <w:rFonts w:cstheme="minorHAnsi"/>
        </w:rPr>
        <w:t>, 40 km/h</w:t>
      </w:r>
      <w:r w:rsidR="00FD2842">
        <w:rPr>
          <w:rFonts w:cstheme="minorHAnsi"/>
        </w:rPr>
        <w:t xml:space="preserve">od </w:t>
      </w:r>
      <w:r w:rsidRPr="00930B46">
        <w:rPr>
          <w:rFonts w:cstheme="minorHAnsi"/>
        </w:rPr>
        <w:t>v km 279,004 (prechodnica).</w:t>
      </w:r>
    </w:p>
    <w:p w14:paraId="0C25055E" w14:textId="77777777" w:rsidR="00930B46" w:rsidRPr="00930B46" w:rsidRDefault="00930B46" w:rsidP="00931169">
      <w:pPr>
        <w:rPr>
          <w:rFonts w:cstheme="minorHAnsi"/>
        </w:rPr>
      </w:pPr>
      <w:r w:rsidRPr="00930B46">
        <w:rPr>
          <w:rFonts w:cstheme="minorHAnsi"/>
        </w:rPr>
        <w:tab/>
        <w:t>Kategória zaťaženia trate v celom úseku je D4. Prechodový prierez B / 1-SM. Maximálne rozhodné stúpanie (pre párny smer) a rozhodný spád (pre nepárny smer) je 4 ‰ v úseku Krásno – Čadca a 16‰ v úseku Čadca – Štátna hranica SR/ČR. Normatív dĺžky nákladných vlakov je 700 m.</w:t>
      </w:r>
    </w:p>
    <w:p w14:paraId="2B431A49" w14:textId="792684F6" w:rsidR="0051218F" w:rsidRPr="00930B46" w:rsidRDefault="0051218F" w:rsidP="00931169">
      <w:pPr>
        <w:pStyle w:val="Nadpis2"/>
        <w:rPr>
          <w:rFonts w:cstheme="minorHAnsi"/>
        </w:rPr>
      </w:pPr>
      <w:bookmarkStart w:id="10" w:name="_Toc358745736"/>
      <w:bookmarkStart w:id="11" w:name="_Toc401996448"/>
      <w:bookmarkStart w:id="12" w:name="_Toc402009473"/>
      <w:bookmarkStart w:id="13" w:name="_Toc402010531"/>
      <w:bookmarkStart w:id="14" w:name="_Toc15669879"/>
      <w:bookmarkStart w:id="15" w:name="_Toc16745192"/>
      <w:bookmarkStart w:id="16" w:name="_Toc16750086"/>
      <w:bookmarkStart w:id="17" w:name="_Toc88652911"/>
      <w:r w:rsidRPr="00930B46">
        <w:rPr>
          <w:rFonts w:cstheme="minorHAnsi"/>
        </w:rPr>
        <w:t>2.1</w:t>
      </w:r>
      <w:r w:rsidRPr="00930B46">
        <w:rPr>
          <w:rFonts w:cstheme="minorHAnsi"/>
        </w:rPr>
        <w:tab/>
        <w:t xml:space="preserve">Traťový </w:t>
      </w:r>
      <w:r w:rsidR="004A3FBC">
        <w:rPr>
          <w:rFonts w:cstheme="minorHAnsi"/>
        </w:rPr>
        <w:t xml:space="preserve">úsek </w:t>
      </w:r>
      <w:r w:rsidRPr="00930B46">
        <w:rPr>
          <w:rFonts w:cstheme="minorHAnsi"/>
        </w:rPr>
        <w:t>Krásno nad Kysucou – Čadca</w:t>
      </w:r>
      <w:bookmarkEnd w:id="10"/>
      <w:bookmarkEnd w:id="11"/>
      <w:bookmarkEnd w:id="12"/>
      <w:bookmarkEnd w:id="13"/>
      <w:bookmarkEnd w:id="14"/>
      <w:bookmarkEnd w:id="15"/>
      <w:bookmarkEnd w:id="16"/>
      <w:bookmarkEnd w:id="17"/>
    </w:p>
    <w:p w14:paraId="485436AA" w14:textId="77777777" w:rsidR="0051218F" w:rsidRPr="00930B46" w:rsidRDefault="0051218F" w:rsidP="00931169">
      <w:pPr>
        <w:ind w:firstLine="709"/>
        <w:rPr>
          <w:rFonts w:cstheme="minorHAnsi"/>
          <w:szCs w:val="24"/>
        </w:rPr>
      </w:pPr>
      <w:r w:rsidRPr="00930B46">
        <w:rPr>
          <w:rFonts w:cstheme="minorHAnsi"/>
          <w:szCs w:val="24"/>
          <w:u w:val="single"/>
        </w:rPr>
        <w:t>Traťový úsek Krásno nad Kysucou - Čadca</w:t>
      </w:r>
      <w:r w:rsidRPr="00930B46">
        <w:rPr>
          <w:rFonts w:cstheme="minorHAnsi"/>
          <w:szCs w:val="24"/>
        </w:rPr>
        <w:t xml:space="preserve"> sa nachádza na dvojkoľajnej elektrifikovanej trati č. 106D Žilina – Čadca – Mosty u Jablunkova ČD.</w:t>
      </w:r>
    </w:p>
    <w:p w14:paraId="61C1F0EC" w14:textId="350F5E4D" w:rsidR="0051218F" w:rsidRDefault="0051218F" w:rsidP="00931169">
      <w:pPr>
        <w:ind w:firstLine="709"/>
        <w:rPr>
          <w:rFonts w:cstheme="minorHAnsi"/>
          <w:color w:val="000000"/>
          <w:szCs w:val="24"/>
        </w:rPr>
      </w:pPr>
      <w:r w:rsidRPr="00930B46">
        <w:rPr>
          <w:rFonts w:cstheme="minorHAnsi"/>
          <w:szCs w:val="24"/>
        </w:rPr>
        <w:t xml:space="preserve">Začiatok riešeného úseku sa nachádza pri vchodovom návestidle v smere od Čadce v </w:t>
      </w:r>
      <w:r w:rsidRPr="00930B46">
        <w:rPr>
          <w:rFonts w:cstheme="minorHAnsi"/>
          <w:color w:val="000000"/>
          <w:szCs w:val="24"/>
        </w:rPr>
        <w:t xml:space="preserve">sžkm </w:t>
      </w:r>
      <w:r w:rsidRPr="00930B46">
        <w:rPr>
          <w:rFonts w:cstheme="minorHAnsi"/>
          <w:szCs w:val="24"/>
        </w:rPr>
        <w:t xml:space="preserve">269,978 </w:t>
      </w:r>
      <w:r w:rsidRPr="00930B46">
        <w:rPr>
          <w:rFonts w:cstheme="minorHAnsi"/>
          <w:color w:val="000000"/>
          <w:szCs w:val="24"/>
        </w:rPr>
        <w:t xml:space="preserve">a končí v sžkm </w:t>
      </w:r>
      <w:r w:rsidRPr="00930B46">
        <w:rPr>
          <w:rFonts w:cstheme="minorHAnsi"/>
          <w:szCs w:val="24"/>
        </w:rPr>
        <w:t>278,030</w:t>
      </w:r>
      <w:r w:rsidRPr="00930B46">
        <w:rPr>
          <w:rFonts w:cstheme="minorHAnsi"/>
          <w:color w:val="000000"/>
          <w:szCs w:val="24"/>
        </w:rPr>
        <w:t xml:space="preserve">. Celková dĺžka úseku, vrátane abnormálnych hektometrov je </w:t>
      </w:r>
      <w:r w:rsidRPr="00930B46">
        <w:rPr>
          <w:rFonts w:cstheme="minorHAnsi"/>
          <w:szCs w:val="24"/>
        </w:rPr>
        <w:t>7954</w:t>
      </w:r>
      <w:r w:rsidRPr="00930B46">
        <w:rPr>
          <w:rFonts w:cstheme="minorHAnsi"/>
          <w:color w:val="000000"/>
          <w:szCs w:val="24"/>
        </w:rPr>
        <w:t xml:space="preserve"> m. Traťový úsek je vedený členitým údolím rieky Kysuce po jej pravej strane, pričom križuje jej jestvujúce prítoky. Smerovo je trať tvorená jednoduchými resp. zloženými oblúkmi s min. polomerom 275 m.</w:t>
      </w:r>
      <w:r w:rsidRPr="00930B46">
        <w:rPr>
          <w:rFonts w:cstheme="minorHAnsi"/>
          <w:szCs w:val="24"/>
        </w:rPr>
        <w:t xml:space="preserve"> V úseku sa nachádza 14 smerových oblúkov a z toho je osem oblúkov zložených.</w:t>
      </w:r>
      <w:r w:rsidRPr="00930B46">
        <w:rPr>
          <w:rFonts w:cstheme="minorHAnsi"/>
          <w:color w:val="000000"/>
          <w:szCs w:val="24"/>
        </w:rPr>
        <w:t xml:space="preserve"> Traťový úsek v smere do Čadce stúpa sklonom 2,2-5,5‰. Osová vzdialenosť koľají je 4,1m.</w:t>
      </w:r>
    </w:p>
    <w:p w14:paraId="29A188B0" w14:textId="7EF6B99E" w:rsidR="00930B46" w:rsidRDefault="00930B46" w:rsidP="00931169">
      <w:pPr>
        <w:ind w:firstLine="709"/>
        <w:rPr>
          <w:rFonts w:cstheme="minorHAnsi"/>
          <w:color w:val="000000"/>
          <w:szCs w:val="24"/>
        </w:rPr>
      </w:pPr>
    </w:p>
    <w:p w14:paraId="5A3BE2F9" w14:textId="77777777" w:rsidR="00930B46" w:rsidRPr="00930B46" w:rsidRDefault="00930B46" w:rsidP="00931169">
      <w:pPr>
        <w:ind w:firstLine="709"/>
        <w:rPr>
          <w:rFonts w:cstheme="minorHAnsi"/>
          <w:szCs w:val="24"/>
        </w:rPr>
      </w:pPr>
    </w:p>
    <w:p w14:paraId="68446D6A" w14:textId="2040A254" w:rsidR="0051218F" w:rsidRPr="00930B46" w:rsidRDefault="0051218F" w:rsidP="00931169">
      <w:pPr>
        <w:keepNext/>
        <w:spacing w:before="120"/>
        <w:rPr>
          <w:rFonts w:cstheme="minorHAnsi"/>
          <w:b/>
          <w:bCs/>
          <w:i/>
          <w:iCs/>
          <w:szCs w:val="24"/>
        </w:rPr>
      </w:pPr>
      <w:r w:rsidRPr="00930B46">
        <w:rPr>
          <w:rFonts w:cstheme="minorHAnsi"/>
          <w:i/>
          <w:iCs/>
          <w:szCs w:val="24"/>
          <w:lang w:eastAsia="cs-CZ"/>
        </w:rPr>
        <w:t>Tab.</w:t>
      </w:r>
      <w:r w:rsidR="005940CA">
        <w:rPr>
          <w:rFonts w:cstheme="minorHAnsi"/>
          <w:i/>
          <w:iCs/>
          <w:szCs w:val="24"/>
          <w:lang w:eastAsia="cs-CZ"/>
        </w:rPr>
        <w:t>2:</w:t>
      </w:r>
      <w:r w:rsidRPr="00930B46">
        <w:rPr>
          <w:rFonts w:cstheme="minorHAnsi"/>
          <w:i/>
          <w:iCs/>
          <w:szCs w:val="24"/>
          <w:lang w:eastAsia="cs-CZ"/>
        </w:rPr>
        <w:t xml:space="preserve"> Smerové vedenie trate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82"/>
        <w:gridCol w:w="2116"/>
        <w:gridCol w:w="2108"/>
        <w:gridCol w:w="1828"/>
      </w:tblGrid>
      <w:tr w:rsidR="0051218F" w:rsidRPr="00930B46" w14:paraId="0B18EDEC" w14:textId="77777777" w:rsidTr="0051218F">
        <w:trPr>
          <w:trHeight w:val="492"/>
        </w:trPr>
        <w:tc>
          <w:tcPr>
            <w:tcW w:w="2926" w:type="dxa"/>
            <w:tcBorders>
              <w:top w:val="single" w:sz="12" w:space="0" w:color="auto"/>
              <w:left w:val="single" w:sz="12" w:space="0" w:color="auto"/>
              <w:bottom w:val="single" w:sz="12" w:space="0" w:color="auto"/>
            </w:tcBorders>
            <w:vAlign w:val="center"/>
          </w:tcPr>
          <w:p w14:paraId="242679FD"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ŽST., medzistaničný</w:t>
            </w:r>
          </w:p>
          <w:p w14:paraId="7322A9C3"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 xml:space="preserve"> úsek</w:t>
            </w:r>
          </w:p>
        </w:tc>
        <w:tc>
          <w:tcPr>
            <w:tcW w:w="2145" w:type="dxa"/>
            <w:tcBorders>
              <w:top w:val="single" w:sz="12" w:space="0" w:color="auto"/>
              <w:bottom w:val="single" w:sz="12" w:space="0" w:color="auto"/>
            </w:tcBorders>
            <w:vAlign w:val="center"/>
          </w:tcPr>
          <w:p w14:paraId="13D7894A"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Počet</w:t>
            </w:r>
          </w:p>
          <w:p w14:paraId="4EBAA1A4"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Smerových</w:t>
            </w:r>
          </w:p>
          <w:p w14:paraId="68D7EE89"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oblúkov</w:t>
            </w:r>
          </w:p>
        </w:tc>
        <w:tc>
          <w:tcPr>
            <w:tcW w:w="2146" w:type="dxa"/>
            <w:tcBorders>
              <w:top w:val="single" w:sz="12" w:space="0" w:color="auto"/>
              <w:bottom w:val="single" w:sz="12" w:space="0" w:color="auto"/>
            </w:tcBorders>
            <w:vAlign w:val="center"/>
          </w:tcPr>
          <w:p w14:paraId="3EE6F56E"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Polomer</w:t>
            </w:r>
          </w:p>
          <w:p w14:paraId="3D6259DF"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(m)</w:t>
            </w:r>
          </w:p>
        </w:tc>
        <w:tc>
          <w:tcPr>
            <w:tcW w:w="1855" w:type="dxa"/>
            <w:tcBorders>
              <w:top w:val="single" w:sz="12" w:space="0" w:color="auto"/>
              <w:bottom w:val="single" w:sz="12" w:space="0" w:color="auto"/>
              <w:right w:val="single" w:sz="12" w:space="0" w:color="auto"/>
            </w:tcBorders>
            <w:vAlign w:val="center"/>
          </w:tcPr>
          <w:p w14:paraId="011EA2D9"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Rýchlosť</w:t>
            </w:r>
          </w:p>
          <w:p w14:paraId="0F5A025A"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(km/h)</w:t>
            </w:r>
          </w:p>
        </w:tc>
      </w:tr>
      <w:tr w:rsidR="0051218F" w:rsidRPr="00930B46" w14:paraId="19DA7926" w14:textId="77777777" w:rsidTr="0051218F">
        <w:trPr>
          <w:trHeight w:val="246"/>
        </w:trPr>
        <w:tc>
          <w:tcPr>
            <w:tcW w:w="2926" w:type="dxa"/>
            <w:tcBorders>
              <w:top w:val="single" w:sz="12" w:space="0" w:color="auto"/>
              <w:left w:val="single" w:sz="12" w:space="0" w:color="auto"/>
              <w:bottom w:val="single" w:sz="12" w:space="0" w:color="auto"/>
            </w:tcBorders>
          </w:tcPr>
          <w:p w14:paraId="566C30B1"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Krásno n/K - Čadca</w:t>
            </w:r>
          </w:p>
        </w:tc>
        <w:tc>
          <w:tcPr>
            <w:tcW w:w="2145" w:type="dxa"/>
            <w:tcBorders>
              <w:top w:val="single" w:sz="12" w:space="0" w:color="auto"/>
              <w:bottom w:val="single" w:sz="12" w:space="0" w:color="auto"/>
            </w:tcBorders>
          </w:tcPr>
          <w:p w14:paraId="0F94D01B"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14</w:t>
            </w:r>
          </w:p>
        </w:tc>
        <w:tc>
          <w:tcPr>
            <w:tcW w:w="2146" w:type="dxa"/>
            <w:tcBorders>
              <w:top w:val="single" w:sz="12" w:space="0" w:color="auto"/>
              <w:bottom w:val="single" w:sz="12" w:space="0" w:color="auto"/>
            </w:tcBorders>
          </w:tcPr>
          <w:p w14:paraId="5B0056DA"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275 - 5000</w:t>
            </w:r>
          </w:p>
        </w:tc>
        <w:tc>
          <w:tcPr>
            <w:tcW w:w="1855" w:type="dxa"/>
            <w:tcBorders>
              <w:top w:val="single" w:sz="12" w:space="0" w:color="auto"/>
              <w:bottom w:val="single" w:sz="12" w:space="0" w:color="auto"/>
              <w:right w:val="single" w:sz="12" w:space="0" w:color="auto"/>
            </w:tcBorders>
          </w:tcPr>
          <w:p w14:paraId="3710C821"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 xml:space="preserve">70 </w:t>
            </w:r>
            <w:r w:rsidR="00387399" w:rsidRPr="00930B46">
              <w:rPr>
                <w:rFonts w:cstheme="minorHAnsi"/>
                <w:color w:val="231F20"/>
                <w:szCs w:val="24"/>
              </w:rPr>
              <w:t>–</w:t>
            </w:r>
            <w:r w:rsidRPr="00930B46">
              <w:rPr>
                <w:rFonts w:cstheme="minorHAnsi"/>
                <w:color w:val="231F20"/>
                <w:szCs w:val="24"/>
              </w:rPr>
              <w:t xml:space="preserve"> 90</w:t>
            </w:r>
          </w:p>
        </w:tc>
      </w:tr>
    </w:tbl>
    <w:p w14:paraId="6D667481" w14:textId="77777777" w:rsidR="00387399" w:rsidRPr="00930B46" w:rsidRDefault="00387399" w:rsidP="00931169">
      <w:pPr>
        <w:spacing w:before="120"/>
        <w:ind w:firstLine="708"/>
        <w:rPr>
          <w:rFonts w:cstheme="minorHAnsi"/>
          <w:szCs w:val="24"/>
          <w:lang w:eastAsia="cs-CZ"/>
        </w:rPr>
      </w:pPr>
      <w:r w:rsidRPr="00930B46">
        <w:rPr>
          <w:rFonts w:cstheme="minorHAnsi"/>
          <w:szCs w:val="24"/>
          <w:lang w:eastAsia="cs-CZ"/>
        </w:rPr>
        <w:t xml:space="preserve">Najvyššie traťová rýchlosť (používaná v prevádzke) je </w:t>
      </w:r>
      <w:r w:rsidRPr="00930B46">
        <w:rPr>
          <w:rFonts w:cstheme="minorHAnsi"/>
          <w:b/>
          <w:bCs/>
          <w:szCs w:val="24"/>
          <w:lang w:eastAsia="cs-CZ"/>
        </w:rPr>
        <w:t>80 km/hod</w:t>
      </w:r>
      <w:r w:rsidRPr="00930B46">
        <w:rPr>
          <w:rFonts w:cstheme="minorHAnsi"/>
          <w:szCs w:val="24"/>
          <w:lang w:eastAsia="cs-CZ"/>
        </w:rPr>
        <w:t xml:space="preserve">. </w:t>
      </w:r>
      <w:r w:rsidR="0051218F" w:rsidRPr="00930B46">
        <w:rPr>
          <w:rFonts w:cstheme="minorHAnsi"/>
          <w:szCs w:val="24"/>
          <w:lang w:eastAsia="cs-CZ"/>
        </w:rPr>
        <w:t>Stavebné rýchlosti trate sú obmedzené obmedzeniami rýchlosti na</w:t>
      </w:r>
      <w:r w:rsidRPr="00930B46">
        <w:rPr>
          <w:rFonts w:cstheme="minorHAnsi"/>
          <w:szCs w:val="24"/>
          <w:lang w:eastAsia="cs-CZ"/>
        </w:rPr>
        <w:t>:</w:t>
      </w:r>
    </w:p>
    <w:p w14:paraId="0E906091" w14:textId="0B55B595" w:rsidR="00387399" w:rsidRPr="00930B46" w:rsidRDefault="00387399" w:rsidP="00931169">
      <w:pPr>
        <w:spacing w:before="120"/>
        <w:ind w:firstLine="708"/>
        <w:rPr>
          <w:rFonts w:cstheme="minorHAnsi"/>
          <w:szCs w:val="24"/>
          <w:lang w:eastAsia="cs-CZ"/>
        </w:rPr>
      </w:pPr>
      <w:r w:rsidRPr="00930B46">
        <w:rPr>
          <w:rFonts w:cstheme="minorHAnsi"/>
          <w:szCs w:val="24"/>
          <w:lang w:eastAsia="cs-CZ"/>
        </w:rPr>
        <w:t>-</w:t>
      </w:r>
      <w:r w:rsidR="004A3FBC">
        <w:rPr>
          <w:rFonts w:cstheme="minorHAnsi"/>
          <w:szCs w:val="24"/>
          <w:lang w:eastAsia="cs-CZ"/>
        </w:rPr>
        <w:t xml:space="preserve"> na</w:t>
      </w:r>
      <w:r w:rsidR="0051218F" w:rsidRPr="00930B46">
        <w:rPr>
          <w:rFonts w:cstheme="minorHAnsi"/>
          <w:szCs w:val="24"/>
          <w:lang w:eastAsia="cs-CZ"/>
        </w:rPr>
        <w:t xml:space="preserve"> </w:t>
      </w:r>
      <w:r w:rsidR="0051218F" w:rsidRPr="00930B46">
        <w:rPr>
          <w:rFonts w:cstheme="minorHAnsi"/>
          <w:b/>
          <w:bCs/>
          <w:szCs w:val="24"/>
          <w:lang w:eastAsia="cs-CZ"/>
        </w:rPr>
        <w:t>V=70</w:t>
      </w:r>
      <w:r w:rsidR="004A3FBC">
        <w:rPr>
          <w:rFonts w:cstheme="minorHAnsi"/>
          <w:b/>
          <w:bCs/>
          <w:szCs w:val="24"/>
          <w:lang w:eastAsia="cs-CZ"/>
        </w:rPr>
        <w:t xml:space="preserve"> km/hod</w:t>
      </w:r>
      <w:r w:rsidR="0051218F" w:rsidRPr="00930B46">
        <w:rPr>
          <w:rFonts w:cstheme="minorHAnsi"/>
          <w:szCs w:val="24"/>
          <w:lang w:eastAsia="cs-CZ"/>
        </w:rPr>
        <w:t xml:space="preserve"> v dĺžke 4,7 km a na </w:t>
      </w:r>
      <w:r w:rsidR="0051218F" w:rsidRPr="00930B46">
        <w:rPr>
          <w:rFonts w:cstheme="minorHAnsi"/>
          <w:b/>
          <w:bCs/>
          <w:szCs w:val="24"/>
          <w:lang w:eastAsia="cs-CZ"/>
        </w:rPr>
        <w:t>V=40</w:t>
      </w:r>
      <w:r w:rsidR="004A3FBC">
        <w:rPr>
          <w:rFonts w:cstheme="minorHAnsi"/>
          <w:b/>
          <w:bCs/>
          <w:szCs w:val="24"/>
          <w:lang w:eastAsia="cs-CZ"/>
        </w:rPr>
        <w:t xml:space="preserve"> km/hod</w:t>
      </w:r>
      <w:r w:rsidR="0051218F" w:rsidRPr="00930B46">
        <w:rPr>
          <w:rFonts w:cstheme="minorHAnsi"/>
          <w:szCs w:val="24"/>
          <w:lang w:eastAsia="cs-CZ"/>
        </w:rPr>
        <w:t xml:space="preserve"> v rovnakej dĺžke 4,7 km (!)</w:t>
      </w:r>
      <w:r w:rsidRPr="00930B46">
        <w:rPr>
          <w:rFonts w:cstheme="minorHAnsi"/>
          <w:szCs w:val="24"/>
          <w:lang w:eastAsia="cs-CZ"/>
        </w:rPr>
        <w:t xml:space="preserve"> (celý úsek Oščadnica-Horelica)</w:t>
      </w:r>
      <w:r w:rsidR="0051218F" w:rsidRPr="00930B46">
        <w:rPr>
          <w:rFonts w:cstheme="minorHAnsi"/>
          <w:szCs w:val="24"/>
          <w:lang w:eastAsia="cs-CZ"/>
        </w:rPr>
        <w:t xml:space="preserve"> pre vlaky prechodnosti 3 (ťažké vlaky)</w:t>
      </w:r>
      <w:r w:rsidRPr="00930B46">
        <w:rPr>
          <w:rFonts w:cstheme="minorHAnsi"/>
          <w:szCs w:val="24"/>
          <w:lang w:eastAsia="cs-CZ"/>
        </w:rPr>
        <w:t xml:space="preserve"> </w:t>
      </w:r>
    </w:p>
    <w:p w14:paraId="53D55D23" w14:textId="391D69FD" w:rsidR="0051218F" w:rsidRPr="00930B46" w:rsidRDefault="00387399" w:rsidP="00931169">
      <w:pPr>
        <w:spacing w:before="120"/>
        <w:ind w:firstLine="708"/>
        <w:rPr>
          <w:rFonts w:cstheme="minorHAnsi"/>
          <w:szCs w:val="24"/>
          <w:lang w:eastAsia="cs-CZ"/>
        </w:rPr>
      </w:pPr>
      <w:r w:rsidRPr="00930B46">
        <w:rPr>
          <w:rFonts w:cstheme="minorHAnsi"/>
          <w:szCs w:val="24"/>
          <w:lang w:eastAsia="cs-CZ"/>
        </w:rPr>
        <w:t xml:space="preserve">- na </w:t>
      </w:r>
      <w:r w:rsidRPr="00930B46">
        <w:rPr>
          <w:rFonts w:cstheme="minorHAnsi"/>
          <w:b/>
          <w:bCs/>
          <w:szCs w:val="24"/>
          <w:lang w:eastAsia="cs-CZ"/>
        </w:rPr>
        <w:t>V=60</w:t>
      </w:r>
      <w:r w:rsidRPr="00930B46">
        <w:rPr>
          <w:rFonts w:cstheme="minorHAnsi"/>
          <w:szCs w:val="24"/>
          <w:lang w:eastAsia="cs-CZ"/>
        </w:rPr>
        <w:t xml:space="preserve"> </w:t>
      </w:r>
      <w:r w:rsidR="004A3FBC" w:rsidRPr="004A3FBC">
        <w:rPr>
          <w:rFonts w:cstheme="minorHAnsi"/>
          <w:b/>
          <w:bCs/>
          <w:szCs w:val="24"/>
          <w:lang w:eastAsia="cs-CZ"/>
        </w:rPr>
        <w:t>km/hod</w:t>
      </w:r>
      <w:r w:rsidR="004A3FBC">
        <w:rPr>
          <w:rFonts w:cstheme="minorHAnsi"/>
          <w:szCs w:val="24"/>
          <w:lang w:eastAsia="cs-CZ"/>
        </w:rPr>
        <w:t xml:space="preserve"> </w:t>
      </w:r>
      <w:r w:rsidRPr="00930B46">
        <w:rPr>
          <w:rFonts w:cstheme="minorHAnsi"/>
          <w:szCs w:val="24"/>
          <w:lang w:eastAsia="cs-CZ"/>
        </w:rPr>
        <w:t>dĺžke 1,8 km pre všetky vlaky (vjazd do ŽST Čadca)</w:t>
      </w:r>
      <w:r w:rsidR="0051218F" w:rsidRPr="00930B46">
        <w:rPr>
          <w:rFonts w:cstheme="minorHAnsi"/>
          <w:szCs w:val="24"/>
          <w:lang w:eastAsia="cs-CZ"/>
        </w:rPr>
        <w:t>.</w:t>
      </w:r>
    </w:p>
    <w:p w14:paraId="3B62E5FA" w14:textId="558AACA2" w:rsidR="00387399" w:rsidRPr="00930B46" w:rsidRDefault="00387399" w:rsidP="00931169">
      <w:pPr>
        <w:spacing w:before="120"/>
        <w:ind w:firstLine="708"/>
        <w:rPr>
          <w:rFonts w:cstheme="minorHAnsi"/>
          <w:szCs w:val="24"/>
          <w:lang w:eastAsia="cs-CZ"/>
        </w:rPr>
      </w:pPr>
      <w:r w:rsidRPr="00930B46">
        <w:rPr>
          <w:rFonts w:cstheme="minorHAnsi"/>
          <w:szCs w:val="24"/>
          <w:lang w:eastAsia="cs-CZ"/>
        </w:rPr>
        <w:t>Prakticky celý medzistaničný úsek je charakterizovaný rýchlosť z jednej tretiny (výjazd z Krásna) na 80 km/hod a 70-60 km/hod vo zvyšnom úseku Oščadnica (– Horelica) – Čadca-mesto.</w:t>
      </w:r>
    </w:p>
    <w:p w14:paraId="5C1D6EA0" w14:textId="16E37DCB" w:rsidR="0051218F" w:rsidRPr="00930B46" w:rsidRDefault="00387399" w:rsidP="00931169">
      <w:pPr>
        <w:spacing w:before="120"/>
        <w:ind w:firstLine="708"/>
        <w:rPr>
          <w:rFonts w:cstheme="minorHAnsi"/>
          <w:szCs w:val="24"/>
          <w:lang w:eastAsia="cs-CZ"/>
        </w:rPr>
      </w:pPr>
      <w:r w:rsidRPr="00930B46">
        <w:rPr>
          <w:rFonts w:cstheme="minorHAnsi"/>
          <w:szCs w:val="24"/>
          <w:lang w:eastAsia="cs-CZ"/>
        </w:rPr>
        <w:t xml:space="preserve">Ďalšie prechodné s trvalé obmedzenia rýchlostí sú bodové (krátke) na V=40 </w:t>
      </w:r>
      <w:r w:rsidR="004A3FBC">
        <w:rPr>
          <w:rFonts w:cstheme="minorHAnsi"/>
          <w:szCs w:val="24"/>
          <w:lang w:eastAsia="cs-CZ"/>
        </w:rPr>
        <w:t xml:space="preserve">km/hod </w:t>
      </w:r>
      <w:r w:rsidRPr="00930B46">
        <w:rPr>
          <w:rFonts w:cstheme="minorHAnsi"/>
          <w:szCs w:val="24"/>
          <w:lang w:eastAsia="cs-CZ"/>
        </w:rPr>
        <w:t>alebo V=60</w:t>
      </w:r>
      <w:r w:rsidR="004A3FBC">
        <w:rPr>
          <w:rFonts w:cstheme="minorHAnsi"/>
          <w:szCs w:val="24"/>
          <w:lang w:eastAsia="cs-CZ"/>
        </w:rPr>
        <w:t xml:space="preserve"> km/hod</w:t>
      </w:r>
      <w:r w:rsidRPr="00930B46">
        <w:rPr>
          <w:rFonts w:cstheme="minorHAnsi"/>
          <w:szCs w:val="24"/>
          <w:lang w:eastAsia="cs-CZ"/>
        </w:rPr>
        <w:t>.</w:t>
      </w:r>
    </w:p>
    <w:p w14:paraId="7029E2EA" w14:textId="77777777" w:rsidR="0051218F" w:rsidRPr="00930B46" w:rsidRDefault="0051218F" w:rsidP="00931169">
      <w:pPr>
        <w:spacing w:before="120"/>
        <w:rPr>
          <w:rFonts w:cstheme="minorHAnsi"/>
          <w:szCs w:val="24"/>
          <w:lang w:eastAsia="cs-CZ"/>
        </w:rPr>
      </w:pPr>
    </w:p>
    <w:p w14:paraId="11F30F57" w14:textId="1DDC2A13" w:rsidR="0051218F" w:rsidRPr="00930B46" w:rsidRDefault="0051218F" w:rsidP="00931169">
      <w:pPr>
        <w:keepNext/>
        <w:spacing w:before="120"/>
        <w:rPr>
          <w:rFonts w:cstheme="minorHAnsi"/>
          <w:b/>
          <w:bCs/>
          <w:i/>
          <w:iCs/>
          <w:szCs w:val="24"/>
          <w:lang w:eastAsia="cs-CZ"/>
        </w:rPr>
      </w:pPr>
      <w:r w:rsidRPr="00930B46">
        <w:rPr>
          <w:rFonts w:cstheme="minorHAnsi"/>
          <w:i/>
          <w:iCs/>
          <w:szCs w:val="24"/>
          <w:lang w:eastAsia="cs-CZ"/>
        </w:rPr>
        <w:t>Tab.</w:t>
      </w:r>
      <w:r w:rsidR="005940CA">
        <w:rPr>
          <w:rFonts w:cstheme="minorHAnsi"/>
          <w:i/>
          <w:iCs/>
          <w:szCs w:val="24"/>
          <w:lang w:eastAsia="cs-CZ"/>
        </w:rPr>
        <w:t>3:</w:t>
      </w:r>
      <w:r w:rsidRPr="00930B46">
        <w:rPr>
          <w:rFonts w:cstheme="minorHAnsi"/>
          <w:i/>
          <w:iCs/>
          <w:szCs w:val="24"/>
          <w:lang w:eastAsia="cs-CZ"/>
        </w:rPr>
        <w:t xml:space="preserve"> Prehľad existujúcich železničných mostných objektov</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6"/>
        <w:gridCol w:w="1752"/>
        <w:gridCol w:w="5551"/>
      </w:tblGrid>
      <w:tr w:rsidR="0051218F" w:rsidRPr="00930B46" w14:paraId="75F247B5" w14:textId="77777777" w:rsidTr="0051218F">
        <w:trPr>
          <w:trHeight w:val="746"/>
          <w:jc w:val="center"/>
        </w:trPr>
        <w:tc>
          <w:tcPr>
            <w:tcW w:w="1786" w:type="dxa"/>
            <w:tcBorders>
              <w:top w:val="single" w:sz="12" w:space="0" w:color="auto"/>
              <w:left w:val="single" w:sz="12" w:space="0" w:color="auto"/>
              <w:bottom w:val="single" w:sz="12" w:space="0" w:color="auto"/>
            </w:tcBorders>
            <w:vAlign w:val="center"/>
          </w:tcPr>
          <w:p w14:paraId="34A03879"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Staničenie</w:t>
            </w:r>
          </w:p>
          <w:p w14:paraId="01A358D2" w14:textId="0E6667DD" w:rsidR="0051218F" w:rsidRPr="00930B46" w:rsidRDefault="00D3749B"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S</w:t>
            </w:r>
            <w:r w:rsidR="0051218F" w:rsidRPr="00930B46">
              <w:rPr>
                <w:rFonts w:cstheme="minorHAnsi"/>
                <w:b/>
                <w:color w:val="231F20"/>
                <w:szCs w:val="24"/>
              </w:rPr>
              <w:t>žkm</w:t>
            </w:r>
          </w:p>
        </w:tc>
        <w:tc>
          <w:tcPr>
            <w:tcW w:w="1752" w:type="dxa"/>
            <w:tcBorders>
              <w:top w:val="single" w:sz="12" w:space="0" w:color="auto"/>
              <w:bottom w:val="single" w:sz="12" w:space="0" w:color="auto"/>
            </w:tcBorders>
            <w:vAlign w:val="center"/>
          </w:tcPr>
          <w:p w14:paraId="7293221D"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Úsek</w:t>
            </w:r>
          </w:p>
        </w:tc>
        <w:tc>
          <w:tcPr>
            <w:tcW w:w="5551" w:type="dxa"/>
            <w:tcBorders>
              <w:top w:val="single" w:sz="12" w:space="0" w:color="auto"/>
              <w:bottom w:val="single" w:sz="12" w:space="0" w:color="auto"/>
              <w:right w:val="single" w:sz="12" w:space="0" w:color="auto"/>
            </w:tcBorders>
            <w:vAlign w:val="center"/>
          </w:tcPr>
          <w:p w14:paraId="1190AAB9" w14:textId="77777777" w:rsidR="0051218F" w:rsidRPr="00930B46" w:rsidRDefault="0051218F" w:rsidP="00931169">
            <w:pPr>
              <w:autoSpaceDE w:val="0"/>
              <w:autoSpaceDN w:val="0"/>
              <w:adjustRightInd w:val="0"/>
              <w:spacing w:line="271" w:lineRule="auto"/>
              <w:rPr>
                <w:rFonts w:cstheme="minorHAnsi"/>
                <w:b/>
                <w:color w:val="231F20"/>
                <w:szCs w:val="24"/>
              </w:rPr>
            </w:pPr>
            <w:r w:rsidRPr="00930B46">
              <w:rPr>
                <w:rFonts w:cstheme="minorHAnsi"/>
                <w:b/>
                <w:color w:val="231F20"/>
                <w:szCs w:val="24"/>
              </w:rPr>
              <w:t>Konštrukcia mosta, premostenie</w:t>
            </w:r>
          </w:p>
        </w:tc>
      </w:tr>
      <w:tr w:rsidR="0051218F" w:rsidRPr="00930B46" w14:paraId="170DD1D1" w14:textId="77777777" w:rsidTr="0051218F">
        <w:trPr>
          <w:cantSplit/>
          <w:trHeight w:val="286"/>
          <w:jc w:val="center"/>
        </w:trPr>
        <w:tc>
          <w:tcPr>
            <w:tcW w:w="1786" w:type="dxa"/>
            <w:tcBorders>
              <w:top w:val="single" w:sz="12" w:space="0" w:color="auto"/>
              <w:left w:val="single" w:sz="12" w:space="0" w:color="auto"/>
              <w:right w:val="single" w:sz="4" w:space="0" w:color="auto"/>
            </w:tcBorders>
            <w:vAlign w:val="center"/>
          </w:tcPr>
          <w:p w14:paraId="6AB5D60D"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270,607</w:t>
            </w:r>
          </w:p>
        </w:tc>
        <w:tc>
          <w:tcPr>
            <w:tcW w:w="1752" w:type="dxa"/>
            <w:vMerge w:val="restart"/>
            <w:tcBorders>
              <w:top w:val="single" w:sz="12" w:space="0" w:color="auto"/>
              <w:left w:val="single" w:sz="4" w:space="0" w:color="auto"/>
              <w:right w:val="single" w:sz="4" w:space="0" w:color="auto"/>
            </w:tcBorders>
            <w:vAlign w:val="center"/>
          </w:tcPr>
          <w:p w14:paraId="5CE18EC2"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Krásno nad Kysucou - Čadca</w:t>
            </w:r>
          </w:p>
        </w:tc>
        <w:tc>
          <w:tcPr>
            <w:tcW w:w="5551" w:type="dxa"/>
            <w:tcBorders>
              <w:top w:val="single" w:sz="12" w:space="0" w:color="auto"/>
              <w:left w:val="single" w:sz="4" w:space="0" w:color="auto"/>
              <w:right w:val="single" w:sz="12" w:space="0" w:color="auto"/>
            </w:tcBorders>
            <w:vAlign w:val="center"/>
          </w:tcPr>
          <w:p w14:paraId="542E80BE"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žel. - bet. doska, sv. š. 4,30 m – vodný tok</w:t>
            </w:r>
          </w:p>
        </w:tc>
      </w:tr>
      <w:tr w:rsidR="0051218F" w:rsidRPr="00930B46" w14:paraId="27C898F6" w14:textId="77777777" w:rsidTr="0051218F">
        <w:trPr>
          <w:cantSplit/>
          <w:trHeight w:val="308"/>
          <w:jc w:val="center"/>
        </w:trPr>
        <w:tc>
          <w:tcPr>
            <w:tcW w:w="1786" w:type="dxa"/>
            <w:tcBorders>
              <w:left w:val="single" w:sz="12" w:space="0" w:color="auto"/>
              <w:right w:val="single" w:sz="4" w:space="0" w:color="auto"/>
            </w:tcBorders>
            <w:vAlign w:val="center"/>
          </w:tcPr>
          <w:p w14:paraId="0836FBC5"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271,277</w:t>
            </w:r>
          </w:p>
        </w:tc>
        <w:tc>
          <w:tcPr>
            <w:tcW w:w="1752" w:type="dxa"/>
            <w:vMerge/>
            <w:tcBorders>
              <w:left w:val="single" w:sz="4" w:space="0" w:color="auto"/>
              <w:right w:val="single" w:sz="4" w:space="0" w:color="auto"/>
            </w:tcBorders>
            <w:vAlign w:val="center"/>
          </w:tcPr>
          <w:p w14:paraId="40657AED" w14:textId="77777777" w:rsidR="0051218F" w:rsidRPr="00930B46" w:rsidRDefault="0051218F" w:rsidP="00931169">
            <w:pPr>
              <w:autoSpaceDE w:val="0"/>
              <w:autoSpaceDN w:val="0"/>
              <w:adjustRightInd w:val="0"/>
              <w:spacing w:line="271" w:lineRule="auto"/>
              <w:rPr>
                <w:rFonts w:cstheme="minorHAnsi"/>
                <w:color w:val="231F20"/>
                <w:szCs w:val="24"/>
              </w:rPr>
            </w:pPr>
          </w:p>
        </w:tc>
        <w:tc>
          <w:tcPr>
            <w:tcW w:w="5551" w:type="dxa"/>
            <w:tcBorders>
              <w:left w:val="single" w:sz="4" w:space="0" w:color="auto"/>
              <w:right w:val="single" w:sz="12" w:space="0" w:color="auto"/>
            </w:tcBorders>
            <w:vAlign w:val="center"/>
          </w:tcPr>
          <w:p w14:paraId="10299F15"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žel. - bet. doska so zab. nosníkmi I 22, sv. š. 4,00 m – vodný tok</w:t>
            </w:r>
          </w:p>
        </w:tc>
      </w:tr>
      <w:tr w:rsidR="0051218F" w:rsidRPr="00930B46" w14:paraId="5467483E" w14:textId="77777777" w:rsidTr="0051218F">
        <w:trPr>
          <w:cantSplit/>
          <w:trHeight w:val="308"/>
          <w:jc w:val="center"/>
        </w:trPr>
        <w:tc>
          <w:tcPr>
            <w:tcW w:w="1786" w:type="dxa"/>
            <w:tcBorders>
              <w:left w:val="single" w:sz="12" w:space="0" w:color="auto"/>
              <w:right w:val="single" w:sz="4" w:space="0" w:color="auto"/>
            </w:tcBorders>
            <w:vAlign w:val="center"/>
          </w:tcPr>
          <w:p w14:paraId="55A0CEE9"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271,701</w:t>
            </w:r>
          </w:p>
        </w:tc>
        <w:tc>
          <w:tcPr>
            <w:tcW w:w="1752" w:type="dxa"/>
            <w:vMerge/>
            <w:tcBorders>
              <w:left w:val="single" w:sz="4" w:space="0" w:color="auto"/>
              <w:right w:val="single" w:sz="4" w:space="0" w:color="auto"/>
            </w:tcBorders>
            <w:vAlign w:val="center"/>
          </w:tcPr>
          <w:p w14:paraId="152EADAB" w14:textId="77777777" w:rsidR="0051218F" w:rsidRPr="00930B46" w:rsidRDefault="0051218F" w:rsidP="00931169">
            <w:pPr>
              <w:autoSpaceDE w:val="0"/>
              <w:autoSpaceDN w:val="0"/>
              <w:adjustRightInd w:val="0"/>
              <w:spacing w:line="271" w:lineRule="auto"/>
              <w:rPr>
                <w:rFonts w:cstheme="minorHAnsi"/>
                <w:color w:val="231F20"/>
                <w:szCs w:val="24"/>
              </w:rPr>
            </w:pPr>
          </w:p>
        </w:tc>
        <w:tc>
          <w:tcPr>
            <w:tcW w:w="5551" w:type="dxa"/>
            <w:tcBorders>
              <w:left w:val="single" w:sz="4" w:space="0" w:color="auto"/>
              <w:right w:val="single" w:sz="12" w:space="0" w:color="auto"/>
            </w:tcBorders>
            <w:vAlign w:val="center"/>
          </w:tcPr>
          <w:p w14:paraId="3AC9379D"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klenbový, sv. š. 4,40 m – vodný tok</w:t>
            </w:r>
          </w:p>
        </w:tc>
      </w:tr>
      <w:tr w:rsidR="0051218F" w:rsidRPr="00930B46" w14:paraId="4211060C" w14:textId="77777777" w:rsidTr="0051218F">
        <w:trPr>
          <w:cantSplit/>
          <w:trHeight w:val="284"/>
          <w:jc w:val="center"/>
        </w:trPr>
        <w:tc>
          <w:tcPr>
            <w:tcW w:w="1786" w:type="dxa"/>
            <w:tcBorders>
              <w:left w:val="single" w:sz="12" w:space="0" w:color="auto"/>
              <w:right w:val="single" w:sz="4" w:space="0" w:color="auto"/>
            </w:tcBorders>
            <w:vAlign w:val="center"/>
          </w:tcPr>
          <w:p w14:paraId="194B53EF"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273,569</w:t>
            </w:r>
          </w:p>
        </w:tc>
        <w:tc>
          <w:tcPr>
            <w:tcW w:w="1752" w:type="dxa"/>
            <w:vMerge/>
            <w:tcBorders>
              <w:left w:val="single" w:sz="4" w:space="0" w:color="auto"/>
              <w:right w:val="single" w:sz="4" w:space="0" w:color="auto"/>
            </w:tcBorders>
            <w:vAlign w:val="center"/>
          </w:tcPr>
          <w:p w14:paraId="79DFB064" w14:textId="77777777" w:rsidR="0051218F" w:rsidRPr="00930B46" w:rsidRDefault="0051218F" w:rsidP="00931169">
            <w:pPr>
              <w:autoSpaceDE w:val="0"/>
              <w:autoSpaceDN w:val="0"/>
              <w:adjustRightInd w:val="0"/>
              <w:spacing w:line="271" w:lineRule="auto"/>
              <w:rPr>
                <w:rFonts w:cstheme="minorHAnsi"/>
                <w:color w:val="231F20"/>
                <w:szCs w:val="24"/>
              </w:rPr>
            </w:pPr>
          </w:p>
        </w:tc>
        <w:tc>
          <w:tcPr>
            <w:tcW w:w="5551" w:type="dxa"/>
            <w:tcBorders>
              <w:left w:val="single" w:sz="4" w:space="0" w:color="auto"/>
              <w:right w:val="single" w:sz="12" w:space="0" w:color="auto"/>
            </w:tcBorders>
            <w:vAlign w:val="center"/>
          </w:tcPr>
          <w:p w14:paraId="157EF1DA"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žel. - bet. doska, sv. š. 5,75 m – poľná cesta</w:t>
            </w:r>
          </w:p>
        </w:tc>
      </w:tr>
      <w:tr w:rsidR="0051218F" w:rsidRPr="00930B46" w14:paraId="679F0C01" w14:textId="77777777" w:rsidTr="0051218F">
        <w:trPr>
          <w:cantSplit/>
          <w:trHeight w:val="308"/>
          <w:jc w:val="center"/>
        </w:trPr>
        <w:tc>
          <w:tcPr>
            <w:tcW w:w="1786" w:type="dxa"/>
            <w:tcBorders>
              <w:left w:val="single" w:sz="12" w:space="0" w:color="auto"/>
              <w:bottom w:val="single" w:sz="4" w:space="0" w:color="auto"/>
              <w:right w:val="single" w:sz="4" w:space="0" w:color="auto"/>
            </w:tcBorders>
            <w:vAlign w:val="center"/>
          </w:tcPr>
          <w:p w14:paraId="2221C9A3"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275,993</w:t>
            </w:r>
          </w:p>
        </w:tc>
        <w:tc>
          <w:tcPr>
            <w:tcW w:w="1752" w:type="dxa"/>
            <w:vMerge/>
            <w:tcBorders>
              <w:left w:val="single" w:sz="4" w:space="0" w:color="auto"/>
              <w:bottom w:val="single" w:sz="4" w:space="0" w:color="auto"/>
              <w:right w:val="single" w:sz="4" w:space="0" w:color="auto"/>
            </w:tcBorders>
            <w:vAlign w:val="center"/>
          </w:tcPr>
          <w:p w14:paraId="05412C70" w14:textId="77777777" w:rsidR="0051218F" w:rsidRPr="00930B46" w:rsidRDefault="0051218F" w:rsidP="00931169">
            <w:pPr>
              <w:autoSpaceDE w:val="0"/>
              <w:autoSpaceDN w:val="0"/>
              <w:adjustRightInd w:val="0"/>
              <w:spacing w:line="271" w:lineRule="auto"/>
              <w:rPr>
                <w:rFonts w:cstheme="minorHAnsi"/>
                <w:color w:val="231F20"/>
                <w:szCs w:val="24"/>
              </w:rPr>
            </w:pPr>
          </w:p>
        </w:tc>
        <w:tc>
          <w:tcPr>
            <w:tcW w:w="5551" w:type="dxa"/>
            <w:tcBorders>
              <w:left w:val="single" w:sz="4" w:space="0" w:color="auto"/>
              <w:bottom w:val="single" w:sz="4" w:space="0" w:color="auto"/>
              <w:right w:val="single" w:sz="12" w:space="0" w:color="auto"/>
            </w:tcBorders>
            <w:vAlign w:val="center"/>
          </w:tcPr>
          <w:p w14:paraId="30527D56"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žel. - bet. doska, sv. š. 2,75 m – vodný tok</w:t>
            </w:r>
          </w:p>
        </w:tc>
      </w:tr>
      <w:tr w:rsidR="0051218F" w:rsidRPr="00930B46" w14:paraId="04101470" w14:textId="77777777" w:rsidTr="0051218F">
        <w:trPr>
          <w:cantSplit/>
          <w:trHeight w:val="308"/>
          <w:jc w:val="center"/>
        </w:trPr>
        <w:tc>
          <w:tcPr>
            <w:tcW w:w="1786" w:type="dxa"/>
            <w:tcBorders>
              <w:left w:val="single" w:sz="12" w:space="0" w:color="auto"/>
              <w:bottom w:val="single" w:sz="12" w:space="0" w:color="auto"/>
              <w:right w:val="single" w:sz="4" w:space="0" w:color="auto"/>
            </w:tcBorders>
            <w:vAlign w:val="center"/>
          </w:tcPr>
          <w:p w14:paraId="5B9C724E"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276,331</w:t>
            </w:r>
          </w:p>
        </w:tc>
        <w:tc>
          <w:tcPr>
            <w:tcW w:w="1752" w:type="dxa"/>
            <w:vMerge/>
            <w:tcBorders>
              <w:left w:val="single" w:sz="4" w:space="0" w:color="auto"/>
              <w:bottom w:val="single" w:sz="12" w:space="0" w:color="auto"/>
              <w:right w:val="single" w:sz="4" w:space="0" w:color="auto"/>
            </w:tcBorders>
            <w:vAlign w:val="center"/>
          </w:tcPr>
          <w:p w14:paraId="1BDA026A" w14:textId="77777777" w:rsidR="0051218F" w:rsidRPr="00930B46" w:rsidRDefault="0051218F" w:rsidP="00931169">
            <w:pPr>
              <w:autoSpaceDE w:val="0"/>
              <w:autoSpaceDN w:val="0"/>
              <w:adjustRightInd w:val="0"/>
              <w:spacing w:line="271" w:lineRule="auto"/>
              <w:rPr>
                <w:rFonts w:cstheme="minorHAnsi"/>
                <w:color w:val="231F20"/>
                <w:szCs w:val="24"/>
              </w:rPr>
            </w:pPr>
          </w:p>
        </w:tc>
        <w:tc>
          <w:tcPr>
            <w:tcW w:w="5551" w:type="dxa"/>
            <w:tcBorders>
              <w:left w:val="single" w:sz="4" w:space="0" w:color="auto"/>
              <w:bottom w:val="single" w:sz="12" w:space="0" w:color="auto"/>
              <w:right w:val="single" w:sz="12" w:space="0" w:color="auto"/>
            </w:tcBorders>
            <w:vAlign w:val="center"/>
          </w:tcPr>
          <w:p w14:paraId="159B5B73" w14:textId="77777777" w:rsidR="0051218F" w:rsidRPr="00930B46" w:rsidRDefault="0051218F" w:rsidP="00931169">
            <w:pPr>
              <w:autoSpaceDE w:val="0"/>
              <w:autoSpaceDN w:val="0"/>
              <w:adjustRightInd w:val="0"/>
              <w:spacing w:line="271" w:lineRule="auto"/>
              <w:rPr>
                <w:rFonts w:cstheme="minorHAnsi"/>
                <w:color w:val="231F20"/>
                <w:szCs w:val="24"/>
              </w:rPr>
            </w:pPr>
            <w:r w:rsidRPr="00930B46">
              <w:rPr>
                <w:rFonts w:cstheme="minorHAnsi"/>
                <w:color w:val="231F20"/>
                <w:szCs w:val="24"/>
              </w:rPr>
              <w:t>žel. - bet. doska, sv. š. 2,75 m – vodný tok</w:t>
            </w:r>
          </w:p>
        </w:tc>
      </w:tr>
    </w:tbl>
    <w:p w14:paraId="77ECAF00" w14:textId="77777777" w:rsidR="0051218F" w:rsidRPr="00930B46" w:rsidRDefault="0051218F" w:rsidP="00931169">
      <w:pPr>
        <w:ind w:firstLine="709"/>
        <w:rPr>
          <w:rFonts w:cstheme="minorHAnsi"/>
          <w:szCs w:val="24"/>
        </w:rPr>
      </w:pPr>
    </w:p>
    <w:p w14:paraId="4E029A8B" w14:textId="77777777" w:rsidR="0051218F" w:rsidRPr="00930B46" w:rsidRDefault="0051218F" w:rsidP="00931169">
      <w:pPr>
        <w:ind w:firstLine="709"/>
        <w:rPr>
          <w:rFonts w:cstheme="minorHAnsi"/>
          <w:szCs w:val="24"/>
        </w:rPr>
      </w:pPr>
      <w:r w:rsidRPr="00930B46">
        <w:rPr>
          <w:rFonts w:cstheme="minorHAnsi"/>
          <w:szCs w:val="24"/>
        </w:rPr>
        <w:t>V traťovom úseku sa nachádza železničná zastávka Oščadnica.</w:t>
      </w:r>
    </w:p>
    <w:p w14:paraId="54EFB6F6" w14:textId="77777777" w:rsidR="0051218F" w:rsidRPr="00930B46" w:rsidRDefault="0051218F" w:rsidP="00931169">
      <w:pPr>
        <w:ind w:firstLine="709"/>
        <w:rPr>
          <w:rFonts w:cstheme="minorHAnsi"/>
          <w:szCs w:val="24"/>
        </w:rPr>
      </w:pPr>
      <w:r w:rsidRPr="00930B46">
        <w:rPr>
          <w:rFonts w:cstheme="minorHAnsi"/>
          <w:szCs w:val="24"/>
        </w:rPr>
        <w:t>Na trati sa nachádza 6 železničných priecestí. Priecestia sú zabezpečené priecestným zabezpečovacím zariadením.</w:t>
      </w:r>
    </w:p>
    <w:p w14:paraId="0B4AEDDC" w14:textId="77777777" w:rsidR="0051218F" w:rsidRPr="00930B46" w:rsidRDefault="0051218F" w:rsidP="00931169">
      <w:pPr>
        <w:ind w:firstLine="709"/>
        <w:rPr>
          <w:rFonts w:cstheme="minorHAnsi"/>
          <w:szCs w:val="24"/>
        </w:rPr>
      </w:pPr>
      <w:r w:rsidRPr="00930B46">
        <w:rPr>
          <w:rFonts w:cstheme="minorHAnsi"/>
          <w:szCs w:val="24"/>
        </w:rPr>
        <w:t>Traťový úsek je elektrifikovaný - napäťovou sústavou DC jednosmerná 3kV. Jestvujúce trakčné vedenie bolo uvedené do prevádzky v roku 1965 pri elektrifikácii trate. Systémy trolejových vedení hlavných koľají majú prierezy :</w:t>
      </w:r>
    </w:p>
    <w:p w14:paraId="5493D960" w14:textId="77777777" w:rsidR="0051218F" w:rsidRPr="00930B46" w:rsidRDefault="0051218F" w:rsidP="00931169">
      <w:pPr>
        <w:numPr>
          <w:ilvl w:val="0"/>
          <w:numId w:val="1"/>
        </w:numPr>
        <w:ind w:left="709" w:firstLine="0"/>
        <w:rPr>
          <w:rFonts w:cstheme="minorHAnsi"/>
          <w:szCs w:val="24"/>
        </w:rPr>
      </w:pPr>
      <w:r w:rsidRPr="00930B46">
        <w:rPr>
          <w:rFonts w:cstheme="minorHAnsi"/>
          <w:szCs w:val="24"/>
        </w:rPr>
        <w:t>trolejový drôt 150 mm</w:t>
      </w:r>
      <w:r w:rsidRPr="00930B46">
        <w:rPr>
          <w:rFonts w:cstheme="minorHAnsi"/>
          <w:szCs w:val="24"/>
          <w:vertAlign w:val="superscript"/>
        </w:rPr>
        <w:t>2</w:t>
      </w:r>
      <w:r w:rsidRPr="00930B46">
        <w:rPr>
          <w:rFonts w:cstheme="minorHAnsi"/>
          <w:szCs w:val="24"/>
        </w:rPr>
        <w:t xml:space="preserve"> Cu</w:t>
      </w:r>
    </w:p>
    <w:p w14:paraId="47072A84" w14:textId="77777777" w:rsidR="0051218F" w:rsidRPr="00930B46" w:rsidRDefault="0051218F" w:rsidP="00931169">
      <w:pPr>
        <w:numPr>
          <w:ilvl w:val="0"/>
          <w:numId w:val="1"/>
        </w:numPr>
        <w:ind w:left="709" w:firstLine="0"/>
        <w:rPr>
          <w:rFonts w:cstheme="minorHAnsi"/>
          <w:szCs w:val="24"/>
        </w:rPr>
      </w:pPr>
      <w:r w:rsidRPr="00930B46">
        <w:rPr>
          <w:rFonts w:cstheme="minorHAnsi"/>
          <w:szCs w:val="24"/>
        </w:rPr>
        <w:t>nosné lano 120 mm</w:t>
      </w:r>
      <w:r w:rsidRPr="00930B46">
        <w:rPr>
          <w:rFonts w:cstheme="minorHAnsi"/>
          <w:szCs w:val="24"/>
          <w:vertAlign w:val="superscript"/>
        </w:rPr>
        <w:t>2</w:t>
      </w:r>
      <w:r w:rsidRPr="00930B46">
        <w:rPr>
          <w:rFonts w:cstheme="minorHAnsi"/>
          <w:szCs w:val="24"/>
        </w:rPr>
        <w:t xml:space="preserve"> Cu</w:t>
      </w:r>
    </w:p>
    <w:p w14:paraId="78F6E058" w14:textId="77777777" w:rsidR="0051218F" w:rsidRPr="00930B46" w:rsidRDefault="0051218F" w:rsidP="00931169">
      <w:pPr>
        <w:numPr>
          <w:ilvl w:val="0"/>
          <w:numId w:val="1"/>
        </w:numPr>
        <w:ind w:left="709" w:firstLine="0"/>
        <w:rPr>
          <w:rFonts w:cstheme="minorHAnsi"/>
          <w:szCs w:val="24"/>
        </w:rPr>
      </w:pPr>
      <w:r w:rsidRPr="00930B46">
        <w:rPr>
          <w:rFonts w:cstheme="minorHAnsi"/>
          <w:szCs w:val="24"/>
        </w:rPr>
        <w:t>zosilňovacie vedenie 2 x 240 mm</w:t>
      </w:r>
      <w:r w:rsidRPr="00930B46">
        <w:rPr>
          <w:rFonts w:cstheme="minorHAnsi"/>
          <w:szCs w:val="24"/>
          <w:vertAlign w:val="superscript"/>
        </w:rPr>
        <w:t>2</w:t>
      </w:r>
      <w:r w:rsidRPr="00930B46">
        <w:rPr>
          <w:rFonts w:cstheme="minorHAnsi"/>
          <w:szCs w:val="24"/>
        </w:rPr>
        <w:t xml:space="preserve"> AlFe </w:t>
      </w:r>
    </w:p>
    <w:p w14:paraId="32097A5E" w14:textId="4B78089F" w:rsidR="0051218F" w:rsidRPr="00930B46" w:rsidRDefault="00C42EE6" w:rsidP="00931169">
      <w:pPr>
        <w:ind w:firstLine="709"/>
        <w:rPr>
          <w:rFonts w:cstheme="minorHAnsi"/>
          <w:szCs w:val="24"/>
        </w:rPr>
      </w:pPr>
      <w:r>
        <w:rPr>
          <w:rFonts w:cstheme="minorHAnsi"/>
          <w:szCs w:val="24"/>
        </w:rPr>
        <w:lastRenderedPageBreak/>
        <w:t>T</w:t>
      </w:r>
      <w:r w:rsidR="0051218F" w:rsidRPr="00930B46">
        <w:rPr>
          <w:rFonts w:cstheme="minorHAnsi"/>
          <w:szCs w:val="24"/>
        </w:rPr>
        <w:t xml:space="preserve">raťové zabezpečovacie zariadenie </w:t>
      </w:r>
      <w:r>
        <w:rPr>
          <w:rFonts w:cstheme="minorHAnsi"/>
          <w:szCs w:val="24"/>
        </w:rPr>
        <w:t>bolo modernizované</w:t>
      </w:r>
      <w:r w:rsidR="0051218F" w:rsidRPr="00930B46">
        <w:rPr>
          <w:rFonts w:cstheme="minorHAnsi"/>
          <w:szCs w:val="24"/>
        </w:rPr>
        <w:t xml:space="preserve"> v rámci stavby „Zavedenie ETCS v koridore VI : Žilina – Čadca – štátna hranica SK/CZ“. </w:t>
      </w:r>
      <w:r>
        <w:rPr>
          <w:rFonts w:cstheme="minorHAnsi"/>
          <w:szCs w:val="24"/>
        </w:rPr>
        <w:t xml:space="preserve">Predchádzajúce </w:t>
      </w:r>
      <w:r w:rsidR="0051218F" w:rsidRPr="00930B46">
        <w:rPr>
          <w:rFonts w:cstheme="minorHAnsi"/>
          <w:szCs w:val="24"/>
        </w:rPr>
        <w:t xml:space="preserve">zariadenie 3. kategórie, obojsmerný UAB </w:t>
      </w:r>
      <w:r>
        <w:rPr>
          <w:rFonts w:cstheme="minorHAnsi"/>
          <w:szCs w:val="24"/>
        </w:rPr>
        <w:t>bolo</w:t>
      </w:r>
      <w:r w:rsidR="0051218F" w:rsidRPr="00930B46">
        <w:rPr>
          <w:rFonts w:cstheme="minorHAnsi"/>
          <w:szCs w:val="24"/>
        </w:rPr>
        <w:t xml:space="preserve"> nahradené novým traťovým zabezpečovacím zariadením 3.kategórie podľa TNŽ 34 2630, typu trojznakový centralizovaný elektronický automatický blok.</w:t>
      </w:r>
    </w:p>
    <w:p w14:paraId="30A83F4B" w14:textId="5BE5D0AB" w:rsidR="0051218F" w:rsidRPr="00930B46" w:rsidRDefault="0051218F" w:rsidP="00931169">
      <w:pPr>
        <w:ind w:firstLine="709"/>
        <w:rPr>
          <w:rFonts w:cstheme="minorHAnsi"/>
          <w:bCs/>
          <w:szCs w:val="24"/>
        </w:rPr>
      </w:pPr>
      <w:r w:rsidRPr="00930B46">
        <w:rPr>
          <w:rFonts w:cstheme="minorHAnsi"/>
          <w:bCs/>
          <w:szCs w:val="24"/>
        </w:rPr>
        <w:t xml:space="preserve">Voľnosť koľajových úsekov </w:t>
      </w:r>
      <w:r w:rsidR="00C42EE6">
        <w:rPr>
          <w:rFonts w:cstheme="minorHAnsi"/>
          <w:bCs/>
          <w:szCs w:val="24"/>
        </w:rPr>
        <w:t>je</w:t>
      </w:r>
      <w:r w:rsidRPr="00930B46">
        <w:rPr>
          <w:rFonts w:cstheme="minorHAnsi"/>
          <w:bCs/>
          <w:szCs w:val="24"/>
        </w:rPr>
        <w:t xml:space="preserve"> zisťovaná dvojpásovými paralelnými koľajovými obvodmi s napájacím napätím o frekvencii 75Hz s dodatočným kódovaním 75Hz pre prenos návestného znaku na hnacie vozidlo. </w:t>
      </w:r>
    </w:p>
    <w:p w14:paraId="4190DD3D" w14:textId="6C40F513" w:rsidR="0051218F" w:rsidRPr="00930B46" w:rsidRDefault="0051218F" w:rsidP="00931169">
      <w:pPr>
        <w:ind w:firstLine="709"/>
        <w:rPr>
          <w:rFonts w:cstheme="minorHAnsi"/>
          <w:szCs w:val="24"/>
        </w:rPr>
      </w:pPr>
      <w:r w:rsidRPr="00930B46">
        <w:rPr>
          <w:rFonts w:cstheme="minorHAnsi"/>
          <w:szCs w:val="24"/>
        </w:rPr>
        <w:t xml:space="preserve">Nové traťové zabezpečovacie zariadenie </w:t>
      </w:r>
      <w:r w:rsidR="00C42EE6">
        <w:rPr>
          <w:rFonts w:cstheme="minorHAnsi"/>
          <w:szCs w:val="24"/>
        </w:rPr>
        <w:t>je</w:t>
      </w:r>
      <w:r w:rsidRPr="00930B46">
        <w:rPr>
          <w:rFonts w:cstheme="minorHAnsi"/>
          <w:szCs w:val="24"/>
        </w:rPr>
        <w:t xml:space="preserve"> priamo prepojené s existujúcimi staničnými zabezpečovacími zariadeniami 3.kategórie v susediacich staniciach Krásno nad Kysucou a Čadca. Rovnako </w:t>
      </w:r>
      <w:r w:rsidR="00C42EE6">
        <w:rPr>
          <w:rFonts w:cstheme="minorHAnsi"/>
          <w:szCs w:val="24"/>
        </w:rPr>
        <w:t>je</w:t>
      </w:r>
      <w:r w:rsidRPr="00930B46">
        <w:rPr>
          <w:rFonts w:cstheme="minorHAnsi"/>
          <w:szCs w:val="24"/>
        </w:rPr>
        <w:t xml:space="preserve"> vytvorená úviazka na nové priecestné zabezpečovacie zariadenia v medzistaničnom úseku.</w:t>
      </w:r>
    </w:p>
    <w:p w14:paraId="6D844174" w14:textId="22D251C9" w:rsidR="0051218F" w:rsidRPr="00930B46" w:rsidRDefault="0051218F" w:rsidP="00931169">
      <w:pPr>
        <w:ind w:firstLine="709"/>
        <w:rPr>
          <w:rFonts w:cstheme="minorHAnsi"/>
          <w:szCs w:val="24"/>
        </w:rPr>
      </w:pPr>
      <w:r w:rsidRPr="00930B46">
        <w:rPr>
          <w:rFonts w:cstheme="minorHAnsi"/>
          <w:szCs w:val="24"/>
        </w:rPr>
        <w:t>Väzba medzi miestami sústredenia výstroja a prenos potrebných indikácií, diagnostických a ostatných informácií prebie</w:t>
      </w:r>
      <w:r w:rsidR="00C42EE6">
        <w:rPr>
          <w:rFonts w:cstheme="minorHAnsi"/>
          <w:szCs w:val="24"/>
        </w:rPr>
        <w:t>ha</w:t>
      </w:r>
      <w:r w:rsidRPr="00930B46">
        <w:rPr>
          <w:rFonts w:cstheme="minorHAnsi"/>
          <w:szCs w:val="24"/>
        </w:rPr>
        <w:t xml:space="preserve"> po novom optickom kábli.</w:t>
      </w:r>
    </w:p>
    <w:p w14:paraId="05CFE63F" w14:textId="63BC2166" w:rsidR="0051218F" w:rsidRPr="00930B46" w:rsidRDefault="0051218F" w:rsidP="00931169">
      <w:pPr>
        <w:ind w:firstLine="709"/>
        <w:rPr>
          <w:rFonts w:cstheme="minorHAnsi"/>
          <w:szCs w:val="24"/>
        </w:rPr>
      </w:pPr>
      <w:r w:rsidRPr="00930B46">
        <w:rPr>
          <w:rFonts w:cstheme="minorHAnsi"/>
          <w:bCs/>
          <w:szCs w:val="24"/>
        </w:rPr>
        <w:t xml:space="preserve">Nové traťové zabezpečovacie zariadenie </w:t>
      </w:r>
      <w:r w:rsidR="00C42EE6">
        <w:rPr>
          <w:rFonts w:cstheme="minorHAnsi"/>
          <w:bCs/>
          <w:szCs w:val="24"/>
        </w:rPr>
        <w:t>je</w:t>
      </w:r>
      <w:r w:rsidRPr="00930B46">
        <w:rPr>
          <w:rFonts w:cstheme="minorHAnsi"/>
          <w:bCs/>
          <w:szCs w:val="24"/>
        </w:rPr>
        <w:t xml:space="preserve"> vybavené diagnostikou a priebežným ukladaním relevantných dát na pevný disk. Uložené dáta </w:t>
      </w:r>
      <w:r w:rsidR="00C42EE6">
        <w:rPr>
          <w:rFonts w:cstheme="minorHAnsi"/>
          <w:bCs/>
          <w:szCs w:val="24"/>
        </w:rPr>
        <w:t>je</w:t>
      </w:r>
      <w:r w:rsidRPr="00930B46">
        <w:rPr>
          <w:rFonts w:cstheme="minorHAnsi"/>
          <w:bCs/>
          <w:szCs w:val="24"/>
        </w:rPr>
        <w:t xml:space="preserve"> možné zobraziť na počítači v mieste sústredenia výstroja.</w:t>
      </w:r>
    </w:p>
    <w:p w14:paraId="13C0AFF8" w14:textId="77CAB4B7" w:rsidR="0051218F" w:rsidRPr="00930B46" w:rsidRDefault="0051218F" w:rsidP="00931169">
      <w:pPr>
        <w:ind w:firstLine="709"/>
        <w:rPr>
          <w:rFonts w:cstheme="minorHAnsi"/>
          <w:szCs w:val="24"/>
        </w:rPr>
      </w:pPr>
      <w:r w:rsidRPr="00930B46">
        <w:rPr>
          <w:rFonts w:cstheme="minorHAnsi"/>
          <w:szCs w:val="24"/>
        </w:rPr>
        <w:t xml:space="preserve">V traťovom úseku od ŽST. Krásno nad Kysucou od km 269,986 do </w:t>
      </w:r>
      <w:r w:rsidRPr="00930B46">
        <w:rPr>
          <w:rFonts w:cstheme="minorHAnsi"/>
          <w:color w:val="000000"/>
          <w:szCs w:val="24"/>
        </w:rPr>
        <w:t xml:space="preserve">sžkm 271,3 </w:t>
      </w:r>
      <w:r w:rsidRPr="00930B46">
        <w:rPr>
          <w:rFonts w:cstheme="minorHAnsi"/>
          <w:szCs w:val="24"/>
        </w:rPr>
        <w:t xml:space="preserve">sa vpravo od krajnej koľaje č.2 nachádza tretia vlečková koľaje vlečky FOREST TRADE Company. Vlečková koľaj je od krajnej traťovej koľaje vzdialená cca 6,0 m. </w:t>
      </w:r>
      <w:r w:rsidRPr="00930B46">
        <w:rPr>
          <w:rFonts w:cstheme="minorHAnsi"/>
          <w:color w:val="000000"/>
          <w:szCs w:val="24"/>
        </w:rPr>
        <w:t>Vlečková koľaj začína v stanici ŽST Krásno nad Kysucou, vo vlečkovom koľajisku na čadčianskom zhlaví a ďalej pokračuje ako tretia koľaj do sžkm 271,300, kde sa odkláňa od traťových koľají</w:t>
      </w:r>
      <w:r w:rsidR="00C42EE6">
        <w:rPr>
          <w:rFonts w:cstheme="minorHAnsi"/>
          <w:color w:val="000000"/>
          <w:szCs w:val="24"/>
        </w:rPr>
        <w:t>,</w:t>
      </w:r>
      <w:r w:rsidRPr="00930B46">
        <w:rPr>
          <w:rFonts w:cstheme="minorHAnsi"/>
          <w:color w:val="000000"/>
          <w:szCs w:val="24"/>
        </w:rPr>
        <w:t xml:space="preserve"> pričom ďalej smeruje do areálu závodu. Vlečková zmluva s f. FOREST TRADE Company skončila platnosť dňa 31.12.2003.</w:t>
      </w:r>
    </w:p>
    <w:p w14:paraId="622B6F98" w14:textId="77777777" w:rsidR="0051218F" w:rsidRPr="00930B46" w:rsidRDefault="0051218F" w:rsidP="00931169">
      <w:pPr>
        <w:pStyle w:val="Nadpis2"/>
        <w:rPr>
          <w:rFonts w:cstheme="minorHAnsi"/>
        </w:rPr>
      </w:pPr>
      <w:bookmarkStart w:id="18" w:name="_Toc401996449"/>
      <w:bookmarkStart w:id="19" w:name="_Toc402009474"/>
      <w:bookmarkStart w:id="20" w:name="_Toc402010532"/>
      <w:bookmarkStart w:id="21" w:name="_Toc15669880"/>
      <w:bookmarkStart w:id="22" w:name="_Toc16745193"/>
      <w:bookmarkStart w:id="23" w:name="_Toc16750087"/>
      <w:bookmarkStart w:id="24" w:name="_Toc88652912"/>
      <w:r w:rsidRPr="00930B46">
        <w:rPr>
          <w:rFonts w:cstheme="minorHAnsi"/>
        </w:rPr>
        <w:t>2.2</w:t>
      </w:r>
      <w:r w:rsidRPr="00930B46">
        <w:rPr>
          <w:rFonts w:cstheme="minorHAnsi"/>
        </w:rPr>
        <w:tab/>
        <w:t>ŽST Čadca</w:t>
      </w:r>
      <w:bookmarkEnd w:id="18"/>
      <w:bookmarkEnd w:id="19"/>
      <w:bookmarkEnd w:id="20"/>
      <w:bookmarkEnd w:id="21"/>
      <w:bookmarkEnd w:id="22"/>
      <w:bookmarkEnd w:id="23"/>
      <w:bookmarkEnd w:id="24"/>
    </w:p>
    <w:p w14:paraId="289B1926" w14:textId="2506AECE" w:rsidR="004A3FBC" w:rsidRDefault="0051218F" w:rsidP="00931169">
      <w:pPr>
        <w:ind w:firstLine="709"/>
        <w:rPr>
          <w:rFonts w:cstheme="minorHAnsi"/>
        </w:rPr>
      </w:pPr>
      <w:r w:rsidRPr="00930B46">
        <w:rPr>
          <w:rFonts w:cstheme="minorHAnsi"/>
        </w:rPr>
        <w:t xml:space="preserve">ŽST Čadca leží v </w:t>
      </w:r>
      <w:r w:rsidR="004A3FBC">
        <w:rPr>
          <w:rFonts w:cstheme="minorHAnsi"/>
        </w:rPr>
        <w:t>ž</w:t>
      </w:r>
      <w:r w:rsidRPr="00930B46">
        <w:rPr>
          <w:rFonts w:cstheme="minorHAnsi"/>
        </w:rPr>
        <w:t xml:space="preserve">km 279,800 dvojkoľajnej elektrifikovanej trate č. 106D Žilina – Čadca – Bohumín ČD. Je stanicou odbočnou pre trať Čadca – Skalité – Zwardoň PKP, pohraničnou prechodovou (PPS) medzi SR a ČR, dispozičnou pre trať Čadca – (Mosty u Jablunkova ČD) - Český Těšín ČD, Čadca – Žilina a Čadca - Skalité - (Zwardoň PKP), riadiacou pre trať s diaľkovo obsluhovaným zabezpečovacím zariadením Čadca – Skalité, prípojnou pre trať zo zjednodušeným riadením dopravy Čadca – Makov, zmiešanou podľa povahy práce. </w:t>
      </w:r>
    </w:p>
    <w:p w14:paraId="38DCECDA" w14:textId="77777777" w:rsidR="004A3FBC" w:rsidRDefault="004A3FBC" w:rsidP="00931169">
      <w:pPr>
        <w:ind w:firstLine="709"/>
        <w:rPr>
          <w:rFonts w:cstheme="minorHAnsi"/>
        </w:rPr>
      </w:pPr>
    </w:p>
    <w:p w14:paraId="37650465" w14:textId="61208D63" w:rsidR="0051218F" w:rsidRPr="00930B46" w:rsidRDefault="0051218F" w:rsidP="00931169">
      <w:pPr>
        <w:ind w:firstLine="709"/>
        <w:rPr>
          <w:rFonts w:cstheme="minorHAnsi"/>
        </w:rPr>
      </w:pPr>
      <w:r w:rsidRPr="00930B46">
        <w:rPr>
          <w:rFonts w:cstheme="minorHAnsi"/>
        </w:rPr>
        <w:t>ŽST Čadca sa člení na :</w:t>
      </w:r>
    </w:p>
    <w:p w14:paraId="0E540EFD" w14:textId="49CFAB98" w:rsidR="004A3FBC" w:rsidRPr="00930B46" w:rsidRDefault="0051218F" w:rsidP="00931169">
      <w:pPr>
        <w:ind w:firstLine="709"/>
        <w:rPr>
          <w:rFonts w:cstheme="minorHAnsi"/>
        </w:rPr>
      </w:pPr>
      <w:r w:rsidRPr="00930B46">
        <w:rPr>
          <w:rFonts w:cstheme="minorHAnsi"/>
        </w:rPr>
        <w:tab/>
        <w:t>- obvod koľají hlavnej trate (spoločný pre osobné aj nákladné vlaky),</w:t>
      </w:r>
    </w:p>
    <w:p w14:paraId="266E6BD1" w14:textId="3EF6BC16" w:rsidR="0051218F" w:rsidRDefault="0051218F" w:rsidP="00931169">
      <w:pPr>
        <w:ind w:firstLine="709"/>
        <w:rPr>
          <w:rFonts w:cstheme="minorHAnsi"/>
        </w:rPr>
      </w:pPr>
      <w:r w:rsidRPr="00930B46">
        <w:rPr>
          <w:rFonts w:cstheme="minorHAnsi"/>
        </w:rPr>
        <w:tab/>
        <w:t>- obvod tzv. makovských koľají, ktorý začína výhybkou č.101.</w:t>
      </w:r>
    </w:p>
    <w:p w14:paraId="1A9A77FA" w14:textId="77777777" w:rsidR="004A3FBC" w:rsidRPr="00930B46" w:rsidRDefault="004A3FBC" w:rsidP="00931169">
      <w:pPr>
        <w:ind w:firstLine="709"/>
        <w:rPr>
          <w:rFonts w:cstheme="minorHAnsi"/>
        </w:rPr>
      </w:pPr>
    </w:p>
    <w:p w14:paraId="752B0418" w14:textId="0DB3C2B7" w:rsidR="0051218F" w:rsidRPr="00930B46" w:rsidRDefault="0051218F" w:rsidP="00931169">
      <w:pPr>
        <w:ind w:firstLine="709"/>
        <w:rPr>
          <w:rFonts w:cstheme="minorHAnsi"/>
        </w:rPr>
      </w:pPr>
      <w:r w:rsidRPr="00930B46">
        <w:rPr>
          <w:rFonts w:cstheme="minorHAnsi"/>
        </w:rPr>
        <w:t xml:space="preserve">ŽST Čadca má 12 priebežných dopravných koľají (DK) pre hlavnú trať a trať Čadca- Skalité, 4 kusé dopravné koľaje (č.18, 20, 22 a 24), 2 priebežné dopravné koľaje pre prípojnú trať Čadca - Makov. Priebežné dopravné koľaje č.2, 3, 5, 7 a 9 sú určené pre vlaky osobnej dopravy (OD) aj nákladnej dopravy </w:t>
      </w:r>
      <w:r w:rsidR="004A3FBC">
        <w:rPr>
          <w:rFonts w:cstheme="minorHAnsi"/>
        </w:rPr>
        <w:t>(</w:t>
      </w:r>
      <w:r w:rsidRPr="00930B46">
        <w:rPr>
          <w:rFonts w:cstheme="minorHAnsi"/>
        </w:rPr>
        <w:t>ND</w:t>
      </w:r>
      <w:r w:rsidR="004A3FBC">
        <w:rPr>
          <w:rFonts w:cstheme="minorHAnsi"/>
        </w:rPr>
        <w:t>)</w:t>
      </w:r>
      <w:r w:rsidRPr="00930B46">
        <w:rPr>
          <w:rFonts w:cstheme="minorHAnsi"/>
        </w:rPr>
        <w:t xml:space="preserve"> a sú vybavené nástupištnými hranami. Koľaje č. 4 až 16, t.j. 7 koľají, je určených pre ND. Ďalej sa v stanici nachádzajú manipulačné koľaje určené pre nakládku a vykládku – k.č. 106, 108, 301, 302, 303, vybavené dvoma bočnými rampami a </w:t>
      </w:r>
      <w:r w:rsidRPr="00930B46">
        <w:rPr>
          <w:rFonts w:cstheme="minorHAnsi"/>
        </w:rPr>
        <w:lastRenderedPageBreak/>
        <w:t>jednou bočno-čelnou rampou; odstavné koľaje č. 2b, 22, 24, 104, 105, 110 s TV; opravové koľaje č. 102, 107a, výťažné koľaje č.3a, 5a, 20c.</w:t>
      </w:r>
    </w:p>
    <w:p w14:paraId="0E48FE63" w14:textId="77777777" w:rsidR="0051218F" w:rsidRPr="00930B46" w:rsidRDefault="0051218F" w:rsidP="00931169">
      <w:pPr>
        <w:ind w:firstLine="709"/>
        <w:rPr>
          <w:rFonts w:cstheme="minorHAnsi"/>
        </w:rPr>
      </w:pPr>
      <w:r w:rsidRPr="00930B46">
        <w:rPr>
          <w:rFonts w:cstheme="minorHAnsi"/>
        </w:rPr>
        <w:t>V stanici sa nachádzajú 3 nástupištia s 5 nástupnými hranami (NH) v obvode koľají hlavnej trate a 2 NH v obvode makovských koľají. Ďalšie nástupištia s mimoúrovňovým prístupom sú situované na zastávke Čadca Mesto. V stanici nie sú vybudované žiadne káblové trasy.</w:t>
      </w:r>
    </w:p>
    <w:p w14:paraId="2153E493" w14:textId="77777777" w:rsidR="00387399" w:rsidRPr="00930B46" w:rsidRDefault="00387399" w:rsidP="00931169">
      <w:pPr>
        <w:ind w:firstLine="709"/>
        <w:rPr>
          <w:rFonts w:cstheme="minorHAnsi"/>
        </w:rPr>
      </w:pPr>
      <w:r w:rsidRPr="00930B46">
        <w:rPr>
          <w:rFonts w:cstheme="minorHAnsi"/>
        </w:rPr>
        <w:t>ŽST Čadca je zabezpečené staničným zabezpečovacím zariadením 3. kategórie podľa TNŽ 34 2620 typu elektronické stavadlo ESA. Typ trakcie je jednosmerná 3kV. Hlavné návestidlá sú svetelné, výmeny sú ovládané elektromotorickými prestavníkmi, voľnosť staničných koľají je zisťovaná počítačmi osí. Zariadenie umožňuje postaviť plne zabezpečené vchodové vlakové cesty zo správnych i nesprávnych traťových koľají, resp. plne zabezpečené odchodové vlakové cesty na správne i nesprávne traťové koľaje. V ŽST Čadca sa nachádza rádiobloková centrála RBC systému ETCS L2, ktorý je v prevádzke v úseku Žilina mimo – Čadca.</w:t>
      </w:r>
    </w:p>
    <w:p w14:paraId="2A748F41" w14:textId="77777777" w:rsidR="0051218F" w:rsidRPr="00930B46" w:rsidRDefault="0051218F" w:rsidP="00931169">
      <w:pPr>
        <w:ind w:firstLine="709"/>
        <w:rPr>
          <w:rFonts w:cstheme="minorHAnsi"/>
        </w:rPr>
      </w:pPr>
      <w:r w:rsidRPr="00930B46">
        <w:rPr>
          <w:rFonts w:cstheme="minorHAnsi"/>
        </w:rPr>
        <w:t xml:space="preserve">Jednotlivé inžinierske siete sú uložené v samostatných trasách. Stanica je elektrifikovaná jednosmernou trakčnou sústavou 3kV (napájanie z trakčnej meniarne Čadca), zostavou „JM“, ktorá je v prevádzke od roku 1964. Nosné a výstužné stožiare sú oceľové trubkové a sú votknuté v hranolových základoch. Na kotvenie trolejového vedenia a pod odpájače sú použité oceľové mrežové stožiare typu AP/BP osadené na monolitických stupňových základoch. Rozpätia stožiarov presahujú v súčasnej dobe povolenú hodnotu 65 m, čo nepriaznivo vplýva na prevádzku trakčného vedenia z hľadiska jeho odvanutia vetrom. Existujúce trakčné stožiare sú ukoľajnené nepriamo podľa predpisov platných v čase výstavby. Železničná stanica je bez koľajových obvodov. </w:t>
      </w:r>
    </w:p>
    <w:p w14:paraId="54A87EC3" w14:textId="47F3ACB4" w:rsidR="0051218F" w:rsidRPr="00930B46" w:rsidRDefault="0051218F" w:rsidP="00931169">
      <w:pPr>
        <w:ind w:firstLine="709"/>
        <w:rPr>
          <w:rFonts w:cstheme="minorHAnsi"/>
        </w:rPr>
      </w:pPr>
      <w:r w:rsidRPr="00930B46">
        <w:rPr>
          <w:rFonts w:cstheme="minorHAnsi"/>
        </w:rPr>
        <w:t>Traťové zabezpečovacie zariadenie na hlavnej trati je 3. kategórie - univerzálny obojsmerný trojznakový automatický blok. Smerom na Skalité je v prevádzke traťové zabezpečovacie zariadenie 3. kategórie s voľnosťou traťovej koľaje. Na trati Čadca - Makov je v prevádzke zjednodušené riadenie vlakovej dopravy. V stanici je v od r. 2016 (?) v prevádzke elektronické staničné zabezpečovacie zariadenie typu ESA 11 (AŽD)</w:t>
      </w:r>
      <w:r w:rsidR="00387399" w:rsidRPr="00930B46">
        <w:rPr>
          <w:rFonts w:cstheme="minorHAnsi"/>
        </w:rPr>
        <w:t>,</w:t>
      </w:r>
      <w:r w:rsidRPr="00930B46">
        <w:rPr>
          <w:rFonts w:cstheme="minorHAnsi"/>
        </w:rPr>
        <w:t xml:space="preserve"> ktoré nahradilo predchádzajúce ES EBILOCK dodané firmou Bombardier</w:t>
      </w:r>
      <w:r w:rsidR="004A3FBC">
        <w:rPr>
          <w:rFonts w:cstheme="minorHAnsi"/>
        </w:rPr>
        <w:t>,</w:t>
      </w:r>
      <w:r w:rsidRPr="00930B46">
        <w:rPr>
          <w:rFonts w:cstheme="minorHAnsi"/>
        </w:rPr>
        <w:t xml:space="preserve"> čo je spôsobené nutnosťou prestavby z dôvodu implementácie ERTMS v úseku.</w:t>
      </w:r>
    </w:p>
    <w:p w14:paraId="5F13E9FC" w14:textId="4937FB08" w:rsidR="0051218F" w:rsidRPr="00930B46" w:rsidRDefault="0051218F" w:rsidP="00931169">
      <w:pPr>
        <w:ind w:firstLine="709"/>
        <w:rPr>
          <w:rFonts w:cstheme="minorHAnsi"/>
        </w:rPr>
      </w:pPr>
      <w:r w:rsidRPr="00930B46">
        <w:rPr>
          <w:rFonts w:cstheme="minorHAnsi"/>
        </w:rPr>
        <w:t xml:space="preserve">Voľnosť koľají a výhybkových úsekov je zisťovaná počítačmi osí, ktoré sú zapojené po vetvách paralelne po komunikačnej linke. Výhybky sú prestavované elektromotorickými prestavníkmi 3x400 V. Zapojenie prestavníkov je 7 vodičové. Pre ovládanie vonkajších prvkov sú v stanici vybudované vonkajšie technologické objekty, z ktorých sú ovládané okolité prvky zabezpečovacieho zariadenia. Ovládanie zabezpečovacieho zariadenia je z novej výpravnej budovy v </w:t>
      </w:r>
      <w:r w:rsidR="001A3393">
        <w:rPr>
          <w:rFonts w:cstheme="minorHAnsi"/>
        </w:rPr>
        <w:t>ž</w:t>
      </w:r>
      <w:r w:rsidRPr="00930B46">
        <w:rPr>
          <w:rFonts w:cstheme="minorHAnsi"/>
        </w:rPr>
        <w:t>km 279,880. Ovládanie je prevádzané obslužným počítačom. Z tohto PC je ovládané aj celé rameno Čadca – Skalité – št.</w:t>
      </w:r>
      <w:r w:rsidR="004A3FBC">
        <w:rPr>
          <w:rFonts w:cstheme="minorHAnsi"/>
        </w:rPr>
        <w:t xml:space="preserve"> </w:t>
      </w:r>
      <w:r w:rsidRPr="00930B46">
        <w:rPr>
          <w:rFonts w:cstheme="minorHAnsi"/>
        </w:rPr>
        <w:t xml:space="preserve">hranica PL. </w:t>
      </w:r>
    </w:p>
    <w:p w14:paraId="1A045F03" w14:textId="648DA27F" w:rsidR="0051218F" w:rsidRPr="00930B46" w:rsidRDefault="0051218F" w:rsidP="00931169">
      <w:pPr>
        <w:spacing w:before="120"/>
        <w:rPr>
          <w:rFonts w:cstheme="minorHAnsi"/>
          <w:b/>
          <w:bCs/>
          <w:i/>
          <w:szCs w:val="24"/>
        </w:rPr>
      </w:pPr>
      <w:r w:rsidRPr="00930B46">
        <w:rPr>
          <w:rFonts w:cstheme="minorHAnsi"/>
          <w:szCs w:val="24"/>
          <w:lang w:eastAsia="cs-CZ"/>
        </w:rPr>
        <w:t xml:space="preserve">Tab. </w:t>
      </w:r>
      <w:r w:rsidR="005940CA">
        <w:rPr>
          <w:rFonts w:cstheme="minorHAnsi"/>
          <w:szCs w:val="24"/>
          <w:lang w:eastAsia="cs-CZ"/>
        </w:rPr>
        <w:t xml:space="preserve">4: </w:t>
      </w:r>
      <w:r w:rsidRPr="00930B46">
        <w:rPr>
          <w:rFonts w:cstheme="minorHAnsi"/>
          <w:szCs w:val="24"/>
          <w:lang w:eastAsia="cs-CZ"/>
        </w:rPr>
        <w:t>Smerové vedenie trate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27"/>
        <w:gridCol w:w="2929"/>
        <w:gridCol w:w="1945"/>
        <w:gridCol w:w="1833"/>
      </w:tblGrid>
      <w:tr w:rsidR="0051218F" w:rsidRPr="00930B46" w14:paraId="5F53F265" w14:textId="77777777" w:rsidTr="0051218F">
        <w:trPr>
          <w:trHeight w:val="778"/>
        </w:trPr>
        <w:tc>
          <w:tcPr>
            <w:tcW w:w="2268" w:type="dxa"/>
            <w:tcBorders>
              <w:top w:val="single" w:sz="12" w:space="0" w:color="auto"/>
              <w:left w:val="single" w:sz="12" w:space="0" w:color="auto"/>
              <w:bottom w:val="single" w:sz="12" w:space="0" w:color="auto"/>
            </w:tcBorders>
            <w:vAlign w:val="center"/>
          </w:tcPr>
          <w:p w14:paraId="34BDB03C"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ŽST</w:t>
            </w:r>
          </w:p>
        </w:tc>
        <w:tc>
          <w:tcPr>
            <w:tcW w:w="2977" w:type="dxa"/>
            <w:tcBorders>
              <w:top w:val="single" w:sz="12" w:space="0" w:color="auto"/>
              <w:bottom w:val="single" w:sz="12" w:space="0" w:color="auto"/>
            </w:tcBorders>
            <w:vAlign w:val="center"/>
          </w:tcPr>
          <w:p w14:paraId="6C1EC5D6"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Počet</w:t>
            </w:r>
          </w:p>
          <w:p w14:paraId="73988CFD"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smerových oblúkov</w:t>
            </w:r>
          </w:p>
        </w:tc>
        <w:tc>
          <w:tcPr>
            <w:tcW w:w="1971" w:type="dxa"/>
            <w:tcBorders>
              <w:top w:val="single" w:sz="12" w:space="0" w:color="auto"/>
              <w:bottom w:val="single" w:sz="12" w:space="0" w:color="auto"/>
            </w:tcBorders>
            <w:vAlign w:val="center"/>
          </w:tcPr>
          <w:p w14:paraId="3E65B5A1"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Polomer</w:t>
            </w:r>
          </w:p>
          <w:p w14:paraId="5EF5B4BB"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(m)</w:t>
            </w:r>
          </w:p>
        </w:tc>
        <w:tc>
          <w:tcPr>
            <w:tcW w:w="1856" w:type="dxa"/>
            <w:tcBorders>
              <w:top w:val="single" w:sz="12" w:space="0" w:color="auto"/>
              <w:bottom w:val="single" w:sz="12" w:space="0" w:color="auto"/>
              <w:right w:val="single" w:sz="12" w:space="0" w:color="auto"/>
            </w:tcBorders>
            <w:vAlign w:val="center"/>
          </w:tcPr>
          <w:p w14:paraId="13236292"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Rýchlosť</w:t>
            </w:r>
          </w:p>
          <w:p w14:paraId="4F893F73"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(km/h)</w:t>
            </w:r>
          </w:p>
        </w:tc>
      </w:tr>
      <w:tr w:rsidR="0051218F" w:rsidRPr="00930B46" w14:paraId="68E98469" w14:textId="77777777" w:rsidTr="0051218F">
        <w:trPr>
          <w:trHeight w:val="246"/>
        </w:trPr>
        <w:tc>
          <w:tcPr>
            <w:tcW w:w="2268" w:type="dxa"/>
            <w:tcBorders>
              <w:top w:val="single" w:sz="12" w:space="0" w:color="auto"/>
              <w:left w:val="single" w:sz="12" w:space="0" w:color="auto"/>
              <w:bottom w:val="single" w:sz="12" w:space="0" w:color="auto"/>
            </w:tcBorders>
          </w:tcPr>
          <w:p w14:paraId="328701CE"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ŽST Čadca</w:t>
            </w:r>
          </w:p>
        </w:tc>
        <w:tc>
          <w:tcPr>
            <w:tcW w:w="2977" w:type="dxa"/>
            <w:tcBorders>
              <w:top w:val="single" w:sz="12" w:space="0" w:color="auto"/>
              <w:bottom w:val="single" w:sz="12" w:space="0" w:color="auto"/>
            </w:tcBorders>
          </w:tcPr>
          <w:p w14:paraId="005D1202"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4</w:t>
            </w:r>
          </w:p>
        </w:tc>
        <w:tc>
          <w:tcPr>
            <w:tcW w:w="1971" w:type="dxa"/>
            <w:tcBorders>
              <w:top w:val="single" w:sz="12" w:space="0" w:color="auto"/>
              <w:bottom w:val="single" w:sz="12" w:space="0" w:color="auto"/>
            </w:tcBorders>
          </w:tcPr>
          <w:p w14:paraId="0D8885DC"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500 - 268</w:t>
            </w:r>
          </w:p>
        </w:tc>
        <w:tc>
          <w:tcPr>
            <w:tcW w:w="1856" w:type="dxa"/>
            <w:tcBorders>
              <w:top w:val="single" w:sz="12" w:space="0" w:color="auto"/>
              <w:bottom w:val="single" w:sz="12" w:space="0" w:color="auto"/>
              <w:right w:val="single" w:sz="12" w:space="0" w:color="auto"/>
            </w:tcBorders>
          </w:tcPr>
          <w:p w14:paraId="49840611"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60</w:t>
            </w:r>
          </w:p>
        </w:tc>
      </w:tr>
    </w:tbl>
    <w:p w14:paraId="61899213" w14:textId="77777777" w:rsidR="0051218F" w:rsidRPr="00930B46" w:rsidRDefault="0051218F" w:rsidP="00931169">
      <w:pPr>
        <w:spacing w:before="120"/>
        <w:rPr>
          <w:rFonts w:cstheme="minorHAnsi"/>
          <w:b/>
          <w:bCs/>
          <w:szCs w:val="24"/>
          <w:lang w:eastAsia="cs-CZ"/>
        </w:rPr>
      </w:pPr>
      <w:r w:rsidRPr="00930B46">
        <w:rPr>
          <w:rFonts w:cstheme="minorHAnsi"/>
          <w:szCs w:val="24"/>
          <w:lang w:eastAsia="cs-CZ"/>
        </w:rPr>
        <w:t>Tab. Prehľad existujúcich železničných mostných objektov</w:t>
      </w:r>
    </w:p>
    <w:tbl>
      <w:tblPr>
        <w:tblW w:w="90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86"/>
        <w:gridCol w:w="1752"/>
        <w:gridCol w:w="5551"/>
      </w:tblGrid>
      <w:tr w:rsidR="0051218F" w:rsidRPr="00930B46" w14:paraId="69B86716" w14:textId="77777777" w:rsidTr="0051218F">
        <w:trPr>
          <w:trHeight w:val="746"/>
          <w:jc w:val="center"/>
        </w:trPr>
        <w:tc>
          <w:tcPr>
            <w:tcW w:w="1786" w:type="dxa"/>
            <w:tcBorders>
              <w:top w:val="single" w:sz="12" w:space="0" w:color="auto"/>
              <w:left w:val="single" w:sz="12" w:space="0" w:color="auto"/>
              <w:bottom w:val="single" w:sz="12" w:space="0" w:color="auto"/>
            </w:tcBorders>
            <w:vAlign w:val="center"/>
          </w:tcPr>
          <w:p w14:paraId="75B5CC40"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lastRenderedPageBreak/>
              <w:t>Staničenie</w:t>
            </w:r>
          </w:p>
          <w:p w14:paraId="5A699BEC" w14:textId="09ED8F04" w:rsidR="0051218F" w:rsidRPr="00930B46" w:rsidRDefault="00D3749B" w:rsidP="00931169">
            <w:pPr>
              <w:autoSpaceDE w:val="0"/>
              <w:autoSpaceDN w:val="0"/>
              <w:adjustRightInd w:val="0"/>
              <w:spacing w:line="271" w:lineRule="auto"/>
              <w:rPr>
                <w:rFonts w:cstheme="minorHAnsi"/>
                <w:b/>
                <w:szCs w:val="24"/>
              </w:rPr>
            </w:pPr>
            <w:r w:rsidRPr="00930B46">
              <w:rPr>
                <w:rFonts w:cstheme="minorHAnsi"/>
                <w:b/>
                <w:szCs w:val="24"/>
              </w:rPr>
              <w:t>S</w:t>
            </w:r>
            <w:r w:rsidR="0051218F" w:rsidRPr="00930B46">
              <w:rPr>
                <w:rFonts w:cstheme="minorHAnsi"/>
                <w:b/>
                <w:szCs w:val="24"/>
              </w:rPr>
              <w:t>žkm</w:t>
            </w:r>
          </w:p>
        </w:tc>
        <w:tc>
          <w:tcPr>
            <w:tcW w:w="1752" w:type="dxa"/>
            <w:tcBorders>
              <w:top w:val="single" w:sz="12" w:space="0" w:color="auto"/>
              <w:bottom w:val="single" w:sz="12" w:space="0" w:color="auto"/>
            </w:tcBorders>
            <w:vAlign w:val="center"/>
          </w:tcPr>
          <w:p w14:paraId="208FA37F"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Úsek</w:t>
            </w:r>
          </w:p>
        </w:tc>
        <w:tc>
          <w:tcPr>
            <w:tcW w:w="5551" w:type="dxa"/>
            <w:tcBorders>
              <w:top w:val="single" w:sz="12" w:space="0" w:color="auto"/>
              <w:bottom w:val="single" w:sz="12" w:space="0" w:color="auto"/>
              <w:right w:val="single" w:sz="12" w:space="0" w:color="auto"/>
            </w:tcBorders>
            <w:vAlign w:val="center"/>
          </w:tcPr>
          <w:p w14:paraId="41801528" w14:textId="77777777" w:rsidR="0051218F" w:rsidRPr="00930B46" w:rsidRDefault="0051218F" w:rsidP="00931169">
            <w:pPr>
              <w:autoSpaceDE w:val="0"/>
              <w:autoSpaceDN w:val="0"/>
              <w:adjustRightInd w:val="0"/>
              <w:spacing w:line="271" w:lineRule="auto"/>
              <w:rPr>
                <w:rFonts w:cstheme="minorHAnsi"/>
                <w:b/>
                <w:szCs w:val="24"/>
              </w:rPr>
            </w:pPr>
            <w:r w:rsidRPr="00930B46">
              <w:rPr>
                <w:rFonts w:cstheme="minorHAnsi"/>
                <w:b/>
                <w:szCs w:val="24"/>
              </w:rPr>
              <w:t>Konštrukcia mosta, premostenie</w:t>
            </w:r>
          </w:p>
        </w:tc>
      </w:tr>
      <w:tr w:rsidR="0051218F" w:rsidRPr="00930B46" w14:paraId="526050C8" w14:textId="77777777" w:rsidTr="0051218F">
        <w:trPr>
          <w:cantSplit/>
          <w:trHeight w:val="286"/>
          <w:jc w:val="center"/>
        </w:trPr>
        <w:tc>
          <w:tcPr>
            <w:tcW w:w="1786" w:type="dxa"/>
            <w:tcBorders>
              <w:top w:val="single" w:sz="12" w:space="0" w:color="auto"/>
              <w:left w:val="single" w:sz="12" w:space="0" w:color="auto"/>
              <w:right w:val="single" w:sz="4" w:space="0" w:color="auto"/>
            </w:tcBorders>
            <w:vAlign w:val="center"/>
          </w:tcPr>
          <w:p w14:paraId="6257A2BD" w14:textId="77777777" w:rsidR="0051218F" w:rsidRPr="00930B46" w:rsidRDefault="0051218F" w:rsidP="00931169">
            <w:pPr>
              <w:autoSpaceDE w:val="0"/>
              <w:autoSpaceDN w:val="0"/>
              <w:adjustRightInd w:val="0"/>
              <w:spacing w:line="271" w:lineRule="auto"/>
              <w:rPr>
                <w:rFonts w:cstheme="minorHAnsi"/>
                <w:color w:val="FF0000"/>
                <w:szCs w:val="24"/>
              </w:rPr>
            </w:pPr>
            <w:r w:rsidRPr="00930B46">
              <w:rPr>
                <w:rFonts w:cstheme="minorHAnsi"/>
                <w:szCs w:val="24"/>
              </w:rPr>
              <w:t>278,634</w:t>
            </w:r>
          </w:p>
        </w:tc>
        <w:tc>
          <w:tcPr>
            <w:tcW w:w="1752" w:type="dxa"/>
            <w:vMerge w:val="restart"/>
            <w:tcBorders>
              <w:top w:val="single" w:sz="12" w:space="0" w:color="auto"/>
              <w:left w:val="single" w:sz="4" w:space="0" w:color="auto"/>
              <w:right w:val="single" w:sz="4" w:space="0" w:color="auto"/>
            </w:tcBorders>
            <w:vAlign w:val="center"/>
          </w:tcPr>
          <w:p w14:paraId="570B0E24"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ŽST Čadca</w:t>
            </w:r>
          </w:p>
        </w:tc>
        <w:tc>
          <w:tcPr>
            <w:tcW w:w="5551" w:type="dxa"/>
            <w:tcBorders>
              <w:top w:val="single" w:sz="12" w:space="0" w:color="auto"/>
              <w:left w:val="single" w:sz="4" w:space="0" w:color="auto"/>
              <w:right w:val="single" w:sz="12" w:space="0" w:color="auto"/>
            </w:tcBorders>
            <w:vAlign w:val="center"/>
          </w:tcPr>
          <w:p w14:paraId="5E2A60FB"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železobetónový rám, sv. š. 4,00 m</w:t>
            </w:r>
          </w:p>
          <w:p w14:paraId="1AD75839"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 podchod pre chodcov (zast. Čadca - mesto)</w:t>
            </w:r>
          </w:p>
        </w:tc>
      </w:tr>
      <w:tr w:rsidR="0051218F" w:rsidRPr="00930B46" w14:paraId="0D181C11" w14:textId="77777777" w:rsidTr="0051218F">
        <w:trPr>
          <w:cantSplit/>
          <w:trHeight w:val="308"/>
          <w:jc w:val="center"/>
        </w:trPr>
        <w:tc>
          <w:tcPr>
            <w:tcW w:w="1786" w:type="dxa"/>
            <w:tcBorders>
              <w:left w:val="single" w:sz="12" w:space="0" w:color="auto"/>
              <w:right w:val="single" w:sz="4" w:space="0" w:color="auto"/>
            </w:tcBorders>
            <w:vAlign w:val="center"/>
          </w:tcPr>
          <w:p w14:paraId="5407ECD6" w14:textId="77777777" w:rsidR="0051218F" w:rsidRPr="00930B46" w:rsidRDefault="0051218F" w:rsidP="00931169">
            <w:pPr>
              <w:autoSpaceDE w:val="0"/>
              <w:autoSpaceDN w:val="0"/>
              <w:adjustRightInd w:val="0"/>
              <w:spacing w:line="271" w:lineRule="auto"/>
              <w:rPr>
                <w:rFonts w:cstheme="minorHAnsi"/>
                <w:color w:val="FF0000"/>
                <w:szCs w:val="24"/>
              </w:rPr>
            </w:pPr>
            <w:r w:rsidRPr="00930B46">
              <w:rPr>
                <w:rFonts w:cstheme="minorHAnsi"/>
                <w:szCs w:val="24"/>
              </w:rPr>
              <w:t>278,964</w:t>
            </w:r>
          </w:p>
        </w:tc>
        <w:tc>
          <w:tcPr>
            <w:tcW w:w="1752" w:type="dxa"/>
            <w:vMerge/>
            <w:tcBorders>
              <w:left w:val="single" w:sz="4" w:space="0" w:color="auto"/>
              <w:right w:val="single" w:sz="4" w:space="0" w:color="auto"/>
            </w:tcBorders>
            <w:vAlign w:val="center"/>
          </w:tcPr>
          <w:p w14:paraId="4F15A1F6" w14:textId="77777777" w:rsidR="0051218F" w:rsidRPr="00930B46" w:rsidRDefault="0051218F" w:rsidP="00931169">
            <w:pPr>
              <w:autoSpaceDE w:val="0"/>
              <w:autoSpaceDN w:val="0"/>
              <w:adjustRightInd w:val="0"/>
              <w:spacing w:line="271" w:lineRule="auto"/>
              <w:rPr>
                <w:rFonts w:cstheme="minorHAnsi"/>
                <w:color w:val="FF0000"/>
                <w:szCs w:val="24"/>
              </w:rPr>
            </w:pPr>
          </w:p>
        </w:tc>
        <w:tc>
          <w:tcPr>
            <w:tcW w:w="5551" w:type="dxa"/>
            <w:tcBorders>
              <w:left w:val="single" w:sz="4" w:space="0" w:color="auto"/>
              <w:right w:val="single" w:sz="12" w:space="0" w:color="auto"/>
            </w:tcBorders>
            <w:vAlign w:val="center"/>
          </w:tcPr>
          <w:p w14:paraId="0BF33A81"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Oceľový trojpoľový, 10,9+30,5+10,9m - rieka Kysuca</w:t>
            </w:r>
          </w:p>
        </w:tc>
      </w:tr>
      <w:tr w:rsidR="0051218F" w:rsidRPr="00930B46" w14:paraId="2F563E66" w14:textId="77777777" w:rsidTr="0051218F">
        <w:trPr>
          <w:cantSplit/>
          <w:trHeight w:val="308"/>
          <w:jc w:val="center"/>
        </w:trPr>
        <w:tc>
          <w:tcPr>
            <w:tcW w:w="1786" w:type="dxa"/>
            <w:tcBorders>
              <w:left w:val="single" w:sz="12" w:space="0" w:color="auto"/>
              <w:right w:val="single" w:sz="4" w:space="0" w:color="auto"/>
            </w:tcBorders>
            <w:vAlign w:val="center"/>
          </w:tcPr>
          <w:p w14:paraId="70F96A4D" w14:textId="77777777" w:rsidR="0051218F" w:rsidRPr="00930B46" w:rsidRDefault="0051218F" w:rsidP="00931169">
            <w:pPr>
              <w:autoSpaceDE w:val="0"/>
              <w:autoSpaceDN w:val="0"/>
              <w:adjustRightInd w:val="0"/>
              <w:spacing w:line="271" w:lineRule="auto"/>
              <w:rPr>
                <w:rFonts w:cstheme="minorHAnsi"/>
                <w:color w:val="FF0000"/>
                <w:szCs w:val="24"/>
              </w:rPr>
            </w:pPr>
            <w:r w:rsidRPr="00930B46">
              <w:rPr>
                <w:rFonts w:cstheme="minorHAnsi"/>
                <w:szCs w:val="24"/>
              </w:rPr>
              <w:t>279,035</w:t>
            </w:r>
          </w:p>
        </w:tc>
        <w:tc>
          <w:tcPr>
            <w:tcW w:w="1752" w:type="dxa"/>
            <w:vMerge/>
            <w:tcBorders>
              <w:left w:val="single" w:sz="4" w:space="0" w:color="auto"/>
              <w:right w:val="single" w:sz="4" w:space="0" w:color="auto"/>
            </w:tcBorders>
            <w:vAlign w:val="center"/>
          </w:tcPr>
          <w:p w14:paraId="2B6FF9AB" w14:textId="77777777" w:rsidR="0051218F" w:rsidRPr="00930B46" w:rsidRDefault="0051218F" w:rsidP="00931169">
            <w:pPr>
              <w:autoSpaceDE w:val="0"/>
              <w:autoSpaceDN w:val="0"/>
              <w:adjustRightInd w:val="0"/>
              <w:spacing w:line="271" w:lineRule="auto"/>
              <w:rPr>
                <w:rFonts w:cstheme="minorHAnsi"/>
                <w:color w:val="FF0000"/>
                <w:szCs w:val="24"/>
              </w:rPr>
            </w:pPr>
          </w:p>
        </w:tc>
        <w:tc>
          <w:tcPr>
            <w:tcW w:w="5551" w:type="dxa"/>
            <w:tcBorders>
              <w:left w:val="single" w:sz="4" w:space="0" w:color="auto"/>
              <w:right w:val="single" w:sz="12" w:space="0" w:color="auto"/>
            </w:tcBorders>
            <w:vAlign w:val="center"/>
          </w:tcPr>
          <w:p w14:paraId="01C9EBF8"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žel. - bet. doska, sv. š. 5,80 m, sv. v. 2,30 m</w:t>
            </w:r>
          </w:p>
          <w:p w14:paraId="3A6E2A36"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 obslužná komunikácia</w:t>
            </w:r>
          </w:p>
        </w:tc>
      </w:tr>
      <w:tr w:rsidR="0051218F" w:rsidRPr="00930B46" w14:paraId="69ADF2F1" w14:textId="77777777" w:rsidTr="0051218F">
        <w:trPr>
          <w:cantSplit/>
          <w:trHeight w:val="308"/>
          <w:jc w:val="center"/>
        </w:trPr>
        <w:tc>
          <w:tcPr>
            <w:tcW w:w="1786" w:type="dxa"/>
            <w:tcBorders>
              <w:left w:val="single" w:sz="12" w:space="0" w:color="auto"/>
              <w:right w:val="single" w:sz="4" w:space="0" w:color="auto"/>
            </w:tcBorders>
            <w:vAlign w:val="center"/>
          </w:tcPr>
          <w:p w14:paraId="1AA4A54D"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279,223</w:t>
            </w:r>
          </w:p>
        </w:tc>
        <w:tc>
          <w:tcPr>
            <w:tcW w:w="1752" w:type="dxa"/>
            <w:vMerge/>
            <w:tcBorders>
              <w:left w:val="single" w:sz="4" w:space="0" w:color="auto"/>
              <w:right w:val="single" w:sz="4" w:space="0" w:color="auto"/>
            </w:tcBorders>
            <w:vAlign w:val="center"/>
          </w:tcPr>
          <w:p w14:paraId="39663112" w14:textId="77777777" w:rsidR="0051218F" w:rsidRPr="00930B46" w:rsidRDefault="0051218F" w:rsidP="00931169">
            <w:pPr>
              <w:autoSpaceDE w:val="0"/>
              <w:autoSpaceDN w:val="0"/>
              <w:adjustRightInd w:val="0"/>
              <w:spacing w:line="271" w:lineRule="auto"/>
              <w:rPr>
                <w:rFonts w:cstheme="minorHAnsi"/>
                <w:color w:val="FF0000"/>
                <w:szCs w:val="24"/>
              </w:rPr>
            </w:pPr>
          </w:p>
        </w:tc>
        <w:tc>
          <w:tcPr>
            <w:tcW w:w="5551" w:type="dxa"/>
            <w:tcBorders>
              <w:left w:val="single" w:sz="4" w:space="0" w:color="auto"/>
              <w:right w:val="single" w:sz="12" w:space="0" w:color="auto"/>
            </w:tcBorders>
            <w:vAlign w:val="center"/>
          </w:tcPr>
          <w:p w14:paraId="20755EED"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žel. - bet. doska, sv. š. 4,00 m, sv. v. 2,00 m</w:t>
            </w:r>
          </w:p>
          <w:p w14:paraId="51C76657"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 podchod pre chodcov</w:t>
            </w:r>
          </w:p>
        </w:tc>
      </w:tr>
      <w:tr w:rsidR="0051218F" w:rsidRPr="00930B46" w14:paraId="262D6DAD" w14:textId="77777777" w:rsidTr="0051218F">
        <w:trPr>
          <w:cantSplit/>
          <w:trHeight w:val="284"/>
          <w:jc w:val="center"/>
        </w:trPr>
        <w:tc>
          <w:tcPr>
            <w:tcW w:w="1786" w:type="dxa"/>
            <w:tcBorders>
              <w:left w:val="single" w:sz="12" w:space="0" w:color="auto"/>
              <w:right w:val="single" w:sz="4" w:space="0" w:color="auto"/>
            </w:tcBorders>
            <w:vAlign w:val="center"/>
          </w:tcPr>
          <w:p w14:paraId="514DF180" w14:textId="77777777" w:rsidR="0051218F" w:rsidRPr="00930B46" w:rsidRDefault="0051218F" w:rsidP="00931169">
            <w:pPr>
              <w:autoSpaceDE w:val="0"/>
              <w:autoSpaceDN w:val="0"/>
              <w:adjustRightInd w:val="0"/>
              <w:spacing w:line="271" w:lineRule="auto"/>
              <w:rPr>
                <w:rFonts w:cstheme="minorHAnsi"/>
                <w:color w:val="FF0000"/>
                <w:szCs w:val="24"/>
              </w:rPr>
            </w:pPr>
            <w:r w:rsidRPr="00930B46">
              <w:rPr>
                <w:rFonts w:cstheme="minorHAnsi"/>
                <w:szCs w:val="24"/>
              </w:rPr>
              <w:t>279,759</w:t>
            </w:r>
          </w:p>
        </w:tc>
        <w:tc>
          <w:tcPr>
            <w:tcW w:w="1752" w:type="dxa"/>
            <w:vMerge/>
            <w:tcBorders>
              <w:left w:val="single" w:sz="4" w:space="0" w:color="auto"/>
              <w:right w:val="single" w:sz="4" w:space="0" w:color="auto"/>
            </w:tcBorders>
            <w:vAlign w:val="center"/>
          </w:tcPr>
          <w:p w14:paraId="36368F32" w14:textId="77777777" w:rsidR="0051218F" w:rsidRPr="00930B46" w:rsidRDefault="0051218F" w:rsidP="00931169">
            <w:pPr>
              <w:autoSpaceDE w:val="0"/>
              <w:autoSpaceDN w:val="0"/>
              <w:adjustRightInd w:val="0"/>
              <w:spacing w:line="271" w:lineRule="auto"/>
              <w:rPr>
                <w:rFonts w:cstheme="minorHAnsi"/>
                <w:color w:val="FF0000"/>
                <w:szCs w:val="24"/>
              </w:rPr>
            </w:pPr>
          </w:p>
        </w:tc>
        <w:tc>
          <w:tcPr>
            <w:tcW w:w="5551" w:type="dxa"/>
            <w:tcBorders>
              <w:left w:val="single" w:sz="4" w:space="0" w:color="auto"/>
              <w:right w:val="single" w:sz="12" w:space="0" w:color="auto"/>
            </w:tcBorders>
            <w:vAlign w:val="center"/>
          </w:tcPr>
          <w:p w14:paraId="662046E1"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žel. - bet. konštrukcia, sv. š. 4,00 m, sv. v. 2,60 m</w:t>
            </w:r>
          </w:p>
          <w:p w14:paraId="7F4C1E25"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 xml:space="preserve"> - podchod pre cestujúcich</w:t>
            </w:r>
          </w:p>
        </w:tc>
      </w:tr>
      <w:tr w:rsidR="0051218F" w:rsidRPr="00930B46" w14:paraId="3A938341" w14:textId="77777777" w:rsidTr="0051218F">
        <w:trPr>
          <w:cantSplit/>
          <w:trHeight w:val="308"/>
          <w:jc w:val="center"/>
        </w:trPr>
        <w:tc>
          <w:tcPr>
            <w:tcW w:w="1786" w:type="dxa"/>
            <w:tcBorders>
              <w:left w:val="single" w:sz="12" w:space="0" w:color="auto"/>
              <w:bottom w:val="single" w:sz="4" w:space="0" w:color="auto"/>
              <w:right w:val="single" w:sz="4" w:space="0" w:color="auto"/>
            </w:tcBorders>
            <w:vAlign w:val="center"/>
          </w:tcPr>
          <w:p w14:paraId="37D53F9E" w14:textId="77777777" w:rsidR="0051218F" w:rsidRPr="00930B46" w:rsidRDefault="0051218F" w:rsidP="00931169">
            <w:pPr>
              <w:autoSpaceDE w:val="0"/>
              <w:autoSpaceDN w:val="0"/>
              <w:adjustRightInd w:val="0"/>
              <w:spacing w:line="271" w:lineRule="auto"/>
              <w:rPr>
                <w:rFonts w:cstheme="minorHAnsi"/>
                <w:color w:val="FF0000"/>
                <w:szCs w:val="24"/>
              </w:rPr>
            </w:pPr>
            <w:r w:rsidRPr="00930B46">
              <w:rPr>
                <w:rFonts w:cstheme="minorHAnsi"/>
                <w:szCs w:val="24"/>
              </w:rPr>
              <w:t>279,941</w:t>
            </w:r>
          </w:p>
        </w:tc>
        <w:tc>
          <w:tcPr>
            <w:tcW w:w="1752" w:type="dxa"/>
            <w:vMerge/>
            <w:tcBorders>
              <w:left w:val="single" w:sz="4" w:space="0" w:color="auto"/>
              <w:bottom w:val="single" w:sz="4" w:space="0" w:color="auto"/>
              <w:right w:val="single" w:sz="4" w:space="0" w:color="auto"/>
            </w:tcBorders>
            <w:vAlign w:val="center"/>
          </w:tcPr>
          <w:p w14:paraId="0AF66BF7" w14:textId="77777777" w:rsidR="0051218F" w:rsidRPr="00930B46" w:rsidRDefault="0051218F" w:rsidP="00931169">
            <w:pPr>
              <w:autoSpaceDE w:val="0"/>
              <w:autoSpaceDN w:val="0"/>
              <w:adjustRightInd w:val="0"/>
              <w:spacing w:line="271" w:lineRule="auto"/>
              <w:rPr>
                <w:rFonts w:cstheme="minorHAnsi"/>
                <w:color w:val="FF0000"/>
                <w:szCs w:val="24"/>
              </w:rPr>
            </w:pPr>
          </w:p>
        </w:tc>
        <w:tc>
          <w:tcPr>
            <w:tcW w:w="5551" w:type="dxa"/>
            <w:tcBorders>
              <w:left w:val="single" w:sz="4" w:space="0" w:color="auto"/>
              <w:bottom w:val="single" w:sz="4" w:space="0" w:color="auto"/>
              <w:right w:val="single" w:sz="12" w:space="0" w:color="auto"/>
            </w:tcBorders>
            <w:vAlign w:val="center"/>
          </w:tcPr>
          <w:p w14:paraId="2A9894DC"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oceľová priehradová konštr. - lávka pre chodcov</w:t>
            </w:r>
          </w:p>
        </w:tc>
      </w:tr>
      <w:tr w:rsidR="0051218F" w:rsidRPr="00930B46" w14:paraId="6CDB2082" w14:textId="77777777" w:rsidTr="0051218F">
        <w:trPr>
          <w:cantSplit/>
          <w:trHeight w:val="308"/>
          <w:jc w:val="center"/>
        </w:trPr>
        <w:tc>
          <w:tcPr>
            <w:tcW w:w="1786" w:type="dxa"/>
            <w:tcBorders>
              <w:left w:val="single" w:sz="12" w:space="0" w:color="auto"/>
              <w:bottom w:val="single" w:sz="12" w:space="0" w:color="auto"/>
              <w:right w:val="single" w:sz="4" w:space="0" w:color="auto"/>
            </w:tcBorders>
            <w:vAlign w:val="center"/>
          </w:tcPr>
          <w:p w14:paraId="481F2B74" w14:textId="77777777" w:rsidR="0051218F" w:rsidRPr="00930B46" w:rsidRDefault="0051218F" w:rsidP="00931169">
            <w:pPr>
              <w:autoSpaceDE w:val="0"/>
              <w:autoSpaceDN w:val="0"/>
              <w:adjustRightInd w:val="0"/>
              <w:spacing w:line="271" w:lineRule="auto"/>
              <w:rPr>
                <w:rFonts w:cstheme="minorHAnsi"/>
                <w:color w:val="FF0000"/>
                <w:szCs w:val="24"/>
              </w:rPr>
            </w:pPr>
            <w:r w:rsidRPr="00930B46">
              <w:rPr>
                <w:rFonts w:cstheme="minorHAnsi"/>
                <w:szCs w:val="24"/>
              </w:rPr>
              <w:t>281,056</w:t>
            </w:r>
          </w:p>
        </w:tc>
        <w:tc>
          <w:tcPr>
            <w:tcW w:w="1752" w:type="dxa"/>
            <w:vMerge/>
            <w:tcBorders>
              <w:left w:val="single" w:sz="4" w:space="0" w:color="auto"/>
              <w:bottom w:val="single" w:sz="12" w:space="0" w:color="auto"/>
              <w:right w:val="single" w:sz="4" w:space="0" w:color="auto"/>
            </w:tcBorders>
            <w:vAlign w:val="center"/>
          </w:tcPr>
          <w:p w14:paraId="6ED2EEFC" w14:textId="77777777" w:rsidR="0051218F" w:rsidRPr="00930B46" w:rsidRDefault="0051218F" w:rsidP="00931169">
            <w:pPr>
              <w:autoSpaceDE w:val="0"/>
              <w:autoSpaceDN w:val="0"/>
              <w:adjustRightInd w:val="0"/>
              <w:spacing w:line="271" w:lineRule="auto"/>
              <w:rPr>
                <w:rFonts w:cstheme="minorHAnsi"/>
                <w:color w:val="FF0000"/>
                <w:szCs w:val="24"/>
              </w:rPr>
            </w:pPr>
          </w:p>
        </w:tc>
        <w:tc>
          <w:tcPr>
            <w:tcW w:w="5551" w:type="dxa"/>
            <w:tcBorders>
              <w:left w:val="single" w:sz="4" w:space="0" w:color="auto"/>
              <w:bottom w:val="single" w:sz="12" w:space="0" w:color="auto"/>
              <w:right w:val="single" w:sz="12" w:space="0" w:color="auto"/>
            </w:tcBorders>
            <w:vAlign w:val="center"/>
          </w:tcPr>
          <w:p w14:paraId="2D271E54"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Oceľový jednopoľový,  sv. š. 15,50 m</w:t>
            </w:r>
          </w:p>
          <w:p w14:paraId="50C33BD4" w14:textId="77777777" w:rsidR="0051218F" w:rsidRPr="00930B46" w:rsidRDefault="0051218F" w:rsidP="00931169">
            <w:pPr>
              <w:autoSpaceDE w:val="0"/>
              <w:autoSpaceDN w:val="0"/>
              <w:adjustRightInd w:val="0"/>
              <w:spacing w:line="271" w:lineRule="auto"/>
              <w:rPr>
                <w:rFonts w:cstheme="minorHAnsi"/>
                <w:szCs w:val="24"/>
              </w:rPr>
            </w:pPr>
            <w:r w:rsidRPr="00930B46">
              <w:rPr>
                <w:rFonts w:cstheme="minorHAnsi"/>
                <w:szCs w:val="24"/>
              </w:rPr>
              <w:t>-  potok Čadečanka</w:t>
            </w:r>
          </w:p>
        </w:tc>
      </w:tr>
    </w:tbl>
    <w:p w14:paraId="2D7B1C08" w14:textId="1DCECE0F" w:rsidR="00CD4483" w:rsidRPr="00930B46" w:rsidRDefault="00CD4483" w:rsidP="00931169">
      <w:pPr>
        <w:pStyle w:val="Nadpis2"/>
        <w:rPr>
          <w:rFonts w:cstheme="minorHAnsi"/>
        </w:rPr>
      </w:pPr>
      <w:bookmarkStart w:id="25" w:name="_Toc15669881"/>
      <w:bookmarkStart w:id="26" w:name="_Toc16745194"/>
      <w:bookmarkStart w:id="27" w:name="_Toc16750088"/>
      <w:bookmarkStart w:id="28" w:name="_Toc88652913"/>
      <w:r w:rsidRPr="00930B46">
        <w:rPr>
          <w:rFonts w:cstheme="minorHAnsi"/>
        </w:rPr>
        <w:t>2.3</w:t>
      </w:r>
      <w:r w:rsidRPr="00930B46">
        <w:rPr>
          <w:rFonts w:cstheme="minorHAnsi"/>
        </w:rPr>
        <w:tab/>
        <w:t xml:space="preserve">Medzistaničný úsek ŽST Čadca </w:t>
      </w:r>
      <w:r w:rsidR="001A3393">
        <w:rPr>
          <w:rFonts w:cstheme="minorHAnsi"/>
        </w:rPr>
        <w:t xml:space="preserve">(mimo) </w:t>
      </w:r>
      <w:r w:rsidRPr="00930B46">
        <w:rPr>
          <w:rFonts w:cstheme="minorHAnsi"/>
        </w:rPr>
        <w:t>–  št.hr SR/ČR</w:t>
      </w:r>
      <w:bookmarkEnd w:id="25"/>
      <w:bookmarkEnd w:id="26"/>
      <w:bookmarkEnd w:id="27"/>
      <w:bookmarkEnd w:id="28"/>
    </w:p>
    <w:p w14:paraId="66EF1BAC" w14:textId="47A87649" w:rsidR="00CD4483" w:rsidRPr="00930B46" w:rsidRDefault="00CD4483" w:rsidP="00931169">
      <w:pPr>
        <w:ind w:firstLine="708"/>
        <w:rPr>
          <w:rFonts w:cstheme="minorHAnsi"/>
        </w:rPr>
      </w:pPr>
      <w:r w:rsidRPr="00930B46">
        <w:rPr>
          <w:rFonts w:cstheme="minorHAnsi"/>
        </w:rPr>
        <w:t xml:space="preserve">Uvedený úsek predstavuje časť medzistaničného úseku ohraničeného železničnými stanicami </w:t>
      </w:r>
      <w:r w:rsidR="001A3393">
        <w:rPr>
          <w:rFonts w:cstheme="minorHAnsi"/>
        </w:rPr>
        <w:t xml:space="preserve">ŽST </w:t>
      </w:r>
      <w:r w:rsidRPr="00930B46">
        <w:rPr>
          <w:rFonts w:cstheme="minorHAnsi"/>
        </w:rPr>
        <w:t>Čadca a</w:t>
      </w:r>
      <w:r w:rsidR="001A3393">
        <w:rPr>
          <w:rFonts w:cstheme="minorHAnsi"/>
        </w:rPr>
        <w:t xml:space="preserve"> ŽST </w:t>
      </w:r>
      <w:r w:rsidRPr="00930B46">
        <w:rPr>
          <w:rFonts w:cstheme="minorHAnsi"/>
        </w:rPr>
        <w:t>Mosty u Jablunkova.</w:t>
      </w:r>
    </w:p>
    <w:p w14:paraId="7E057B3C" w14:textId="440BEF6E" w:rsidR="00CD4483" w:rsidRPr="00930B46" w:rsidRDefault="00CD4483" w:rsidP="00931169">
      <w:pPr>
        <w:ind w:firstLine="708"/>
        <w:rPr>
          <w:rFonts w:cstheme="minorHAnsi"/>
        </w:rPr>
      </w:pPr>
      <w:r w:rsidRPr="00930B46">
        <w:rPr>
          <w:rFonts w:cstheme="minorHAnsi"/>
        </w:rPr>
        <w:t xml:space="preserve">Predmetný úsek </w:t>
      </w:r>
      <w:r w:rsidR="001A3393">
        <w:rPr>
          <w:rFonts w:cstheme="minorHAnsi"/>
        </w:rPr>
        <w:t xml:space="preserve">ŽST </w:t>
      </w:r>
      <w:r w:rsidRPr="00930B46">
        <w:rPr>
          <w:rFonts w:cstheme="minorHAnsi"/>
        </w:rPr>
        <w:t xml:space="preserve">Čadca (mimo) – </w:t>
      </w:r>
      <w:r w:rsidR="001A3393">
        <w:rPr>
          <w:rFonts w:cstheme="minorHAnsi"/>
        </w:rPr>
        <w:t>š</w:t>
      </w:r>
      <w:r w:rsidRPr="00930B46">
        <w:rPr>
          <w:rFonts w:cstheme="minorHAnsi"/>
        </w:rPr>
        <w:t>tátna hranica SR/ČR je súčasťou trate 106D Žilina – Čadca – Mosty u Jablunkova CZ,  je dlhý dopravne 6,7</w:t>
      </w:r>
      <w:r w:rsidR="001A3393">
        <w:rPr>
          <w:rFonts w:cstheme="minorHAnsi"/>
        </w:rPr>
        <w:t xml:space="preserve">00 </w:t>
      </w:r>
      <w:r w:rsidRPr="00930B46">
        <w:rPr>
          <w:rFonts w:cstheme="minorHAnsi"/>
        </w:rPr>
        <w:t xml:space="preserve">sžkm, samotné stavebné práce sa týkajú nžkm 279,150 až nžkm 284,340. Úsek je dvojkoľajný, elektrifikovaný jednosmernou trakčnou sústavou 3 kV. </w:t>
      </w:r>
    </w:p>
    <w:p w14:paraId="3E5ED72C" w14:textId="3844AFDC" w:rsidR="00CD4483" w:rsidRPr="00930B46" w:rsidRDefault="00CD4483" w:rsidP="00931169">
      <w:pPr>
        <w:ind w:firstLine="708"/>
        <w:rPr>
          <w:rFonts w:cstheme="minorHAnsi"/>
        </w:rPr>
      </w:pPr>
      <w:r w:rsidRPr="00930B46">
        <w:rPr>
          <w:rFonts w:cstheme="minorHAnsi"/>
        </w:rPr>
        <w:t xml:space="preserve">Medzistaničný úsek </w:t>
      </w:r>
      <w:r w:rsidR="001A3393">
        <w:rPr>
          <w:rFonts w:cstheme="minorHAnsi"/>
        </w:rPr>
        <w:t xml:space="preserve">ŽST </w:t>
      </w:r>
      <w:r w:rsidRPr="00930B46">
        <w:rPr>
          <w:rFonts w:cstheme="minorHAnsi"/>
        </w:rPr>
        <w:t>Čadca</w:t>
      </w:r>
      <w:r w:rsidR="001A3393">
        <w:rPr>
          <w:rFonts w:cstheme="minorHAnsi"/>
        </w:rPr>
        <w:t xml:space="preserve"> (mimo)</w:t>
      </w:r>
      <w:r w:rsidRPr="00930B46">
        <w:rPr>
          <w:rFonts w:cstheme="minorHAnsi"/>
        </w:rPr>
        <w:t xml:space="preserve"> – </w:t>
      </w:r>
      <w:r w:rsidR="001A3393">
        <w:rPr>
          <w:rFonts w:cstheme="minorHAnsi"/>
        </w:rPr>
        <w:t xml:space="preserve">ŽST </w:t>
      </w:r>
      <w:r w:rsidRPr="00930B46">
        <w:rPr>
          <w:rFonts w:cstheme="minorHAnsi"/>
        </w:rPr>
        <w:t>Mosty u</w:t>
      </w:r>
      <w:r w:rsidR="001A3393">
        <w:rPr>
          <w:rFonts w:cstheme="minorHAnsi"/>
        </w:rPr>
        <w:t> </w:t>
      </w:r>
      <w:r w:rsidRPr="00930B46">
        <w:rPr>
          <w:rFonts w:cstheme="minorHAnsi"/>
        </w:rPr>
        <w:t>Jablunkova</w:t>
      </w:r>
      <w:r w:rsidR="001A3393">
        <w:rPr>
          <w:rFonts w:cstheme="minorHAnsi"/>
        </w:rPr>
        <w:t xml:space="preserve"> (mimo)</w:t>
      </w:r>
      <w:r w:rsidRPr="00930B46">
        <w:rPr>
          <w:rFonts w:cstheme="minorHAnsi"/>
        </w:rPr>
        <w:t xml:space="preserve"> je vybavený traťovým zabezpečovacím (TZZ) zariadením 3. kategórie – obojsmerným automatickým blokom. Medzistaničný úsek Krásno nad Kysucou  - Čadca je vybavený TZZ 3. kategórie – obojsmerným automatickým blokom a úsek Čadca - Čierne pri Čadci - Skalité 3. kategórie – automatickým diaľkovo ovládaným traťovým zabezpečovacím zariadením. Prevádzka na tratiach je pravostranná.</w:t>
      </w:r>
    </w:p>
    <w:p w14:paraId="57718747" w14:textId="77777777" w:rsidR="00CD4483" w:rsidRPr="00930B46" w:rsidRDefault="00CD4483" w:rsidP="00931169">
      <w:pPr>
        <w:rPr>
          <w:rFonts w:cstheme="minorHAnsi"/>
        </w:rPr>
      </w:pPr>
    </w:p>
    <w:p w14:paraId="395F95E5" w14:textId="77777777" w:rsidR="00CD4483" w:rsidRPr="00930B46" w:rsidRDefault="00CD4483" w:rsidP="00931169">
      <w:pPr>
        <w:ind w:firstLine="708"/>
        <w:rPr>
          <w:rFonts w:cstheme="minorHAnsi"/>
        </w:rPr>
      </w:pPr>
      <w:r w:rsidRPr="00930B46">
        <w:rPr>
          <w:rFonts w:cstheme="minorHAnsi"/>
        </w:rPr>
        <w:t>Traťová rýchlosť v úseku je 80 km/ h, s miestnym obmedzením v km 283,723 až 285,671 na rýchlosť 70 km/h pre HDV skupiny prechodnosti 3, v minulosti bolo opakovane zavedené miestne obmedzenie na 40 km/h v 2.koľaji v km 286,380 až 286,420 z dôvodu havarijného stavu železničného spodku v mieste zosuvu svahu.</w:t>
      </w:r>
    </w:p>
    <w:p w14:paraId="230649A3" w14:textId="3B7CA3F2" w:rsidR="00CD4483" w:rsidRPr="00930B46" w:rsidRDefault="00CD4483" w:rsidP="00931169">
      <w:pPr>
        <w:rPr>
          <w:rFonts w:cstheme="minorHAnsi"/>
        </w:rPr>
      </w:pPr>
      <w:r w:rsidRPr="00930B46">
        <w:rPr>
          <w:rFonts w:cstheme="minorHAnsi"/>
          <w:color w:val="FF0000"/>
        </w:rPr>
        <w:tab/>
      </w:r>
      <w:r w:rsidRPr="00930B46">
        <w:rPr>
          <w:rFonts w:cstheme="minorHAnsi"/>
        </w:rPr>
        <w:t xml:space="preserve">Trieda zaťaženia trate v  úseku je D4. Priechodný prierez B / 1-SM. Maximálne rozhodné stúpanie (pre párny smer) a rozhodný spád (pre nepárny smer) 16‰ v úseku Čadca – </w:t>
      </w:r>
      <w:r w:rsidR="001A3393">
        <w:rPr>
          <w:rFonts w:cstheme="minorHAnsi"/>
        </w:rPr>
        <w:t>š</w:t>
      </w:r>
      <w:r w:rsidRPr="00930B46">
        <w:rPr>
          <w:rFonts w:cstheme="minorHAnsi"/>
        </w:rPr>
        <w:t>tátna hranica SR/ČR. Normatív dĺžky nákladných vlakov je 700 m.</w:t>
      </w:r>
    </w:p>
    <w:p w14:paraId="4343A4B7" w14:textId="77777777" w:rsidR="00CD4483" w:rsidRPr="00930B46" w:rsidRDefault="00CD4483" w:rsidP="00931169">
      <w:pPr>
        <w:rPr>
          <w:rFonts w:cstheme="minorHAnsi"/>
        </w:rPr>
      </w:pPr>
    </w:p>
    <w:p w14:paraId="17FD3DD1" w14:textId="77777777" w:rsidR="005940CA" w:rsidRDefault="005940CA" w:rsidP="00931169">
      <w:pPr>
        <w:pStyle w:val="Zarkazkladnhotextu"/>
        <w:overflowPunct/>
        <w:adjustRightInd/>
        <w:spacing w:before="60"/>
        <w:ind w:left="0" w:firstLine="360"/>
        <w:jc w:val="both"/>
        <w:textAlignment w:val="auto"/>
        <w:rPr>
          <w:rFonts w:asciiTheme="minorHAnsi" w:hAnsiTheme="minorHAnsi" w:cstheme="minorHAnsi"/>
          <w:b/>
          <w:bCs/>
        </w:rPr>
      </w:pPr>
    </w:p>
    <w:p w14:paraId="5228F1EA" w14:textId="77777777" w:rsidR="005940CA" w:rsidRDefault="005940CA" w:rsidP="00931169">
      <w:pPr>
        <w:pStyle w:val="Zarkazkladnhotextu"/>
        <w:overflowPunct/>
        <w:adjustRightInd/>
        <w:spacing w:before="60"/>
        <w:ind w:left="0" w:firstLine="360"/>
        <w:jc w:val="both"/>
        <w:textAlignment w:val="auto"/>
        <w:rPr>
          <w:rFonts w:asciiTheme="minorHAnsi" w:hAnsiTheme="minorHAnsi" w:cstheme="minorHAnsi"/>
          <w:b/>
          <w:bCs/>
        </w:rPr>
      </w:pPr>
    </w:p>
    <w:p w14:paraId="1512EAA8" w14:textId="69393165" w:rsidR="00CD4483" w:rsidRPr="00930B46" w:rsidRDefault="00CD4483" w:rsidP="00931169">
      <w:pPr>
        <w:pStyle w:val="Zarkazkladnhotextu"/>
        <w:overflowPunct/>
        <w:adjustRightInd/>
        <w:spacing w:before="60"/>
        <w:ind w:left="0" w:firstLine="360"/>
        <w:jc w:val="both"/>
        <w:textAlignment w:val="auto"/>
        <w:rPr>
          <w:rFonts w:asciiTheme="minorHAnsi" w:hAnsiTheme="minorHAnsi" w:cstheme="minorHAnsi"/>
          <w:b/>
          <w:bCs/>
        </w:rPr>
      </w:pPr>
      <w:r w:rsidRPr="00930B46">
        <w:rPr>
          <w:rFonts w:asciiTheme="minorHAnsi" w:hAnsiTheme="minorHAnsi" w:cstheme="minorHAnsi"/>
          <w:b/>
          <w:bCs/>
        </w:rPr>
        <w:lastRenderedPageBreak/>
        <w:t>Zastávky</w:t>
      </w:r>
      <w:r w:rsidRPr="00930B46">
        <w:rPr>
          <w:rFonts w:asciiTheme="minorHAnsi" w:hAnsiTheme="minorHAnsi" w:cstheme="minorHAnsi"/>
          <w:b/>
          <w:bCs/>
        </w:rPr>
        <w:tab/>
      </w:r>
    </w:p>
    <w:p w14:paraId="194A33F0" w14:textId="77777777" w:rsidR="00C42EE6" w:rsidRPr="007A760E" w:rsidRDefault="00C42EE6" w:rsidP="00931169">
      <w:pPr>
        <w:ind w:firstLine="708"/>
      </w:pPr>
      <w:r w:rsidRPr="007A760E">
        <w:t>Zastávka Oščadnica leží v sžkm 273,744 medzi stanicami Krásno nad Kysucou - Čadca. Administratívne je pridelená ŽST Čadca. Zastávka nie je komerčne obsadená, pre cestujúcich je k dispozícii čakáreň. Má dve nástupištia v dĺžke 247 m. Osvetlenie zastávky je elektrické.</w:t>
      </w:r>
    </w:p>
    <w:p w14:paraId="4EB73E2D" w14:textId="77777777" w:rsidR="00C42EE6" w:rsidRPr="007A760E" w:rsidRDefault="00C42EE6" w:rsidP="00931169">
      <w:pPr>
        <w:ind w:firstLine="708"/>
      </w:pPr>
      <w:r w:rsidRPr="007A760E">
        <w:t>Zastávka Čadca - mesto leží v sžkm 278,662 medzi stanicami Krásno nad Kysucou - Čadca. Administratívne je pridelená ŽST Čadca. Má jednu čakáreň pre cestujúcich a dve nástupištia v dĺžke 240 m. Osvetlenie zastávky je elektrické.</w:t>
      </w:r>
    </w:p>
    <w:p w14:paraId="79F210EF" w14:textId="646338C6" w:rsidR="00277C82" w:rsidRPr="00930B46" w:rsidRDefault="00C42EE6" w:rsidP="00FE7FAB">
      <w:pPr>
        <w:ind w:firstLine="709"/>
        <w:rPr>
          <w:rFonts w:cstheme="minorHAnsi"/>
        </w:rPr>
      </w:pPr>
      <w:r w:rsidRPr="007A760E">
        <w:t>Zastávka Svrčinovec - zastávka leží v km 284,080 medzi stanicami Čadca - Mosty u Jablunkova ČD. Administratívne je pridelená ŽST Čadca. Zastávka nie je komerčne obsadená. Má dve nástupištia v dĺžke 120 m. Osvetlenie zastávky je elektrické.</w:t>
      </w:r>
    </w:p>
    <w:p w14:paraId="6BADE363" w14:textId="77777777" w:rsidR="00932CDB" w:rsidRPr="00930B46" w:rsidRDefault="00932CDB" w:rsidP="00931169">
      <w:pPr>
        <w:pStyle w:val="Nadpis1"/>
        <w:rPr>
          <w:rFonts w:cstheme="minorHAnsi"/>
        </w:rPr>
      </w:pPr>
      <w:bookmarkStart w:id="29" w:name="_Toc88652914"/>
      <w:r w:rsidRPr="00930B46">
        <w:rPr>
          <w:rFonts w:cstheme="minorHAnsi"/>
        </w:rPr>
        <w:t>3.</w:t>
      </w:r>
      <w:r w:rsidRPr="00930B46">
        <w:rPr>
          <w:rFonts w:cstheme="minorHAnsi"/>
        </w:rPr>
        <w:tab/>
        <w:t>VARIANTY RIEŠENIA - MODERNIZÁCIA A</w:t>
      </w:r>
      <w:r w:rsidR="00277C82" w:rsidRPr="00930B46">
        <w:rPr>
          <w:rFonts w:cstheme="minorHAnsi"/>
        </w:rPr>
        <w:t> </w:t>
      </w:r>
      <w:r w:rsidRPr="00930B46">
        <w:rPr>
          <w:rFonts w:cstheme="minorHAnsi"/>
        </w:rPr>
        <w:t>OPTIMALIZÁCIA</w:t>
      </w:r>
      <w:bookmarkEnd w:id="29"/>
    </w:p>
    <w:p w14:paraId="678AEF7A" w14:textId="32FDCEC6" w:rsidR="005A736B" w:rsidRDefault="005A736B" w:rsidP="00931169">
      <w:pPr>
        <w:ind w:firstLine="709"/>
        <w:rPr>
          <w:rFonts w:cstheme="minorHAnsi"/>
        </w:rPr>
      </w:pPr>
      <w:r w:rsidRPr="00930B46">
        <w:rPr>
          <w:rFonts w:cstheme="minorHAnsi"/>
        </w:rPr>
        <w:t xml:space="preserve">Vypracovaná projektová dokumentácia pre územné rozhodnutie a stavebné povolenie </w:t>
      </w:r>
      <w:r>
        <w:rPr>
          <w:rFonts w:cstheme="minorHAnsi"/>
        </w:rPr>
        <w:t xml:space="preserve"> (v prípade III. Etapy dokumentácie pre realizáciu stavby) </w:t>
      </w:r>
      <w:r w:rsidRPr="00930B46">
        <w:rPr>
          <w:rFonts w:cstheme="minorHAnsi"/>
          <w:b/>
        </w:rPr>
        <w:t>„modernizácie“</w:t>
      </w:r>
      <w:r w:rsidRPr="00930B46">
        <w:rPr>
          <w:rFonts w:cstheme="minorHAnsi"/>
        </w:rPr>
        <w:t xml:space="preserve"> rieši traťový úsek Krásno nad Kysucou (mimo) – Čadca – štátna hranica ČR/SR v dĺžke približne 17 km v jestvujúcej trate. Začiatok modernizovaného úseku bol daný Záväzným pokynom pre stavbu. Staničenie modernizovanej trate nadväzuje na už zmodernizovaný úsek Žilina – Krásno nad Kysucou a začína v nžkm (nový železničný km) 270,031 resp. v sžkm (starý železničný km) 269,978 v mieste ukončenia koľajových úprav realizovaných v rámci stavby „ŽSR, Modernizácia trate Žilina – Krásno nad Kysucou“ a končia na štátnej hranici s ČR v nžkm 284,340 (sžkm 286,532). </w:t>
      </w:r>
    </w:p>
    <w:p w14:paraId="5811FAB4" w14:textId="77777777" w:rsidR="005A736B" w:rsidRDefault="005A736B" w:rsidP="00931169">
      <w:pPr>
        <w:ind w:firstLine="709"/>
        <w:rPr>
          <w:rFonts w:cstheme="minorHAnsi"/>
        </w:rPr>
      </w:pPr>
    </w:p>
    <w:p w14:paraId="44CBADFF" w14:textId="77777777" w:rsidR="005A736B" w:rsidRPr="00930B46" w:rsidRDefault="005A736B" w:rsidP="00931169">
      <w:pPr>
        <w:ind w:firstLine="709"/>
        <w:rPr>
          <w:rFonts w:cstheme="minorHAnsi"/>
        </w:rPr>
      </w:pPr>
      <w:r w:rsidRPr="00930B46">
        <w:rPr>
          <w:rFonts w:cstheme="minorHAnsi"/>
        </w:rPr>
        <w:t>V procese spracovania DSP bola stavba rozdelená na tri samostatne realizovateľné stavby:</w:t>
      </w:r>
    </w:p>
    <w:p w14:paraId="54DEEAF9" w14:textId="77777777" w:rsidR="005A736B" w:rsidRPr="0049048C" w:rsidRDefault="005A736B" w:rsidP="00931169">
      <w:pPr>
        <w:pStyle w:val="Odsekzoznamu"/>
        <w:numPr>
          <w:ilvl w:val="0"/>
          <w:numId w:val="68"/>
        </w:numPr>
        <w:jc w:val="both"/>
        <w:rPr>
          <w:rFonts w:cstheme="minorHAnsi"/>
          <w:b/>
          <w:bCs/>
        </w:rPr>
      </w:pPr>
      <w:r w:rsidRPr="0049048C">
        <w:rPr>
          <w:rFonts w:cstheme="minorHAnsi"/>
          <w:b/>
          <w:bCs/>
        </w:rPr>
        <w:t>etapa:  Krásno nad Kysucou – Čadca (žkm 269,978 – 278,030)</w:t>
      </w:r>
    </w:p>
    <w:p w14:paraId="06E93C69" w14:textId="77777777" w:rsidR="005A736B" w:rsidRPr="0049048C" w:rsidRDefault="005A736B" w:rsidP="00931169">
      <w:pPr>
        <w:pStyle w:val="Odsekzoznamu"/>
        <w:numPr>
          <w:ilvl w:val="0"/>
          <w:numId w:val="68"/>
        </w:numPr>
        <w:jc w:val="both"/>
        <w:rPr>
          <w:rFonts w:cstheme="minorHAnsi"/>
          <w:b/>
          <w:bCs/>
        </w:rPr>
      </w:pPr>
      <w:r w:rsidRPr="0049048C">
        <w:rPr>
          <w:rFonts w:cstheme="minorHAnsi"/>
          <w:b/>
          <w:bCs/>
        </w:rPr>
        <w:t>etapa:  ŽST Čadca (žkm 279,8)</w:t>
      </w:r>
    </w:p>
    <w:p w14:paraId="0D96A6D5" w14:textId="2B25ADE7" w:rsidR="005A736B" w:rsidRPr="005A736B" w:rsidRDefault="005A736B" w:rsidP="00931169">
      <w:pPr>
        <w:pStyle w:val="Odsekzoznamu"/>
        <w:numPr>
          <w:ilvl w:val="0"/>
          <w:numId w:val="68"/>
        </w:numPr>
        <w:jc w:val="both"/>
        <w:rPr>
          <w:rFonts w:cstheme="minorHAnsi"/>
          <w:b/>
          <w:bCs/>
        </w:rPr>
      </w:pPr>
      <w:r w:rsidRPr="0049048C">
        <w:rPr>
          <w:rFonts w:cstheme="minorHAnsi"/>
          <w:b/>
          <w:bCs/>
        </w:rPr>
        <w:t>etapa:  ŽST Čadca (mimo) – št. hr. SR/ČR (žkm 279,150 – 284,340)</w:t>
      </w:r>
    </w:p>
    <w:p w14:paraId="4999C895" w14:textId="5BBFF2E7" w:rsidR="005A736B" w:rsidRPr="005A736B" w:rsidRDefault="005A736B" w:rsidP="00931169">
      <w:pPr>
        <w:ind w:firstLine="708"/>
        <w:rPr>
          <w:rFonts w:cstheme="minorHAnsi"/>
        </w:rPr>
      </w:pPr>
      <w:r>
        <w:rPr>
          <w:rFonts w:cstheme="minorHAnsi"/>
        </w:rPr>
        <w:t>Ako je vyššie uvedené, s</w:t>
      </w:r>
      <w:r w:rsidRPr="005A736B">
        <w:rPr>
          <w:rFonts w:cstheme="minorHAnsi"/>
        </w:rPr>
        <w:t>tavba je podľa súčasného stavu PD rozdelená na 3. etapy s delením podľa lokality (nie časové delenie, ale lokalitné). Všetky etapy predstavujú kompletnú ucelenú časť stavby so všetkými technologickými a stavebnými odbormi. Niektoré špeciálne technologické celky sú riešené pre všetky etapy spoločne (napr. ETCS, GSMR, zmena trakčného systému).</w:t>
      </w:r>
    </w:p>
    <w:p w14:paraId="1EE4BF47" w14:textId="77777777" w:rsidR="00684815" w:rsidRPr="00930B46" w:rsidRDefault="00684815" w:rsidP="00931169">
      <w:pPr>
        <w:ind w:firstLine="708"/>
        <w:rPr>
          <w:rFonts w:cstheme="minorHAnsi"/>
        </w:rPr>
      </w:pPr>
    </w:p>
    <w:p w14:paraId="1D37C73F" w14:textId="03F4BD0F" w:rsidR="00277C82" w:rsidRPr="00930B46" w:rsidRDefault="00277C82" w:rsidP="00931169">
      <w:pPr>
        <w:rPr>
          <w:rFonts w:cstheme="minorHAnsi"/>
          <w:b/>
          <w:bCs/>
          <w:u w:val="single"/>
        </w:rPr>
      </w:pPr>
      <w:r w:rsidRPr="00930B46">
        <w:rPr>
          <w:rFonts w:cstheme="minorHAnsi"/>
          <w:b/>
          <w:bCs/>
          <w:u w:val="single"/>
        </w:rPr>
        <w:t xml:space="preserve">Označenie </w:t>
      </w:r>
      <w:r w:rsidR="005A736B">
        <w:rPr>
          <w:rFonts w:cstheme="minorHAnsi"/>
          <w:b/>
          <w:bCs/>
          <w:u w:val="single"/>
        </w:rPr>
        <w:t xml:space="preserve">hodnotených </w:t>
      </w:r>
      <w:r w:rsidRPr="00930B46">
        <w:rPr>
          <w:rFonts w:cstheme="minorHAnsi"/>
          <w:b/>
          <w:bCs/>
          <w:u w:val="single"/>
        </w:rPr>
        <w:t>variantov:</w:t>
      </w:r>
    </w:p>
    <w:p w14:paraId="7FE37B33" w14:textId="32D37D04" w:rsidR="00277C82" w:rsidRDefault="00277C82" w:rsidP="00931169">
      <w:pPr>
        <w:rPr>
          <w:rFonts w:cstheme="minorHAnsi"/>
        </w:rPr>
      </w:pPr>
    </w:p>
    <w:p w14:paraId="04BA2CD6" w14:textId="77777777" w:rsidR="00D3749B" w:rsidRPr="00D3749B" w:rsidRDefault="00453234" w:rsidP="00931169">
      <w:pPr>
        <w:pStyle w:val="Odsekzoznamu"/>
        <w:numPr>
          <w:ilvl w:val="0"/>
          <w:numId w:val="59"/>
        </w:numPr>
        <w:jc w:val="both"/>
        <w:rPr>
          <w:rFonts w:cstheme="minorHAnsi"/>
          <w:b/>
          <w:bCs/>
        </w:rPr>
      </w:pPr>
      <w:r w:rsidRPr="00D3749B">
        <w:rPr>
          <w:rFonts w:cstheme="minorHAnsi"/>
          <w:b/>
          <w:bCs/>
        </w:rPr>
        <w:t>VARI</w:t>
      </w:r>
      <w:r w:rsidR="00D3749B" w:rsidRPr="00D3749B">
        <w:rPr>
          <w:rFonts w:cstheme="minorHAnsi"/>
          <w:b/>
          <w:bCs/>
        </w:rPr>
        <w:t>A</w:t>
      </w:r>
      <w:r w:rsidRPr="00D3749B">
        <w:rPr>
          <w:rFonts w:cstheme="minorHAnsi"/>
          <w:b/>
          <w:bCs/>
        </w:rPr>
        <w:t>NT – REFERENČNÝ variant</w:t>
      </w:r>
    </w:p>
    <w:p w14:paraId="11BA3756" w14:textId="77777777" w:rsidR="00D3749B" w:rsidRDefault="00D3749B" w:rsidP="00931169">
      <w:pPr>
        <w:pStyle w:val="Odsekzoznamu"/>
        <w:numPr>
          <w:ilvl w:val="0"/>
          <w:numId w:val="59"/>
        </w:numPr>
        <w:tabs>
          <w:tab w:val="left" w:pos="1134"/>
        </w:tabs>
        <w:ind w:hanging="11"/>
        <w:jc w:val="both"/>
        <w:rPr>
          <w:rFonts w:cstheme="minorHAnsi"/>
        </w:rPr>
      </w:pPr>
      <w:r>
        <w:rPr>
          <w:rFonts w:cstheme="minorHAnsi"/>
        </w:rPr>
        <w:t>etapa:  Krásno nad Kysucou – Čadca (žkm 269,978 – 278,030)</w:t>
      </w:r>
    </w:p>
    <w:p w14:paraId="2FE98A00" w14:textId="77777777" w:rsidR="00D3749B" w:rsidRDefault="00D3749B" w:rsidP="00931169">
      <w:pPr>
        <w:pStyle w:val="Odsekzoznamu"/>
        <w:numPr>
          <w:ilvl w:val="0"/>
          <w:numId w:val="59"/>
        </w:numPr>
        <w:tabs>
          <w:tab w:val="left" w:pos="1134"/>
        </w:tabs>
        <w:ind w:hanging="11"/>
        <w:jc w:val="both"/>
        <w:rPr>
          <w:rFonts w:cstheme="minorHAnsi"/>
        </w:rPr>
      </w:pPr>
      <w:r>
        <w:rPr>
          <w:rFonts w:cstheme="minorHAnsi"/>
        </w:rPr>
        <w:t>etapa:  ŽST Čadca (žkm 279,8)</w:t>
      </w:r>
    </w:p>
    <w:p w14:paraId="2D5FFED6" w14:textId="77777777" w:rsidR="00D3749B" w:rsidRPr="00D3749B" w:rsidRDefault="00D3749B" w:rsidP="00931169">
      <w:pPr>
        <w:pStyle w:val="Odsekzoznamu"/>
        <w:numPr>
          <w:ilvl w:val="0"/>
          <w:numId w:val="59"/>
        </w:numPr>
        <w:tabs>
          <w:tab w:val="left" w:pos="1134"/>
        </w:tabs>
        <w:ind w:hanging="11"/>
        <w:jc w:val="both"/>
        <w:rPr>
          <w:rFonts w:cstheme="minorHAnsi"/>
        </w:rPr>
      </w:pPr>
      <w:r w:rsidRPr="00D3749B">
        <w:rPr>
          <w:rFonts w:cstheme="minorHAnsi"/>
        </w:rPr>
        <w:t>etapa:  ŽST Čadca (mimo) – št. hr. SR/ČR (žkm 279,150 – 284,340)</w:t>
      </w:r>
    </w:p>
    <w:p w14:paraId="57438136" w14:textId="07D59260" w:rsidR="00D3749B" w:rsidRDefault="00D3749B" w:rsidP="00931169">
      <w:pPr>
        <w:rPr>
          <w:rFonts w:cstheme="minorHAnsi"/>
        </w:rPr>
      </w:pPr>
    </w:p>
    <w:p w14:paraId="275D23B9" w14:textId="77777777" w:rsidR="005940CA" w:rsidRPr="00D3749B" w:rsidRDefault="005940CA" w:rsidP="00931169">
      <w:pPr>
        <w:rPr>
          <w:rFonts w:cstheme="minorHAnsi"/>
        </w:rPr>
      </w:pPr>
    </w:p>
    <w:p w14:paraId="34E3C3ED" w14:textId="6B4AC4E1" w:rsidR="00453234" w:rsidRPr="00D3749B" w:rsidRDefault="001B3030" w:rsidP="00931169">
      <w:pPr>
        <w:pStyle w:val="Odsekzoznamu"/>
        <w:numPr>
          <w:ilvl w:val="0"/>
          <w:numId w:val="60"/>
        </w:numPr>
        <w:jc w:val="both"/>
        <w:rPr>
          <w:rFonts w:cstheme="minorHAnsi"/>
          <w:b/>
          <w:bCs/>
        </w:rPr>
      </w:pPr>
      <w:r w:rsidRPr="00D3749B">
        <w:rPr>
          <w:rFonts w:cstheme="minorHAnsi"/>
          <w:b/>
          <w:bCs/>
        </w:rPr>
        <w:lastRenderedPageBreak/>
        <w:t xml:space="preserve">VARIANT </w:t>
      </w:r>
      <w:r w:rsidR="00453234" w:rsidRPr="00D3749B">
        <w:rPr>
          <w:rFonts w:cstheme="minorHAnsi"/>
          <w:b/>
          <w:bCs/>
        </w:rPr>
        <w:t xml:space="preserve"> </w:t>
      </w:r>
      <w:r w:rsidRPr="00D3749B">
        <w:rPr>
          <w:rFonts w:cstheme="minorHAnsi"/>
          <w:b/>
          <w:bCs/>
        </w:rPr>
        <w:t>– ZÁKLADNÁ</w:t>
      </w:r>
      <w:r w:rsidR="00453234" w:rsidRPr="00D3749B">
        <w:rPr>
          <w:rFonts w:cstheme="minorHAnsi"/>
          <w:b/>
          <w:bCs/>
        </w:rPr>
        <w:t xml:space="preserve"> MODERNIZACIA</w:t>
      </w:r>
    </w:p>
    <w:p w14:paraId="4CFF02A6" w14:textId="1F0BA29C" w:rsidR="00D3749B" w:rsidRDefault="00D3749B" w:rsidP="00931169">
      <w:pPr>
        <w:pStyle w:val="Odsekzoznamu"/>
        <w:numPr>
          <w:ilvl w:val="0"/>
          <w:numId w:val="61"/>
        </w:numPr>
        <w:jc w:val="both"/>
        <w:rPr>
          <w:rFonts w:cstheme="minorHAnsi"/>
        </w:rPr>
      </w:pPr>
      <w:bookmarkStart w:id="30" w:name="_Hlk87534720"/>
      <w:r>
        <w:rPr>
          <w:rFonts w:cstheme="minorHAnsi"/>
        </w:rPr>
        <w:t>etapa:  Krásno nad Kysucou – Čadca (žkm 269,978 – 278,030)</w:t>
      </w:r>
    </w:p>
    <w:p w14:paraId="45CA41BA" w14:textId="77777777" w:rsidR="00D3749B" w:rsidRDefault="00D3749B" w:rsidP="00931169">
      <w:pPr>
        <w:pStyle w:val="Odsekzoznamu"/>
        <w:numPr>
          <w:ilvl w:val="0"/>
          <w:numId w:val="61"/>
        </w:numPr>
        <w:jc w:val="both"/>
        <w:rPr>
          <w:rFonts w:cstheme="minorHAnsi"/>
        </w:rPr>
      </w:pPr>
      <w:r>
        <w:rPr>
          <w:rFonts w:cstheme="minorHAnsi"/>
        </w:rPr>
        <w:t>etapa:  ŽST Čadca (žkm 279,8)</w:t>
      </w:r>
    </w:p>
    <w:p w14:paraId="6829F3CF" w14:textId="7CECB089" w:rsidR="00453234" w:rsidRDefault="00D3749B" w:rsidP="00931169">
      <w:pPr>
        <w:pStyle w:val="Odsekzoznamu"/>
        <w:numPr>
          <w:ilvl w:val="0"/>
          <w:numId w:val="61"/>
        </w:numPr>
        <w:jc w:val="both"/>
        <w:rPr>
          <w:rFonts w:cstheme="minorHAnsi"/>
        </w:rPr>
      </w:pPr>
      <w:r w:rsidRPr="00D3749B">
        <w:rPr>
          <w:rFonts w:cstheme="minorHAnsi"/>
        </w:rPr>
        <w:t>etapa:  ŽST Čadca (mimo) – št. hr. SR/ČR (žkm 279,150 – 284,340)</w:t>
      </w:r>
    </w:p>
    <w:bookmarkEnd w:id="30"/>
    <w:p w14:paraId="1F3D847D" w14:textId="77777777" w:rsidR="00D3749B" w:rsidRPr="00D3749B" w:rsidRDefault="00D3749B" w:rsidP="00931169">
      <w:pPr>
        <w:pStyle w:val="Odsekzoznamu"/>
        <w:ind w:left="1080"/>
        <w:jc w:val="both"/>
        <w:rPr>
          <w:rFonts w:cstheme="minorHAnsi"/>
        </w:rPr>
      </w:pPr>
    </w:p>
    <w:p w14:paraId="11657AA3" w14:textId="7DF4D34B" w:rsidR="00453234" w:rsidRPr="00D3749B" w:rsidRDefault="001B3030" w:rsidP="00931169">
      <w:pPr>
        <w:pStyle w:val="Odsekzoznamu"/>
        <w:numPr>
          <w:ilvl w:val="0"/>
          <w:numId w:val="60"/>
        </w:numPr>
        <w:jc w:val="both"/>
        <w:rPr>
          <w:rFonts w:cstheme="minorHAnsi"/>
          <w:b/>
          <w:bCs/>
        </w:rPr>
      </w:pPr>
      <w:r w:rsidRPr="00D3749B">
        <w:rPr>
          <w:rFonts w:cstheme="minorHAnsi"/>
          <w:b/>
          <w:bCs/>
        </w:rPr>
        <w:t xml:space="preserve">VARIANT </w:t>
      </w:r>
      <w:r w:rsidR="00453234" w:rsidRPr="00D3749B">
        <w:rPr>
          <w:rFonts w:cstheme="minorHAnsi"/>
          <w:b/>
          <w:bCs/>
          <w:sz w:val="24"/>
        </w:rPr>
        <w:t xml:space="preserve"> </w:t>
      </w:r>
      <w:r w:rsidR="00453234" w:rsidRPr="00D3749B">
        <w:rPr>
          <w:rFonts w:cstheme="minorHAnsi"/>
          <w:b/>
          <w:bCs/>
        </w:rPr>
        <w:t>– MODERNIZACIA trate na rýchlosť 120 km/hod až 160 km/hod</w:t>
      </w:r>
    </w:p>
    <w:p w14:paraId="3CE993CB" w14:textId="77777777" w:rsidR="00D3749B" w:rsidRDefault="00D3749B" w:rsidP="00931169">
      <w:pPr>
        <w:pStyle w:val="Odsekzoznamu"/>
        <w:numPr>
          <w:ilvl w:val="0"/>
          <w:numId w:val="62"/>
        </w:numPr>
        <w:jc w:val="both"/>
        <w:rPr>
          <w:rFonts w:cstheme="minorHAnsi"/>
        </w:rPr>
      </w:pPr>
      <w:r>
        <w:rPr>
          <w:rFonts w:cstheme="minorHAnsi"/>
        </w:rPr>
        <w:t>etapa:  Krásno nad Kysucou – Čadca (žkm 269,978 – 278,030)</w:t>
      </w:r>
    </w:p>
    <w:p w14:paraId="67D79BCD" w14:textId="77777777" w:rsidR="00D3749B" w:rsidRDefault="00D3749B" w:rsidP="00931169">
      <w:pPr>
        <w:pStyle w:val="Odsekzoznamu"/>
        <w:numPr>
          <w:ilvl w:val="0"/>
          <w:numId w:val="62"/>
        </w:numPr>
        <w:jc w:val="both"/>
        <w:rPr>
          <w:rFonts w:cstheme="minorHAnsi"/>
        </w:rPr>
      </w:pPr>
      <w:r>
        <w:rPr>
          <w:rFonts w:cstheme="minorHAnsi"/>
        </w:rPr>
        <w:t>etapa:  ŽST Čadca (žkm 279,8)</w:t>
      </w:r>
    </w:p>
    <w:p w14:paraId="42E0360E" w14:textId="28ED5188" w:rsidR="00453234" w:rsidRDefault="00D3749B" w:rsidP="00931169">
      <w:pPr>
        <w:pStyle w:val="Odsekzoznamu"/>
        <w:numPr>
          <w:ilvl w:val="0"/>
          <w:numId w:val="62"/>
        </w:numPr>
        <w:jc w:val="both"/>
        <w:rPr>
          <w:rFonts w:cstheme="minorHAnsi"/>
        </w:rPr>
      </w:pPr>
      <w:r w:rsidRPr="00D3749B">
        <w:rPr>
          <w:rFonts w:cstheme="minorHAnsi"/>
        </w:rPr>
        <w:t>etapa:  ŽST Čadca (mimo) – št. hr. SR/ČR (žkm 279,150 – 284,340)</w:t>
      </w:r>
    </w:p>
    <w:p w14:paraId="335D87F4" w14:textId="77777777" w:rsidR="00D3749B" w:rsidRPr="00D3749B" w:rsidRDefault="00D3749B" w:rsidP="00931169">
      <w:pPr>
        <w:pStyle w:val="Odsekzoznamu"/>
        <w:ind w:left="1080"/>
        <w:jc w:val="both"/>
        <w:rPr>
          <w:rFonts w:cstheme="minorHAnsi"/>
        </w:rPr>
      </w:pPr>
    </w:p>
    <w:p w14:paraId="797B9C66" w14:textId="5B95628A" w:rsidR="00453234" w:rsidRPr="00D3749B" w:rsidRDefault="00453234" w:rsidP="00931169">
      <w:pPr>
        <w:pStyle w:val="Odsekzoznamu"/>
        <w:numPr>
          <w:ilvl w:val="0"/>
          <w:numId w:val="64"/>
        </w:numPr>
        <w:jc w:val="both"/>
        <w:rPr>
          <w:rFonts w:cstheme="minorHAnsi"/>
          <w:b/>
          <w:bCs/>
        </w:rPr>
      </w:pPr>
      <w:r w:rsidRPr="00D3749B">
        <w:rPr>
          <w:rFonts w:cstheme="minorHAnsi"/>
          <w:b/>
          <w:bCs/>
        </w:rPr>
        <w:t xml:space="preserve">VARIANT </w:t>
      </w:r>
      <w:r w:rsidR="001B3030" w:rsidRPr="00D3749B">
        <w:rPr>
          <w:rFonts w:cstheme="minorHAnsi"/>
          <w:b/>
          <w:bCs/>
        </w:rPr>
        <w:t>–</w:t>
      </w:r>
      <w:r w:rsidRPr="00D3749B">
        <w:rPr>
          <w:rFonts w:cstheme="minorHAnsi"/>
          <w:b/>
          <w:bCs/>
        </w:rPr>
        <w:t xml:space="preserve"> </w:t>
      </w:r>
      <w:r w:rsidR="001B3030" w:rsidRPr="00D3749B">
        <w:rPr>
          <w:rFonts w:cstheme="minorHAnsi"/>
          <w:b/>
          <w:bCs/>
        </w:rPr>
        <w:t>KOMBINOVANÝ – Optimalizácia trate</w:t>
      </w:r>
    </w:p>
    <w:p w14:paraId="0A819B59" w14:textId="77777777" w:rsidR="00D3749B" w:rsidRDefault="00D3749B" w:rsidP="00931169">
      <w:pPr>
        <w:pStyle w:val="Odsekzoznamu"/>
        <w:numPr>
          <w:ilvl w:val="0"/>
          <w:numId w:val="63"/>
        </w:numPr>
        <w:jc w:val="both"/>
        <w:rPr>
          <w:rFonts w:cstheme="minorHAnsi"/>
        </w:rPr>
      </w:pPr>
      <w:r>
        <w:rPr>
          <w:rFonts w:cstheme="minorHAnsi"/>
        </w:rPr>
        <w:t>etapa:  Krásno nad Kysucou – Čadca (žkm 269,978 – 278,030)</w:t>
      </w:r>
    </w:p>
    <w:p w14:paraId="293157C3" w14:textId="77777777" w:rsidR="00D3749B" w:rsidRDefault="00D3749B" w:rsidP="00931169">
      <w:pPr>
        <w:pStyle w:val="Odsekzoznamu"/>
        <w:numPr>
          <w:ilvl w:val="0"/>
          <w:numId w:val="63"/>
        </w:numPr>
        <w:jc w:val="both"/>
        <w:rPr>
          <w:rFonts w:cstheme="minorHAnsi"/>
        </w:rPr>
      </w:pPr>
      <w:r>
        <w:rPr>
          <w:rFonts w:cstheme="minorHAnsi"/>
        </w:rPr>
        <w:t>etapa:  ŽST Čadca (žkm 279,8)</w:t>
      </w:r>
    </w:p>
    <w:p w14:paraId="2CE4EEEC" w14:textId="3336869F" w:rsidR="00BB6D39" w:rsidRPr="007D1D2E" w:rsidRDefault="00D3749B" w:rsidP="00931169">
      <w:pPr>
        <w:pStyle w:val="Odsekzoznamu"/>
        <w:numPr>
          <w:ilvl w:val="0"/>
          <w:numId w:val="63"/>
        </w:numPr>
        <w:jc w:val="both"/>
        <w:rPr>
          <w:rFonts w:cstheme="minorHAnsi"/>
        </w:rPr>
      </w:pPr>
      <w:r w:rsidRPr="00D3749B">
        <w:rPr>
          <w:rFonts w:cstheme="minorHAnsi"/>
        </w:rPr>
        <w:t>etapa:  ŽST Čadca (mimo) – št. hr. SR/ČR (žkm 279,150 – 284,340)</w:t>
      </w:r>
    </w:p>
    <w:p w14:paraId="32BE5471" w14:textId="5200951D" w:rsidR="00782161" w:rsidRDefault="00932CDB" w:rsidP="00931169">
      <w:pPr>
        <w:pStyle w:val="Nadpis3"/>
        <w:rPr>
          <w:rFonts w:cstheme="minorHAnsi"/>
          <w:color w:val="00B050"/>
          <w:sz w:val="28"/>
          <w:szCs w:val="28"/>
        </w:rPr>
      </w:pPr>
      <w:bookmarkStart w:id="31" w:name="_Toc88652915"/>
      <w:r w:rsidRPr="00930B46">
        <w:rPr>
          <w:rFonts w:cstheme="minorHAnsi"/>
          <w:color w:val="00B050"/>
          <w:sz w:val="28"/>
          <w:szCs w:val="28"/>
        </w:rPr>
        <w:t>3.1</w:t>
      </w:r>
      <w:r w:rsidRPr="00930B46">
        <w:rPr>
          <w:rFonts w:cstheme="minorHAnsi"/>
          <w:color w:val="00B050"/>
          <w:sz w:val="28"/>
          <w:szCs w:val="28"/>
        </w:rPr>
        <w:tab/>
      </w:r>
      <w:r w:rsidR="00782161" w:rsidRPr="00930B46">
        <w:rPr>
          <w:rFonts w:cstheme="minorHAnsi"/>
          <w:color w:val="00B050"/>
          <w:sz w:val="28"/>
          <w:szCs w:val="28"/>
        </w:rPr>
        <w:t xml:space="preserve">Variant </w:t>
      </w:r>
      <w:r w:rsidR="00782161">
        <w:rPr>
          <w:rFonts w:cstheme="minorHAnsi"/>
          <w:color w:val="00B050"/>
          <w:sz w:val="28"/>
          <w:szCs w:val="28"/>
        </w:rPr>
        <w:t>0</w:t>
      </w:r>
      <w:r w:rsidR="00782161" w:rsidRPr="00930B46">
        <w:rPr>
          <w:rFonts w:cstheme="minorHAnsi"/>
          <w:color w:val="00B050"/>
          <w:sz w:val="28"/>
          <w:szCs w:val="28"/>
        </w:rPr>
        <w:t xml:space="preserve"> – </w:t>
      </w:r>
      <w:r w:rsidR="001902D5">
        <w:rPr>
          <w:rFonts w:cstheme="minorHAnsi"/>
          <w:color w:val="00B050"/>
          <w:sz w:val="28"/>
          <w:szCs w:val="28"/>
        </w:rPr>
        <w:t>REFERENČNÝ VARIANT</w:t>
      </w:r>
      <w:bookmarkEnd w:id="31"/>
    </w:p>
    <w:p w14:paraId="656CF7CB" w14:textId="3D92C145" w:rsidR="00782161" w:rsidRDefault="00782161" w:rsidP="00931169">
      <w:r>
        <w:tab/>
        <w:t xml:space="preserve">Referenčný variant </w:t>
      </w:r>
      <w:r w:rsidRPr="00930B46">
        <w:rPr>
          <w:rFonts w:cstheme="minorHAnsi"/>
          <w:color w:val="000000"/>
        </w:rPr>
        <w:t xml:space="preserve">predstavuje </w:t>
      </w:r>
      <w:r w:rsidRPr="00782161">
        <w:rPr>
          <w:rFonts w:cstheme="minorHAnsi"/>
          <w:color w:val="000000"/>
        </w:rPr>
        <w:t xml:space="preserve">udržateľný stav zabezpečený v rámci bežnej údržby žel. </w:t>
      </w:r>
      <w:r w:rsidR="00B91F9E">
        <w:rPr>
          <w:rFonts w:cstheme="minorHAnsi"/>
          <w:color w:val="000000"/>
        </w:rPr>
        <w:t>infraštruktúry</w:t>
      </w:r>
      <w:r w:rsidRPr="00782161">
        <w:rPr>
          <w:rFonts w:cstheme="minorHAnsi"/>
          <w:color w:val="000000"/>
        </w:rPr>
        <w:t xml:space="preserve">, ktorá umožňuje jej dlhodobú prevádzku. </w:t>
      </w:r>
      <w:r w:rsidRPr="001902D5">
        <w:rPr>
          <w:rFonts w:cstheme="minorHAnsi"/>
        </w:rPr>
        <w:t xml:space="preserve">V tomto variante nie sú uvažované objekty, ktoré v poslednom čase prešli výraznejšou rekonštrukciou. </w:t>
      </w:r>
      <w:r w:rsidRPr="001902D5">
        <w:t>Investičné výdavky predstavujú náklady z posledných rekonštrukcií ob</w:t>
      </w:r>
      <w:r>
        <w:t>jektov, ktoré však v tomto variante neposudzujeme ale uvažujeme len s bežnými výdavkami, ktoré sa rovnajú Prevádzkovým nákladom.</w:t>
      </w:r>
    </w:p>
    <w:p w14:paraId="1227FDD4" w14:textId="23416E9B" w:rsidR="0049048C" w:rsidRPr="0038331C" w:rsidRDefault="00782161" w:rsidP="00931169">
      <w:pPr>
        <w:rPr>
          <w:b/>
          <w:bCs/>
          <w:i/>
          <w:iCs/>
        </w:rPr>
      </w:pPr>
      <w:r>
        <w:tab/>
        <w:t xml:space="preserve">Prevádzkové náklady a ich priebeh v hodnotiacom období je uvedený v prílohe časti </w:t>
      </w:r>
      <w:r w:rsidRPr="00E746D6">
        <w:rPr>
          <w:b/>
          <w:bCs/>
        </w:rPr>
        <w:t>D – CBA</w:t>
      </w:r>
      <w:r>
        <w:t xml:space="preserve">  </w:t>
      </w:r>
      <w:r w:rsidRPr="0038331C">
        <w:rPr>
          <w:b/>
          <w:bCs/>
          <w:i/>
          <w:iCs/>
        </w:rPr>
        <w:t>„ŠR KnK-CA Var.0 Prevádzkové náklady, bez výmen“.</w:t>
      </w:r>
    </w:p>
    <w:p w14:paraId="49AB0AFC" w14:textId="77777777" w:rsidR="00782161" w:rsidRDefault="00782161" w:rsidP="00931169">
      <w:pPr>
        <w:rPr>
          <w:b/>
          <w:bCs/>
          <w:i/>
          <w:iCs/>
        </w:rPr>
      </w:pPr>
      <w:r>
        <w:tab/>
        <w:t xml:space="preserve">Skladbe prevádzkových nákladov je uvedená v prílohe časti </w:t>
      </w:r>
      <w:r w:rsidRPr="00E746D6">
        <w:rPr>
          <w:b/>
          <w:bCs/>
          <w:i/>
          <w:iCs/>
        </w:rPr>
        <w:t xml:space="preserve">F - Doklady „ŽSR, prevádzkové náklady“. </w:t>
      </w:r>
    </w:p>
    <w:p w14:paraId="41D1398B" w14:textId="77777777" w:rsidR="00782161" w:rsidRDefault="00782161" w:rsidP="00931169">
      <w:pPr>
        <w:rPr>
          <w:b/>
          <w:bCs/>
          <w:i/>
          <w:iCs/>
        </w:rPr>
      </w:pPr>
    </w:p>
    <w:p w14:paraId="129954BA" w14:textId="77777777" w:rsidR="00782161" w:rsidRDefault="00782161" w:rsidP="00931169">
      <w:pPr>
        <w:rPr>
          <w:b/>
          <w:bCs/>
          <w:i/>
          <w:iCs/>
        </w:rPr>
      </w:pPr>
      <w:r w:rsidRPr="0092055B">
        <w:rPr>
          <w:noProof/>
          <w:lang w:eastAsia="sk-SK"/>
        </w:rPr>
        <w:drawing>
          <wp:inline distT="0" distB="0" distL="0" distR="0" wp14:anchorId="176AC70B" wp14:editId="7662A8D1">
            <wp:extent cx="5318760" cy="1790700"/>
            <wp:effectExtent l="0" t="0" r="0" b="0"/>
            <wp:docPr id="26" name="Obrázo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18760" cy="1790700"/>
                    </a:xfrm>
                    <a:prstGeom prst="rect">
                      <a:avLst/>
                    </a:prstGeom>
                    <a:noFill/>
                    <a:ln>
                      <a:noFill/>
                    </a:ln>
                  </pic:spPr>
                </pic:pic>
              </a:graphicData>
            </a:graphic>
          </wp:inline>
        </w:drawing>
      </w:r>
    </w:p>
    <w:p w14:paraId="1F542523" w14:textId="77777777" w:rsidR="00782161" w:rsidRPr="00930B46" w:rsidRDefault="00782161" w:rsidP="00931169">
      <w:pPr>
        <w:pStyle w:val="Nadpis2"/>
        <w:tabs>
          <w:tab w:val="left" w:pos="567"/>
        </w:tabs>
        <w:rPr>
          <w:rFonts w:cstheme="minorHAnsi"/>
        </w:rPr>
      </w:pPr>
      <w:r>
        <w:rPr>
          <w:rFonts w:cstheme="minorHAnsi"/>
        </w:rPr>
        <w:tab/>
      </w:r>
      <w:bookmarkStart w:id="32" w:name="_Toc86410153"/>
      <w:bookmarkStart w:id="33" w:name="_Toc88652916"/>
      <w:r w:rsidRPr="00B83C49">
        <w:rPr>
          <w:rFonts w:cstheme="minorHAnsi"/>
        </w:rPr>
        <w:t>Udržateľnosť prevádzky</w:t>
      </w:r>
      <w:bookmarkEnd w:id="32"/>
      <w:bookmarkEnd w:id="33"/>
    </w:p>
    <w:p w14:paraId="7A2160B7" w14:textId="3A70C347" w:rsidR="00782161" w:rsidRDefault="00B91F9E" w:rsidP="00931169">
      <w:pPr>
        <w:ind w:firstLine="708"/>
      </w:pPr>
      <w:r>
        <w:t>Udržateľnosť prevádzky zabezpečený</w:t>
      </w:r>
      <w:r w:rsidR="00782161">
        <w:t xml:space="preserve"> bežn</w:t>
      </w:r>
      <w:r>
        <w:t>ou</w:t>
      </w:r>
      <w:r w:rsidR="00782161">
        <w:t xml:space="preserve"> údržb</w:t>
      </w:r>
      <w:r>
        <w:t xml:space="preserve">ou železničnej infraštruktúry predstavuje minimalistický prístup, tzn. v rámci bežnej údržby sú správcom železničnej </w:t>
      </w:r>
      <w:r>
        <w:lastRenderedPageBreak/>
        <w:t xml:space="preserve">infraštruktúry definované nevyhnutné zásahy (opravy a rekonštrukcie) s cieľom zachovania najmä </w:t>
      </w:r>
      <w:r w:rsidR="00B83C49">
        <w:t xml:space="preserve">jej </w:t>
      </w:r>
      <w:r>
        <w:t>technickej bezpečnosti</w:t>
      </w:r>
      <w:r w:rsidR="00B83C49">
        <w:t xml:space="preserve">. </w:t>
      </w:r>
      <w:r>
        <w:t xml:space="preserve"> </w:t>
      </w:r>
    </w:p>
    <w:p w14:paraId="11894702" w14:textId="77777777" w:rsidR="00B83C49" w:rsidRDefault="00B83C49" w:rsidP="00931169"/>
    <w:p w14:paraId="5A75C98D" w14:textId="77777777" w:rsidR="00B83C49" w:rsidRDefault="00B83C49" w:rsidP="00931169">
      <w:pPr>
        <w:ind w:firstLine="708"/>
        <w:rPr>
          <w:b/>
          <w:bCs/>
          <w:i/>
          <w:iCs/>
        </w:rPr>
      </w:pPr>
      <w:r>
        <w:t xml:space="preserve">Prevádzkové náklady a ich priebeh v hodnotiacom období vrátane nutných výmen súčasných zariadení je uvedený v prílohe časti </w:t>
      </w:r>
      <w:r w:rsidRPr="00E746D6">
        <w:rPr>
          <w:b/>
          <w:bCs/>
        </w:rPr>
        <w:t>D – CBA</w:t>
      </w:r>
      <w:r>
        <w:t xml:space="preserve">  </w:t>
      </w:r>
      <w:r w:rsidRPr="0038331C">
        <w:rPr>
          <w:b/>
          <w:bCs/>
          <w:i/>
          <w:iCs/>
        </w:rPr>
        <w:t xml:space="preserve">„ŠR KnK-CA Var.0 Prevádzkové náklady, </w:t>
      </w:r>
      <w:r>
        <w:rPr>
          <w:b/>
          <w:bCs/>
          <w:i/>
          <w:iCs/>
        </w:rPr>
        <w:t>s </w:t>
      </w:r>
      <w:r w:rsidRPr="0038331C">
        <w:rPr>
          <w:b/>
          <w:bCs/>
          <w:i/>
          <w:iCs/>
        </w:rPr>
        <w:t>výmen</w:t>
      </w:r>
      <w:r>
        <w:rPr>
          <w:b/>
          <w:bCs/>
          <w:i/>
          <w:iCs/>
        </w:rPr>
        <w:t>ami</w:t>
      </w:r>
      <w:r w:rsidRPr="0038331C">
        <w:rPr>
          <w:b/>
          <w:bCs/>
          <w:i/>
          <w:iCs/>
        </w:rPr>
        <w:t>“.</w:t>
      </w:r>
    </w:p>
    <w:p w14:paraId="527C9C69" w14:textId="77777777" w:rsidR="00B83C49" w:rsidRDefault="00B83C49" w:rsidP="00931169">
      <w:pPr>
        <w:ind w:firstLine="708"/>
      </w:pPr>
    </w:p>
    <w:p w14:paraId="4215254B" w14:textId="2A53E208" w:rsidR="00B83C49" w:rsidRDefault="00B83C49" w:rsidP="00931169">
      <w:pPr>
        <w:ind w:firstLine="708"/>
      </w:pPr>
      <w:r>
        <w:t>Napriek minimalistickému prístupu prebehli v rámci existujúcej infraštruktúry rozsiahlejšie rekonštrukcie a výmeny (</w:t>
      </w:r>
      <w:r w:rsidRPr="0092055B">
        <w:t xml:space="preserve">uvažované </w:t>
      </w:r>
      <w:r>
        <w:t xml:space="preserve">sú </w:t>
      </w:r>
      <w:r w:rsidRPr="0092055B">
        <w:t>všetky relevantné investície, vykonané v období od r.2000 podľa údajov správcov – Sekcií SŽTS, SOZT a SEaE Oblastného riaditeľstva Žilina</w:t>
      </w:r>
      <w:r w:rsidR="00BC102F">
        <w:t>).</w:t>
      </w:r>
      <w:r w:rsidRPr="0092055B">
        <w:t xml:space="preserve"> Kompletné zoznamy rekonštrukcií a výmen sú uvedené v prílohe – Časť F – Doklady „ŽSR, Správy sekcií – súpis majetku</w:t>
      </w:r>
      <w:r>
        <w:t>,  ktoré sú však vyňaté z plánu výmen podľa nasledovného:</w:t>
      </w:r>
    </w:p>
    <w:p w14:paraId="1A2EC9ED" w14:textId="77777777" w:rsidR="00782161" w:rsidRDefault="00782161" w:rsidP="00931169"/>
    <w:p w14:paraId="100557C7" w14:textId="77777777" w:rsidR="00782161" w:rsidRPr="00100D63" w:rsidRDefault="00782161" w:rsidP="00931169">
      <w:pPr>
        <w:ind w:firstLine="708"/>
        <w:rPr>
          <w:b/>
          <w:bCs/>
        </w:rPr>
      </w:pPr>
      <w:r w:rsidRPr="00100D63">
        <w:rPr>
          <w:b/>
          <w:bCs/>
        </w:rPr>
        <w:t>Sekcia Oznamovacej a zabezpečovacej techniky</w:t>
      </w:r>
    </w:p>
    <w:p w14:paraId="38051621" w14:textId="77777777" w:rsidR="00782161" w:rsidRDefault="00782161" w:rsidP="00931169">
      <w:pPr>
        <w:ind w:firstLine="708"/>
      </w:pPr>
      <w:r>
        <w:t>Identifikované a vyňaté z rozsahu potrebných výmen rozsiahle investičné akcie – výstavby systému GSMR a ETCS v úseku MÚ a ŽST Čadca (rok aktivácie 2015).</w:t>
      </w:r>
    </w:p>
    <w:p w14:paraId="362EC99A" w14:textId="77777777" w:rsidR="00782161" w:rsidRDefault="00782161" w:rsidP="00931169">
      <w:pPr>
        <w:ind w:firstLine="708"/>
      </w:pPr>
      <w:r>
        <w:t>Uvažované sú iba výmeny vonkajších prvkov, pevne spojených s koľajou a malá zmena softvéru pre kalibrovanie nových polôh balíz – vo výške 15% obstarávacej ceny.</w:t>
      </w:r>
    </w:p>
    <w:p w14:paraId="3BF8FC13" w14:textId="77777777" w:rsidR="00782161" w:rsidRDefault="00782161" w:rsidP="00931169">
      <w:pPr>
        <w:ind w:firstLine="708"/>
      </w:pPr>
    </w:p>
    <w:p w14:paraId="59EB4AA7" w14:textId="77777777" w:rsidR="00782161" w:rsidRPr="00100D63" w:rsidRDefault="00782161" w:rsidP="00931169">
      <w:pPr>
        <w:ind w:firstLine="708"/>
        <w:rPr>
          <w:b/>
          <w:bCs/>
        </w:rPr>
      </w:pPr>
      <w:r w:rsidRPr="00100D63">
        <w:rPr>
          <w:b/>
          <w:bCs/>
        </w:rPr>
        <w:t xml:space="preserve">Sekcia </w:t>
      </w:r>
      <w:r>
        <w:rPr>
          <w:b/>
          <w:bCs/>
        </w:rPr>
        <w:t>železničných stavieb a tratí</w:t>
      </w:r>
    </w:p>
    <w:p w14:paraId="329BDC22" w14:textId="77777777" w:rsidR="00782161" w:rsidRDefault="00782161" w:rsidP="00931169">
      <w:pPr>
        <w:ind w:firstLine="708"/>
      </w:pPr>
      <w:r w:rsidRPr="00100D63">
        <w:rPr>
          <w:noProof/>
          <w:lang w:eastAsia="sk-SK"/>
        </w:rPr>
        <w:drawing>
          <wp:inline distT="0" distB="0" distL="0" distR="0" wp14:anchorId="319E25BA" wp14:editId="1B1A0FE3">
            <wp:extent cx="5250180" cy="468291"/>
            <wp:effectExtent l="0" t="0" r="0" b="8255"/>
            <wp:docPr id="31" name="Obrázo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74838" cy="470490"/>
                    </a:xfrm>
                    <a:prstGeom prst="rect">
                      <a:avLst/>
                    </a:prstGeom>
                    <a:noFill/>
                    <a:ln>
                      <a:noFill/>
                    </a:ln>
                  </pic:spPr>
                </pic:pic>
              </a:graphicData>
            </a:graphic>
          </wp:inline>
        </w:drawing>
      </w:r>
    </w:p>
    <w:p w14:paraId="2058DAAC" w14:textId="77777777" w:rsidR="00782161" w:rsidRDefault="00782161" w:rsidP="00931169">
      <w:pPr>
        <w:ind w:firstLine="708"/>
      </w:pPr>
      <w:r>
        <w:t>Z rozsahu rekonštrukcií žel. zvršku nie je do výmeny zaradený úsek 7900m v kč.2 v rozsahu KR. Ostatné rekonštrukcie predstavujú iba čiastkové riešenia – obnovu koľajového lôžka, SVP alebo SVK.</w:t>
      </w:r>
    </w:p>
    <w:p w14:paraId="0BC9B58E" w14:textId="77777777" w:rsidR="00782161" w:rsidRDefault="00782161" w:rsidP="00931169">
      <w:pPr>
        <w:ind w:firstLine="708"/>
      </w:pPr>
      <w:r>
        <w:t>Pre železničný spodok a umelé stavby boli realizované drobné opravy a lokálne rekonštrukcie. Pri redukcii rozsahu potrebných výmen neboli kalkulované, keďže nie sú pri výmenách prvkov prakticky využiteľné.</w:t>
      </w:r>
    </w:p>
    <w:p w14:paraId="5446BD7C" w14:textId="77777777" w:rsidR="00782161" w:rsidRDefault="00782161" w:rsidP="00931169">
      <w:pPr>
        <w:ind w:firstLine="708"/>
        <w:rPr>
          <w:b/>
          <w:bCs/>
        </w:rPr>
      </w:pPr>
    </w:p>
    <w:p w14:paraId="38E02107" w14:textId="77777777" w:rsidR="00782161" w:rsidRPr="00100D63" w:rsidRDefault="00782161" w:rsidP="00931169">
      <w:pPr>
        <w:ind w:firstLine="708"/>
        <w:rPr>
          <w:b/>
          <w:bCs/>
        </w:rPr>
      </w:pPr>
      <w:r w:rsidRPr="00100D63">
        <w:rPr>
          <w:b/>
          <w:bCs/>
        </w:rPr>
        <w:t xml:space="preserve">Sekcia </w:t>
      </w:r>
      <w:r>
        <w:rPr>
          <w:b/>
          <w:bCs/>
        </w:rPr>
        <w:t>elektrotechniky a energetiky</w:t>
      </w:r>
    </w:p>
    <w:p w14:paraId="095FE15D" w14:textId="77777777" w:rsidR="00782161" w:rsidRDefault="00782161" w:rsidP="00931169">
      <w:pPr>
        <w:ind w:firstLine="708"/>
      </w:pPr>
      <w:r>
        <w:t>V SEaE boli realizované iba malé a lokálne výmeny a rekonštrukcie (napr. výmeny izolátorov a pod.). Pri redukcii rozsahu potrebných výmen neboli kalkulované, keďže nie sú pri výmenách prvkov prakticky využiteľné.</w:t>
      </w:r>
    </w:p>
    <w:p w14:paraId="3E555BC4" w14:textId="361F4E96" w:rsidR="00782161" w:rsidRDefault="00782161" w:rsidP="00931169">
      <w:pPr>
        <w:ind w:firstLine="708"/>
      </w:pPr>
      <w:r>
        <w:t>V r.2002 prebehla rekonštrukcia Elektrického ohrevu výhybiek. EOV nie e vylúčené z výmeny, keďže pri výmene výhybiek a žel. zvršku budú zasiahnuté dve hlavné súčasti EOV – kabelizácia a samotné vyhrievacie telesá, prispôsobené tvaru výhybky.</w:t>
      </w:r>
    </w:p>
    <w:p w14:paraId="71402E3C" w14:textId="77777777" w:rsidR="00B83C49" w:rsidRPr="0092055B" w:rsidRDefault="00B83C49" w:rsidP="00931169"/>
    <w:p w14:paraId="57EF2E52" w14:textId="1E1CEB06" w:rsidR="001902D5" w:rsidRPr="00DA6FE5" w:rsidRDefault="00782161" w:rsidP="00931169">
      <w:pPr>
        <w:pStyle w:val="Nadpis3"/>
        <w:rPr>
          <w:rFonts w:cstheme="minorHAnsi"/>
          <w:color w:val="00B050"/>
          <w:sz w:val="28"/>
          <w:szCs w:val="28"/>
        </w:rPr>
      </w:pPr>
      <w:bookmarkStart w:id="34" w:name="_Toc88652917"/>
      <w:r>
        <w:rPr>
          <w:rFonts w:cstheme="minorHAnsi"/>
          <w:color w:val="00B050"/>
          <w:sz w:val="28"/>
          <w:szCs w:val="28"/>
        </w:rPr>
        <w:t xml:space="preserve">3.2 </w:t>
      </w:r>
      <w:r w:rsidR="00932CDB" w:rsidRPr="00930B46">
        <w:rPr>
          <w:rFonts w:cstheme="minorHAnsi"/>
          <w:color w:val="00B050"/>
          <w:sz w:val="28"/>
          <w:szCs w:val="28"/>
        </w:rPr>
        <w:t xml:space="preserve">Variant </w:t>
      </w:r>
      <w:bookmarkStart w:id="35" w:name="_Toc86410154"/>
      <w:r w:rsidR="001902D5">
        <w:rPr>
          <w:rFonts w:cstheme="minorHAnsi"/>
          <w:color w:val="00B050"/>
          <w:sz w:val="28"/>
          <w:szCs w:val="28"/>
        </w:rPr>
        <w:t>A</w:t>
      </w:r>
      <w:r w:rsidR="001902D5" w:rsidRPr="00930B46">
        <w:rPr>
          <w:rFonts w:cstheme="minorHAnsi"/>
          <w:color w:val="00B050"/>
          <w:sz w:val="28"/>
          <w:szCs w:val="28"/>
        </w:rPr>
        <w:t xml:space="preserve"> – </w:t>
      </w:r>
      <w:bookmarkEnd w:id="35"/>
      <w:r w:rsidR="001902D5">
        <w:rPr>
          <w:rFonts w:cstheme="minorHAnsi"/>
          <w:color w:val="00B050"/>
          <w:sz w:val="28"/>
          <w:szCs w:val="28"/>
        </w:rPr>
        <w:t>ZÁKLADNÁ MODERNIZÁCIA</w:t>
      </w:r>
      <w:bookmarkEnd w:id="34"/>
      <w:r w:rsidR="001902D5" w:rsidRPr="00930B46">
        <w:rPr>
          <w:rFonts w:cstheme="minorHAnsi"/>
          <w:color w:val="00B050"/>
          <w:sz w:val="28"/>
          <w:szCs w:val="28"/>
        </w:rPr>
        <w:t xml:space="preserve"> </w:t>
      </w:r>
    </w:p>
    <w:p w14:paraId="0DD0D4C3" w14:textId="77777777" w:rsidR="001902D5" w:rsidRPr="001902D5" w:rsidRDefault="001902D5" w:rsidP="00931169">
      <w:pPr>
        <w:ind w:firstLine="708"/>
        <w:rPr>
          <w:rFonts w:cstheme="minorHAnsi"/>
        </w:rPr>
      </w:pPr>
      <w:r w:rsidRPr="00930B46">
        <w:rPr>
          <w:rFonts w:cstheme="minorHAnsi"/>
        </w:rPr>
        <w:t xml:space="preserve">Variant </w:t>
      </w:r>
      <w:r>
        <w:rPr>
          <w:rFonts w:cstheme="minorHAnsi"/>
        </w:rPr>
        <w:t>A – ZÁKLADNÁ MODERNIZÁCIA</w:t>
      </w:r>
      <w:r w:rsidRPr="00930B46">
        <w:rPr>
          <w:rFonts w:cstheme="minorHAnsi"/>
        </w:rPr>
        <w:t xml:space="preserve"> predstavuje </w:t>
      </w:r>
      <w:r>
        <w:rPr>
          <w:rFonts w:cstheme="minorHAnsi"/>
          <w:b/>
          <w:bCs/>
        </w:rPr>
        <w:t xml:space="preserve">úplnú výmenu hlavných – rozhodujúcich súčastí žel. infraštruktúry. </w:t>
      </w:r>
      <w:r w:rsidRPr="001902D5">
        <w:rPr>
          <w:rFonts w:cstheme="minorHAnsi"/>
        </w:rPr>
        <w:t>Vedľajšie súčasti žel. infraštruktúry sú zo základnej modernizácie vyňaté.</w:t>
      </w:r>
    </w:p>
    <w:p w14:paraId="63B96664" w14:textId="41FA5A36" w:rsidR="001902D5" w:rsidRDefault="001902D5" w:rsidP="00931169">
      <w:pPr>
        <w:ind w:firstLine="708"/>
        <w:rPr>
          <w:rFonts w:cstheme="minorHAnsi"/>
        </w:rPr>
      </w:pPr>
      <w:r>
        <w:rPr>
          <w:rFonts w:cstheme="minorHAnsi"/>
          <w:b/>
          <w:bCs/>
        </w:rPr>
        <w:t xml:space="preserve">Trasovanie  je uvažované súčasné, bez </w:t>
      </w:r>
      <w:r w:rsidRPr="00930B46">
        <w:rPr>
          <w:rFonts w:cstheme="minorHAnsi"/>
          <w:b/>
          <w:bCs/>
        </w:rPr>
        <w:t>opustenia</w:t>
      </w:r>
      <w:r w:rsidRPr="00930B46">
        <w:rPr>
          <w:rFonts w:cstheme="minorHAnsi"/>
        </w:rPr>
        <w:t xml:space="preserve"> jestvujúceho železničného telesa.</w:t>
      </w:r>
    </w:p>
    <w:p w14:paraId="3C639FDC" w14:textId="77777777" w:rsidR="005A736B" w:rsidRDefault="005A736B" w:rsidP="00931169">
      <w:pPr>
        <w:ind w:firstLine="708"/>
        <w:rPr>
          <w:rFonts w:cstheme="minorHAnsi"/>
        </w:rPr>
      </w:pPr>
    </w:p>
    <w:p w14:paraId="5A99E690" w14:textId="77777777" w:rsidR="001902D5" w:rsidRPr="005A736B" w:rsidRDefault="001902D5" w:rsidP="00931169">
      <w:pPr>
        <w:pStyle w:val="Odsekzoznamu"/>
        <w:numPr>
          <w:ilvl w:val="0"/>
          <w:numId w:val="66"/>
        </w:numPr>
        <w:jc w:val="both"/>
        <w:rPr>
          <w:rFonts w:eastAsiaTheme="majorEastAsia" w:cstheme="minorHAnsi"/>
          <w:b/>
          <w:bCs/>
          <w:color w:val="4F81BD" w:themeColor="accent1"/>
          <w:sz w:val="26"/>
          <w:szCs w:val="26"/>
        </w:rPr>
      </w:pPr>
      <w:r w:rsidRPr="005A736B">
        <w:rPr>
          <w:rFonts w:eastAsiaTheme="majorEastAsia" w:cstheme="minorHAnsi"/>
          <w:b/>
          <w:bCs/>
          <w:color w:val="4F81BD" w:themeColor="accent1"/>
          <w:sz w:val="26"/>
          <w:szCs w:val="26"/>
        </w:rPr>
        <w:t>etapa:  Krásno nad Kysucou – Čadca (žkm 269,978 – 278,030)</w:t>
      </w:r>
    </w:p>
    <w:p w14:paraId="5D2F1327" w14:textId="77777777" w:rsidR="001902D5" w:rsidRPr="00856D66" w:rsidRDefault="001902D5" w:rsidP="00931169">
      <w:pPr>
        <w:ind w:firstLine="708"/>
        <w:rPr>
          <w:rFonts w:cstheme="minorHAnsi"/>
        </w:rPr>
      </w:pPr>
      <w:r w:rsidRPr="00856D66">
        <w:rPr>
          <w:rFonts w:cstheme="minorHAnsi"/>
        </w:rPr>
        <w:t>V medzistaničnom úseku Krásno nad Kysucou – Čadca je priestorový – koľajový - rozsah uvažovaný jednoznačne: pre obe traťové koľaje – TK1 a TK2. Z rozsahu základnej modernizácie je vyňatý úsek rekonštruovaný v roku 2019.</w:t>
      </w:r>
    </w:p>
    <w:p w14:paraId="71FEAE22" w14:textId="5EC6262B" w:rsidR="001902D5" w:rsidRDefault="0049048C" w:rsidP="00931169">
      <w:pPr>
        <w:rPr>
          <w:rFonts w:cstheme="minorHAnsi"/>
        </w:rPr>
      </w:pPr>
      <w:r>
        <w:rPr>
          <w:rFonts w:cstheme="minorHAnsi"/>
        </w:rPr>
        <w:t xml:space="preserve">Ďalej je v rámci základnej modernizácie uvažované so </w:t>
      </w:r>
      <w:r w:rsidRPr="00930B46">
        <w:rPr>
          <w:rFonts w:cstheme="minorHAnsi"/>
        </w:rPr>
        <w:t>zriaden</w:t>
      </w:r>
      <w:r>
        <w:rPr>
          <w:rFonts w:cstheme="minorHAnsi"/>
        </w:rPr>
        <w:t>ím</w:t>
      </w:r>
      <w:r w:rsidRPr="00930B46">
        <w:rPr>
          <w:rFonts w:cstheme="minorHAnsi"/>
        </w:rPr>
        <w:t xml:space="preserve"> zastávky </w:t>
      </w:r>
      <w:r>
        <w:rPr>
          <w:rFonts w:cstheme="minorHAnsi"/>
        </w:rPr>
        <w:t xml:space="preserve">Terminálu integrovanej dopravy </w:t>
      </w:r>
      <w:r w:rsidRPr="00BC102F">
        <w:rPr>
          <w:rFonts w:cstheme="minorHAnsi"/>
          <w:i/>
          <w:iCs/>
        </w:rPr>
        <w:t>TIOP Krásno nad Kysucou - mesto</w:t>
      </w:r>
      <w:r w:rsidRPr="00930B46">
        <w:rPr>
          <w:rFonts w:cstheme="minorHAnsi"/>
        </w:rPr>
        <w:t>, rozšíren</w:t>
      </w:r>
      <w:r>
        <w:rPr>
          <w:rFonts w:cstheme="minorHAnsi"/>
        </w:rPr>
        <w:t>ím</w:t>
      </w:r>
      <w:r w:rsidRPr="00930B46">
        <w:rPr>
          <w:rFonts w:cstheme="minorHAnsi"/>
        </w:rPr>
        <w:t xml:space="preserve"> riešenia prístupových komunikácii a parkovacích miest </w:t>
      </w:r>
      <w:r>
        <w:rPr>
          <w:rFonts w:cstheme="minorHAnsi"/>
        </w:rPr>
        <w:t>k </w:t>
      </w:r>
      <w:r w:rsidRPr="00BC102F">
        <w:rPr>
          <w:rFonts w:cstheme="minorHAnsi"/>
          <w:i/>
          <w:iCs/>
        </w:rPr>
        <w:t>TIOPu Krásno nad Kysucou - mesto</w:t>
      </w:r>
      <w:r w:rsidRPr="00930B46">
        <w:rPr>
          <w:rFonts w:cstheme="minorHAnsi"/>
        </w:rPr>
        <w:t xml:space="preserve"> podľa požiadaviek miestnej samosprávy</w:t>
      </w:r>
      <w:r>
        <w:rPr>
          <w:rFonts w:cstheme="minorHAnsi"/>
        </w:rPr>
        <w:t>.</w:t>
      </w:r>
    </w:p>
    <w:p w14:paraId="72B337BA" w14:textId="77777777" w:rsidR="0049048C" w:rsidRPr="00856D66" w:rsidRDefault="0049048C" w:rsidP="00931169">
      <w:pPr>
        <w:rPr>
          <w:rFonts w:cstheme="minorHAnsi"/>
          <w:b/>
          <w:bCs/>
        </w:rPr>
      </w:pPr>
    </w:p>
    <w:p w14:paraId="526B4EED" w14:textId="77777777" w:rsidR="001902D5" w:rsidRPr="005A736B" w:rsidRDefault="001902D5" w:rsidP="00931169">
      <w:pPr>
        <w:pStyle w:val="Odsekzoznamu"/>
        <w:numPr>
          <w:ilvl w:val="0"/>
          <w:numId w:val="66"/>
        </w:numPr>
        <w:jc w:val="both"/>
        <w:rPr>
          <w:rFonts w:eastAsiaTheme="majorEastAsia" w:cstheme="minorHAnsi"/>
          <w:b/>
          <w:bCs/>
          <w:color w:val="4F81BD" w:themeColor="accent1"/>
          <w:sz w:val="26"/>
          <w:szCs w:val="26"/>
        </w:rPr>
      </w:pPr>
      <w:r w:rsidRPr="005A736B">
        <w:rPr>
          <w:rFonts w:eastAsiaTheme="majorEastAsia" w:cstheme="minorHAnsi"/>
          <w:b/>
          <w:bCs/>
          <w:color w:val="4F81BD" w:themeColor="accent1"/>
          <w:sz w:val="26"/>
          <w:szCs w:val="26"/>
        </w:rPr>
        <w:t>etapa:  ŽST Čadca (žkm 279,8)</w:t>
      </w:r>
    </w:p>
    <w:p w14:paraId="79BFCE9C" w14:textId="77777777" w:rsidR="001902D5" w:rsidRDefault="001902D5" w:rsidP="00931169">
      <w:pPr>
        <w:ind w:firstLine="708"/>
      </w:pPr>
      <w:r>
        <w:t>V ŽST Čadca je rozsah základnej modernizácie koľajiska navrhnutý podľa požiadaviek dopravy. V prílohe časti F – Doklady je uvedený „Plán obsadenia dopravných koľají ŽST Čadca“. Z neho a ďalej z návrhu dopravnej technológie pre projekt modernizácie je zrejmé, že súčasný počet dopravných koľají je využívaný pre výlukovú ale aj rutinnú prevádzku a nie je možné ho redukovať. Súčasný rozsah DK je vo špičkových obdobiach nedostatočný a spôsobuje meškania vlakov a znižovanie konkurencieschopnosti železničnej dopravy.</w:t>
      </w:r>
    </w:p>
    <w:p w14:paraId="4E6621D2" w14:textId="4D85FF09" w:rsidR="001902D5" w:rsidRDefault="001902D5" w:rsidP="00931169">
      <w:r>
        <w:t>Uvažovaný rozsah úprav je teda v celom rozsahu dopravných koľají železničnej stanice.</w:t>
      </w:r>
    </w:p>
    <w:p w14:paraId="2895E6D2" w14:textId="77777777" w:rsidR="00FE7FAB" w:rsidRDefault="00FE7FAB" w:rsidP="00931169"/>
    <w:p w14:paraId="669A8E68" w14:textId="27835CBA" w:rsidR="008571A5" w:rsidRPr="003576C2" w:rsidRDefault="008571A5" w:rsidP="00931169">
      <w:pPr>
        <w:pStyle w:val="Odsekzoznamu"/>
        <w:numPr>
          <w:ilvl w:val="0"/>
          <w:numId w:val="66"/>
        </w:numPr>
        <w:jc w:val="both"/>
        <w:rPr>
          <w:rFonts w:eastAsiaTheme="majorEastAsia" w:cstheme="minorHAnsi"/>
          <w:b/>
          <w:bCs/>
          <w:color w:val="4F81BD" w:themeColor="accent1"/>
          <w:sz w:val="26"/>
          <w:szCs w:val="26"/>
        </w:rPr>
      </w:pPr>
      <w:r w:rsidRPr="008571A5">
        <w:rPr>
          <w:rFonts w:eastAsiaTheme="majorEastAsia" w:cstheme="minorHAnsi"/>
          <w:b/>
          <w:bCs/>
          <w:color w:val="4F81BD" w:themeColor="accent1"/>
          <w:sz w:val="26"/>
          <w:szCs w:val="26"/>
        </w:rPr>
        <w:t>etapa:  ŽST Čadca (mimo) – št. hr. SR/ČR (žkm 279,150 – 284,340)</w:t>
      </w:r>
    </w:p>
    <w:p w14:paraId="0AD1E982" w14:textId="7EC60CC1" w:rsidR="005A736B" w:rsidRDefault="003576C2" w:rsidP="00931169">
      <w:pPr>
        <w:ind w:firstLine="708"/>
      </w:pPr>
      <w:r>
        <w:rPr>
          <w:rFonts w:cstheme="minorHAnsi"/>
        </w:rPr>
        <w:t>M</w:t>
      </w:r>
      <w:r w:rsidRPr="00930B46">
        <w:rPr>
          <w:rFonts w:cstheme="minorHAnsi"/>
        </w:rPr>
        <w:t xml:space="preserve">odernizácia železničnej trate </w:t>
      </w:r>
      <w:r>
        <w:rPr>
          <w:rFonts w:cstheme="minorHAnsi"/>
        </w:rPr>
        <w:t xml:space="preserve">v medzistaničnom úseku ŽST Čadca (mimo) – št. hr. SR/ČR je uvažovaná </w:t>
      </w:r>
      <w:r w:rsidR="00CB0CD8">
        <w:rPr>
          <w:rFonts w:cstheme="minorHAnsi"/>
        </w:rPr>
        <w:t>v existujúcom žel. koridore zameranej najmä na sanáciu havarijných zosuvov, modernizáciou žel. zvršku a spodku, vrátane modernizácie existujúcich žel. priepustov a žel. mostov.</w:t>
      </w:r>
    </w:p>
    <w:p w14:paraId="077E1C5B" w14:textId="13FDFA26" w:rsidR="005A736B" w:rsidRDefault="005A736B" w:rsidP="00931169">
      <w:pPr>
        <w:pStyle w:val="Nadpis2"/>
        <w:tabs>
          <w:tab w:val="left" w:pos="567"/>
        </w:tabs>
        <w:rPr>
          <w:rFonts w:cstheme="minorHAnsi"/>
        </w:rPr>
      </w:pPr>
      <w:bookmarkStart w:id="36" w:name="_Toc86410156"/>
      <w:bookmarkStart w:id="37" w:name="_Toc88652918"/>
      <w:r>
        <w:rPr>
          <w:rFonts w:cstheme="minorHAnsi"/>
        </w:rPr>
        <w:t xml:space="preserve">Technický rozsah navrhovanej </w:t>
      </w:r>
      <w:bookmarkEnd w:id="36"/>
      <w:r>
        <w:rPr>
          <w:rFonts w:cstheme="minorHAnsi"/>
        </w:rPr>
        <w:t>základnej modernizácie pre I. a</w:t>
      </w:r>
      <w:r w:rsidR="002343B4">
        <w:rPr>
          <w:rFonts w:cstheme="minorHAnsi"/>
        </w:rPr>
        <w:t>ž</w:t>
      </w:r>
      <w:r>
        <w:rPr>
          <w:rFonts w:cstheme="minorHAnsi"/>
        </w:rPr>
        <w:t> II</w:t>
      </w:r>
      <w:r w:rsidR="002343B4">
        <w:rPr>
          <w:rFonts w:cstheme="minorHAnsi"/>
        </w:rPr>
        <w:t>I</w:t>
      </w:r>
      <w:r>
        <w:rPr>
          <w:rFonts w:cstheme="minorHAnsi"/>
        </w:rPr>
        <w:t>. etapu</w:t>
      </w:r>
      <w:bookmarkEnd w:id="37"/>
    </w:p>
    <w:p w14:paraId="0C12787F" w14:textId="77777777" w:rsidR="005A736B" w:rsidRDefault="005A736B" w:rsidP="00931169">
      <w:r>
        <w:tab/>
        <w:t>Technické riešenie základnej modernizácie ponecháva smerové polohy koľají, pričom nie sú navrhované výmeny nástupísk a podchodov.</w:t>
      </w:r>
    </w:p>
    <w:p w14:paraId="3BA564C6" w14:textId="77777777" w:rsidR="005A736B" w:rsidRDefault="005A736B" w:rsidP="00931169">
      <w:r>
        <w:tab/>
        <w:t>Ďalej sú vyňaté všetky SO a PS</w:t>
      </w:r>
      <w:r w:rsidRPr="00C300E2">
        <w:t xml:space="preserve"> </w:t>
      </w:r>
      <w:r>
        <w:t>súvisiace s obsluhou cestujúcich – napr. informačné systémy, prenosový systém, zastrešenia a pod.</w:t>
      </w:r>
    </w:p>
    <w:p w14:paraId="5317C217" w14:textId="77777777" w:rsidR="005A736B" w:rsidRDefault="005A736B" w:rsidP="00931169"/>
    <w:p w14:paraId="517DD51B" w14:textId="77777777" w:rsidR="005A736B" w:rsidRDefault="005A736B" w:rsidP="00931169">
      <w:r>
        <w:t>Vo výsledku je rozsah technického riešenia pre rozhodujúce prvky nasledujúci:</w:t>
      </w:r>
    </w:p>
    <w:p w14:paraId="63654419" w14:textId="77777777" w:rsidR="005A736B" w:rsidRPr="001562BA" w:rsidRDefault="005A736B" w:rsidP="00931169">
      <w:pPr>
        <w:pStyle w:val="Odsekzoznamu"/>
        <w:numPr>
          <w:ilvl w:val="0"/>
          <w:numId w:val="65"/>
        </w:numPr>
        <w:jc w:val="both"/>
        <w:rPr>
          <w:sz w:val="24"/>
          <w:szCs w:val="24"/>
        </w:rPr>
      </w:pPr>
      <w:r w:rsidRPr="001562BA">
        <w:rPr>
          <w:sz w:val="24"/>
          <w:szCs w:val="24"/>
        </w:rPr>
        <w:t>Zabezpečovacie zariadenie – udržanie súčasného SZZ elektronického stavadla, s výmenami vonkajších prvkov, pevne spojených s koľajami a zmena softvéru, pre kalibrovanie polohy balíz ETCS;</w:t>
      </w:r>
    </w:p>
    <w:p w14:paraId="3EF26460" w14:textId="77777777" w:rsidR="005A736B" w:rsidRPr="001562BA" w:rsidRDefault="005A736B" w:rsidP="00931169">
      <w:pPr>
        <w:pStyle w:val="Odsekzoznamu"/>
        <w:numPr>
          <w:ilvl w:val="0"/>
          <w:numId w:val="65"/>
        </w:numPr>
        <w:jc w:val="both"/>
        <w:rPr>
          <w:sz w:val="24"/>
          <w:szCs w:val="24"/>
        </w:rPr>
      </w:pPr>
      <w:r w:rsidRPr="001562BA">
        <w:rPr>
          <w:sz w:val="24"/>
          <w:szCs w:val="24"/>
        </w:rPr>
        <w:t>GSM-R – existujúci systém;</w:t>
      </w:r>
    </w:p>
    <w:p w14:paraId="740182ED" w14:textId="77777777" w:rsidR="005A736B" w:rsidRPr="001562BA" w:rsidRDefault="005A736B" w:rsidP="00931169">
      <w:pPr>
        <w:pStyle w:val="Odsekzoznamu"/>
        <w:numPr>
          <w:ilvl w:val="0"/>
          <w:numId w:val="65"/>
        </w:numPr>
        <w:jc w:val="both"/>
        <w:rPr>
          <w:sz w:val="24"/>
          <w:szCs w:val="24"/>
        </w:rPr>
      </w:pPr>
      <w:r w:rsidRPr="001562BA">
        <w:rPr>
          <w:sz w:val="24"/>
          <w:szCs w:val="24"/>
        </w:rPr>
        <w:t xml:space="preserve">Oznamovacie zariadenia – bez </w:t>
      </w:r>
      <w:r>
        <w:rPr>
          <w:sz w:val="24"/>
          <w:szCs w:val="24"/>
        </w:rPr>
        <w:t>modernizácie</w:t>
      </w:r>
      <w:r w:rsidRPr="001562BA">
        <w:rPr>
          <w:sz w:val="24"/>
          <w:szCs w:val="24"/>
        </w:rPr>
        <w:t xml:space="preserve"> alebo výstavby</w:t>
      </w:r>
    </w:p>
    <w:p w14:paraId="7908A5F2" w14:textId="77777777" w:rsidR="005A736B" w:rsidRPr="001562BA" w:rsidRDefault="005A736B" w:rsidP="00931169">
      <w:pPr>
        <w:pStyle w:val="Odsekzoznamu"/>
        <w:numPr>
          <w:ilvl w:val="0"/>
          <w:numId w:val="65"/>
        </w:numPr>
        <w:jc w:val="both"/>
        <w:rPr>
          <w:sz w:val="24"/>
          <w:szCs w:val="24"/>
        </w:rPr>
      </w:pPr>
      <w:r w:rsidRPr="001562BA">
        <w:rPr>
          <w:sz w:val="24"/>
          <w:szCs w:val="24"/>
        </w:rPr>
        <w:t xml:space="preserve">Prenosový systém, DOO, DLR – realizovaný z dôvodu výstavby DOO a DLR ako súčasti </w:t>
      </w:r>
      <w:r>
        <w:rPr>
          <w:sz w:val="24"/>
          <w:szCs w:val="24"/>
        </w:rPr>
        <w:t>modernizácie</w:t>
      </w:r>
      <w:r w:rsidRPr="001562BA">
        <w:rPr>
          <w:sz w:val="24"/>
          <w:szCs w:val="24"/>
        </w:rPr>
        <w:t xml:space="preserve"> TV;</w:t>
      </w:r>
    </w:p>
    <w:p w14:paraId="5BD32BD3" w14:textId="1CAE56FD" w:rsidR="005A736B" w:rsidRDefault="005A736B" w:rsidP="00931169">
      <w:pPr>
        <w:pStyle w:val="Odsekzoznamu"/>
        <w:numPr>
          <w:ilvl w:val="0"/>
          <w:numId w:val="65"/>
        </w:numPr>
        <w:jc w:val="both"/>
        <w:rPr>
          <w:sz w:val="24"/>
          <w:szCs w:val="24"/>
        </w:rPr>
      </w:pPr>
      <w:r w:rsidRPr="001562BA">
        <w:rPr>
          <w:sz w:val="24"/>
          <w:szCs w:val="24"/>
        </w:rPr>
        <w:lastRenderedPageBreak/>
        <w:t xml:space="preserve">Železničný spodok a železničný zvršok – </w:t>
      </w:r>
      <w:r w:rsidR="00DD442A">
        <w:rPr>
          <w:sz w:val="24"/>
          <w:szCs w:val="24"/>
        </w:rPr>
        <w:t>obe traťové koľaje TK1 a TK2, vyňatý je zrekonštruovaný úsek trate z r. 2019;</w:t>
      </w:r>
    </w:p>
    <w:p w14:paraId="4F4521AE" w14:textId="78B82944" w:rsidR="005A736B" w:rsidRPr="001562BA" w:rsidRDefault="005A736B" w:rsidP="00931169">
      <w:pPr>
        <w:pStyle w:val="Odsekzoznamu"/>
        <w:numPr>
          <w:ilvl w:val="0"/>
          <w:numId w:val="65"/>
        </w:numPr>
        <w:jc w:val="both"/>
        <w:rPr>
          <w:sz w:val="24"/>
          <w:szCs w:val="24"/>
        </w:rPr>
      </w:pPr>
      <w:r>
        <w:rPr>
          <w:sz w:val="24"/>
          <w:szCs w:val="24"/>
        </w:rPr>
        <w:t>Elektrický rozsah výhybiek – pri výmene zvršku dôjde k</w:t>
      </w:r>
      <w:r w:rsidR="00DD442A">
        <w:rPr>
          <w:sz w:val="24"/>
          <w:szCs w:val="24"/>
        </w:rPr>
        <w:t> </w:t>
      </w:r>
      <w:r>
        <w:rPr>
          <w:sz w:val="24"/>
          <w:szCs w:val="24"/>
        </w:rPr>
        <w:t>zásahu do oboch rozhodujúcich prvkov – kabelizácie a výhrevných telies s geometriou výhybiek na výmenu;</w:t>
      </w:r>
    </w:p>
    <w:p w14:paraId="2A29FCDC" w14:textId="77777777" w:rsidR="005A736B" w:rsidRPr="001562BA" w:rsidRDefault="005A736B" w:rsidP="00931169">
      <w:pPr>
        <w:pStyle w:val="Odsekzoznamu"/>
        <w:numPr>
          <w:ilvl w:val="0"/>
          <w:numId w:val="65"/>
        </w:numPr>
        <w:jc w:val="both"/>
        <w:rPr>
          <w:sz w:val="24"/>
          <w:szCs w:val="24"/>
        </w:rPr>
      </w:pPr>
      <w:r w:rsidRPr="001562BA">
        <w:rPr>
          <w:sz w:val="24"/>
          <w:szCs w:val="24"/>
        </w:rPr>
        <w:t xml:space="preserve">Priepusty – zaradené do </w:t>
      </w:r>
      <w:r>
        <w:rPr>
          <w:sz w:val="24"/>
          <w:szCs w:val="24"/>
        </w:rPr>
        <w:t xml:space="preserve">základnej modernizácie </w:t>
      </w:r>
      <w:r w:rsidRPr="001562BA">
        <w:rPr>
          <w:sz w:val="24"/>
          <w:szCs w:val="24"/>
        </w:rPr>
        <w:t>v plnom rozsahu</w:t>
      </w:r>
      <w:r>
        <w:rPr>
          <w:sz w:val="24"/>
          <w:szCs w:val="24"/>
        </w:rPr>
        <w:t>;</w:t>
      </w:r>
    </w:p>
    <w:p w14:paraId="27D645EF" w14:textId="72963E2F" w:rsidR="005A736B" w:rsidRPr="001562BA" w:rsidRDefault="005A736B" w:rsidP="00931169">
      <w:pPr>
        <w:pStyle w:val="Odsekzoznamu"/>
        <w:numPr>
          <w:ilvl w:val="0"/>
          <w:numId w:val="65"/>
        </w:numPr>
        <w:jc w:val="both"/>
        <w:rPr>
          <w:sz w:val="24"/>
          <w:szCs w:val="24"/>
        </w:rPr>
      </w:pPr>
      <w:r w:rsidRPr="001562BA">
        <w:rPr>
          <w:sz w:val="24"/>
          <w:szCs w:val="24"/>
        </w:rPr>
        <w:t xml:space="preserve">Mosty </w:t>
      </w:r>
      <w:r w:rsidRPr="00BC102F">
        <w:rPr>
          <w:sz w:val="24"/>
          <w:szCs w:val="24"/>
        </w:rPr>
        <w:t xml:space="preserve">– zaradené </w:t>
      </w:r>
      <w:r w:rsidR="00C24266">
        <w:rPr>
          <w:sz w:val="24"/>
          <w:szCs w:val="24"/>
        </w:rPr>
        <w:t>iba žel. mosty, s vyňatím cestných mostov;</w:t>
      </w:r>
    </w:p>
    <w:p w14:paraId="6245BCA3" w14:textId="77777777" w:rsidR="005A736B" w:rsidRPr="001562BA" w:rsidRDefault="005A736B" w:rsidP="00931169">
      <w:pPr>
        <w:pStyle w:val="Odsekzoznamu"/>
        <w:numPr>
          <w:ilvl w:val="0"/>
          <w:numId w:val="65"/>
        </w:numPr>
        <w:jc w:val="both"/>
        <w:rPr>
          <w:sz w:val="24"/>
          <w:szCs w:val="24"/>
        </w:rPr>
      </w:pPr>
      <w:r w:rsidRPr="0049048C">
        <w:rPr>
          <w:sz w:val="24"/>
          <w:szCs w:val="24"/>
          <w:u w:val="single"/>
        </w:rPr>
        <w:t>Terminál integrovanej dopravy TIOP Krásno</w:t>
      </w:r>
      <w:r w:rsidRPr="001562BA">
        <w:rPr>
          <w:sz w:val="24"/>
          <w:szCs w:val="24"/>
        </w:rPr>
        <w:t xml:space="preserve"> – zaradený do</w:t>
      </w:r>
      <w:r>
        <w:rPr>
          <w:sz w:val="24"/>
          <w:szCs w:val="24"/>
        </w:rPr>
        <w:t xml:space="preserve"> základnej modernizácie</w:t>
      </w:r>
      <w:r w:rsidRPr="001562BA">
        <w:rPr>
          <w:sz w:val="24"/>
          <w:szCs w:val="24"/>
        </w:rPr>
        <w:t xml:space="preserve"> z dôvodu splnenia podmienok IDS – Integrovanej dopravy žilinského kraja, Plánu dopravnej obslužnosti ako podmienky financovateľnosti z OPII;</w:t>
      </w:r>
    </w:p>
    <w:p w14:paraId="286298C0" w14:textId="77777777" w:rsidR="005A736B" w:rsidRPr="001562BA" w:rsidRDefault="005A736B" w:rsidP="00931169">
      <w:pPr>
        <w:pStyle w:val="Odsekzoznamu"/>
        <w:numPr>
          <w:ilvl w:val="0"/>
          <w:numId w:val="65"/>
        </w:numPr>
        <w:jc w:val="both"/>
        <w:rPr>
          <w:sz w:val="24"/>
          <w:szCs w:val="24"/>
        </w:rPr>
      </w:pPr>
      <w:r w:rsidRPr="001562BA">
        <w:rPr>
          <w:sz w:val="24"/>
          <w:szCs w:val="24"/>
        </w:rPr>
        <w:t>Protihlukové steny – podmienka legislatívy na hygienické limity;</w:t>
      </w:r>
    </w:p>
    <w:p w14:paraId="698AC7ED" w14:textId="77777777" w:rsidR="005A736B" w:rsidRPr="001562BA" w:rsidRDefault="005A736B" w:rsidP="00931169">
      <w:pPr>
        <w:pStyle w:val="Odsekzoznamu"/>
        <w:numPr>
          <w:ilvl w:val="0"/>
          <w:numId w:val="65"/>
        </w:numPr>
        <w:jc w:val="both"/>
        <w:rPr>
          <w:sz w:val="24"/>
          <w:szCs w:val="24"/>
        </w:rPr>
      </w:pPr>
      <w:r w:rsidRPr="001562BA">
        <w:rPr>
          <w:sz w:val="24"/>
          <w:szCs w:val="24"/>
        </w:rPr>
        <w:t>Trakčné vedenie – podľa rozsahu uvedeného v kap. „Udržateľnosť prevádzky“, a to vrátane štandardných moderných nadstavieb DOO a DLR;</w:t>
      </w:r>
    </w:p>
    <w:p w14:paraId="0C24C88F" w14:textId="77777777" w:rsidR="005A736B" w:rsidRPr="001562BA" w:rsidRDefault="005A736B" w:rsidP="00931169">
      <w:pPr>
        <w:pStyle w:val="Odsekzoznamu"/>
        <w:numPr>
          <w:ilvl w:val="0"/>
          <w:numId w:val="65"/>
        </w:numPr>
        <w:jc w:val="both"/>
        <w:rPr>
          <w:sz w:val="24"/>
          <w:szCs w:val="24"/>
        </w:rPr>
      </w:pPr>
      <w:r w:rsidRPr="001562BA">
        <w:rPr>
          <w:sz w:val="24"/>
          <w:szCs w:val="24"/>
        </w:rPr>
        <w:t>miestna sanácia zosuvov a zosuvných území, v jednom prípade s úpravou toku r. Kysuce;</w:t>
      </w:r>
    </w:p>
    <w:p w14:paraId="011C31DF" w14:textId="6CDDF512" w:rsidR="005A736B" w:rsidRPr="002343B4" w:rsidRDefault="005A736B" w:rsidP="00931169">
      <w:pPr>
        <w:pStyle w:val="Odsekzoznamu"/>
        <w:numPr>
          <w:ilvl w:val="0"/>
          <w:numId w:val="65"/>
        </w:numPr>
        <w:jc w:val="both"/>
        <w:rPr>
          <w:sz w:val="24"/>
          <w:szCs w:val="24"/>
        </w:rPr>
      </w:pPr>
      <w:r w:rsidRPr="001562BA">
        <w:rPr>
          <w:sz w:val="24"/>
          <w:szCs w:val="24"/>
        </w:rPr>
        <w:t>odvodnenie ŽST Čadca, podľa požiadavky Sekcie správy majetku (fakturácie SeVaK 221tis EUR ročne)</w:t>
      </w:r>
      <w:r>
        <w:rPr>
          <w:sz w:val="24"/>
          <w:szCs w:val="24"/>
        </w:rPr>
        <w:t>. List s požiadavkou v prílohe – časť F – Doklady - Odvodnenie</w:t>
      </w:r>
      <w:r w:rsidRPr="001562BA">
        <w:rPr>
          <w:sz w:val="24"/>
          <w:szCs w:val="24"/>
        </w:rPr>
        <w:t>;</w:t>
      </w:r>
    </w:p>
    <w:p w14:paraId="29DB8E8A" w14:textId="77777777" w:rsidR="001902D5" w:rsidRDefault="001902D5" w:rsidP="00931169">
      <w:pPr>
        <w:pStyle w:val="Nadpis2"/>
        <w:tabs>
          <w:tab w:val="left" w:pos="567"/>
        </w:tabs>
        <w:rPr>
          <w:rFonts w:cstheme="minorHAnsi"/>
        </w:rPr>
      </w:pPr>
      <w:bookmarkStart w:id="38" w:name="_Toc88652919"/>
      <w:r>
        <w:rPr>
          <w:rFonts w:cstheme="minorHAnsi"/>
        </w:rPr>
        <w:t>Úspora jazdných časov</w:t>
      </w:r>
      <w:bookmarkEnd w:id="38"/>
    </w:p>
    <w:p w14:paraId="66F80FA9" w14:textId="77777777" w:rsidR="001902D5" w:rsidRDefault="001902D5" w:rsidP="00931169">
      <w:pPr>
        <w:ind w:firstLine="708"/>
        <w:rPr>
          <w:szCs w:val="24"/>
        </w:rPr>
      </w:pPr>
      <w:r>
        <w:rPr>
          <w:szCs w:val="24"/>
        </w:rPr>
        <w:t>Úspora jazdných časov pre všetky druhy vlakov voči súčasnému stavu je 0,5 min. Dôvodom nie je zvýšenie rýchlosti, spôsobené zmenou parametrov trate, ale odstránením prechodného obmedzenia traťovej rýchlosti pre nevyhovujúci technický stav trate v žkm 279,0 až 279,4.</w:t>
      </w:r>
    </w:p>
    <w:p w14:paraId="557DA3D4" w14:textId="77777777" w:rsidR="001902D5" w:rsidRDefault="001902D5" w:rsidP="00931169">
      <w:pPr>
        <w:rPr>
          <w:szCs w:val="24"/>
        </w:rPr>
      </w:pPr>
    </w:p>
    <w:p w14:paraId="5002E943" w14:textId="28CA8525" w:rsidR="001902D5" w:rsidRDefault="001902D5" w:rsidP="00931169">
      <w:pPr>
        <w:ind w:firstLine="708"/>
        <w:rPr>
          <w:szCs w:val="24"/>
        </w:rPr>
      </w:pPr>
      <w:r>
        <w:rPr>
          <w:szCs w:val="24"/>
        </w:rPr>
        <w:t>Úspora jazdných časov pre všetky druhy vlakov voči refere</w:t>
      </w:r>
      <w:r w:rsidR="00EB2290">
        <w:rPr>
          <w:szCs w:val="24"/>
        </w:rPr>
        <w:t>n</w:t>
      </w:r>
      <w:r>
        <w:rPr>
          <w:szCs w:val="24"/>
        </w:rPr>
        <w:t>čnému variantu s výmenami je nulová.</w:t>
      </w:r>
    </w:p>
    <w:p w14:paraId="1ABB82BD" w14:textId="77777777" w:rsidR="001902D5" w:rsidRDefault="001902D5" w:rsidP="00931169">
      <w:pPr>
        <w:rPr>
          <w:szCs w:val="24"/>
        </w:rPr>
      </w:pPr>
    </w:p>
    <w:p w14:paraId="26934682" w14:textId="180C68CB" w:rsidR="001902D5" w:rsidRDefault="001902D5" w:rsidP="00931169">
      <w:pPr>
        <w:ind w:firstLine="708"/>
        <w:rPr>
          <w:szCs w:val="24"/>
        </w:rPr>
      </w:pPr>
      <w:r>
        <w:rPr>
          <w:szCs w:val="24"/>
        </w:rPr>
        <w:t>Doplnkovo pre vozidlá prechodnosti 3 je úspora jazdných časov voči súčasnosti 3,25 min. (neplatí pre</w:t>
      </w:r>
      <w:r w:rsidR="00EB2290">
        <w:rPr>
          <w:szCs w:val="24"/>
        </w:rPr>
        <w:t xml:space="preserve"> </w:t>
      </w:r>
      <w:r>
        <w:rPr>
          <w:szCs w:val="24"/>
        </w:rPr>
        <w:t xml:space="preserve"> </w:t>
      </w:r>
      <w:r w:rsidR="00EB2290">
        <w:rPr>
          <w:szCs w:val="24"/>
        </w:rPr>
        <w:t>0. variant (</w:t>
      </w:r>
      <w:r>
        <w:rPr>
          <w:szCs w:val="24"/>
        </w:rPr>
        <w:t>Refere</w:t>
      </w:r>
      <w:r w:rsidR="00EB2290">
        <w:rPr>
          <w:szCs w:val="24"/>
        </w:rPr>
        <w:t>n</w:t>
      </w:r>
      <w:r>
        <w:rPr>
          <w:szCs w:val="24"/>
        </w:rPr>
        <w:t>čný variant</w:t>
      </w:r>
      <w:r w:rsidR="00EB2290">
        <w:rPr>
          <w:szCs w:val="24"/>
        </w:rPr>
        <w:t>)</w:t>
      </w:r>
      <w:r>
        <w:rPr>
          <w:szCs w:val="24"/>
        </w:rPr>
        <w:t xml:space="preserve"> s výmenami). Dôvodom je odstránenie prechodného obmedzenia traťovej rýchlosti v žkm 273,1 až 277,8.</w:t>
      </w:r>
    </w:p>
    <w:p w14:paraId="2F1CFF33" w14:textId="77777777" w:rsidR="00C24266" w:rsidRPr="00EC157F" w:rsidRDefault="00C24266" w:rsidP="00931169">
      <w:pPr>
        <w:ind w:firstLine="708"/>
      </w:pPr>
    </w:p>
    <w:p w14:paraId="0FEFE457" w14:textId="7AE93982" w:rsidR="00EB2290" w:rsidRDefault="001E29F6" w:rsidP="00931169">
      <w:pPr>
        <w:pStyle w:val="Nadpis3"/>
        <w:rPr>
          <w:rFonts w:cstheme="minorHAnsi"/>
          <w:color w:val="00B050"/>
          <w:sz w:val="28"/>
          <w:szCs w:val="28"/>
        </w:rPr>
      </w:pPr>
      <w:bookmarkStart w:id="39" w:name="_Toc88652920"/>
      <w:r w:rsidRPr="00930B46">
        <w:rPr>
          <w:rFonts w:cstheme="minorHAnsi"/>
          <w:color w:val="00B050"/>
          <w:sz w:val="28"/>
          <w:szCs w:val="28"/>
        </w:rPr>
        <w:t>3.2</w:t>
      </w:r>
      <w:r w:rsidRPr="00930B46">
        <w:rPr>
          <w:rFonts w:cstheme="minorHAnsi"/>
          <w:color w:val="00B050"/>
          <w:sz w:val="28"/>
          <w:szCs w:val="28"/>
        </w:rPr>
        <w:tab/>
        <w:t xml:space="preserve">Variant </w:t>
      </w:r>
      <w:r w:rsidR="001902D5">
        <w:rPr>
          <w:rFonts w:cstheme="minorHAnsi"/>
          <w:color w:val="00B050"/>
          <w:sz w:val="28"/>
          <w:szCs w:val="28"/>
        </w:rPr>
        <w:t>B</w:t>
      </w:r>
      <w:r w:rsidRPr="00930B46">
        <w:rPr>
          <w:rFonts w:cstheme="minorHAnsi"/>
          <w:color w:val="00B050"/>
          <w:sz w:val="28"/>
          <w:szCs w:val="28"/>
        </w:rPr>
        <w:t xml:space="preserve"> – </w:t>
      </w:r>
      <w:r w:rsidR="00EB2290">
        <w:rPr>
          <w:rFonts w:cstheme="minorHAnsi"/>
          <w:color w:val="00B050"/>
          <w:sz w:val="28"/>
          <w:szCs w:val="28"/>
        </w:rPr>
        <w:t>M</w:t>
      </w:r>
      <w:r w:rsidR="004B1C9A">
        <w:rPr>
          <w:rFonts w:cstheme="minorHAnsi"/>
          <w:color w:val="00B050"/>
          <w:sz w:val="28"/>
          <w:szCs w:val="28"/>
        </w:rPr>
        <w:t xml:space="preserve">ODERNIZÁCIA </w:t>
      </w:r>
      <w:r w:rsidR="00EB2290">
        <w:rPr>
          <w:rFonts w:cstheme="minorHAnsi"/>
          <w:color w:val="00B050"/>
          <w:sz w:val="28"/>
          <w:szCs w:val="28"/>
        </w:rPr>
        <w:t>trate na rýchlosť 120 až 160 km/hod</w:t>
      </w:r>
      <w:bookmarkEnd w:id="39"/>
    </w:p>
    <w:p w14:paraId="00A41E9D" w14:textId="36D5CCD6" w:rsidR="00EB2290" w:rsidRDefault="00EB2290" w:rsidP="00931169">
      <w:pPr>
        <w:ind w:firstLine="708"/>
      </w:pPr>
      <w:r>
        <w:t xml:space="preserve">Variant </w:t>
      </w:r>
      <w:r w:rsidR="0049048C">
        <w:t>B</w:t>
      </w:r>
      <w:r>
        <w:t xml:space="preserve"> predstavuje modernizáciu trate na plné parametre požiadaviek TSI pre intermobilné železničné koridory.</w:t>
      </w:r>
      <w:r w:rsidR="005A736B">
        <w:t xml:space="preserve"> </w:t>
      </w:r>
      <w:r>
        <w:t>Technické riešenie je plne totožné s existujúcou projektovou dokumentáciou.</w:t>
      </w:r>
    </w:p>
    <w:p w14:paraId="66684D6E" w14:textId="77777777" w:rsidR="00EB2290" w:rsidRDefault="00EB2290" w:rsidP="00931169">
      <w:pPr>
        <w:ind w:firstLine="708"/>
      </w:pPr>
    </w:p>
    <w:p w14:paraId="575BEDA6" w14:textId="0A0AA3E9" w:rsidR="007B45EA" w:rsidRPr="007B45EA" w:rsidRDefault="007B45EA" w:rsidP="00931169">
      <w:pPr>
        <w:rPr>
          <w:rFonts w:cstheme="minorHAnsi"/>
        </w:rPr>
      </w:pPr>
      <w:r w:rsidRPr="007B45EA">
        <w:rPr>
          <w:rFonts w:cstheme="minorHAnsi"/>
        </w:rPr>
        <w:t xml:space="preserve">Nižšie </w:t>
      </w:r>
      <w:r>
        <w:rPr>
          <w:rFonts w:cstheme="minorHAnsi"/>
        </w:rPr>
        <w:t xml:space="preserve">prehľadne </w:t>
      </w:r>
      <w:r w:rsidRPr="007B45EA">
        <w:rPr>
          <w:rFonts w:cstheme="minorHAnsi"/>
        </w:rPr>
        <w:t>sumarizujeme hlavné modernizačné prvky jednotlivých etáp variantu B.</w:t>
      </w:r>
    </w:p>
    <w:p w14:paraId="0E315899" w14:textId="08E40DE4" w:rsidR="00EB2290" w:rsidRPr="00930B46" w:rsidRDefault="00EB2290" w:rsidP="00931169">
      <w:pPr>
        <w:rPr>
          <w:rFonts w:cstheme="minorHAnsi"/>
        </w:rPr>
      </w:pPr>
    </w:p>
    <w:p w14:paraId="7EA5BB61" w14:textId="77777777" w:rsidR="0049048C" w:rsidRPr="0049048C" w:rsidRDefault="0049048C" w:rsidP="0080507D">
      <w:pPr>
        <w:pStyle w:val="Odsekzoznamu"/>
        <w:numPr>
          <w:ilvl w:val="0"/>
          <w:numId w:val="73"/>
        </w:numPr>
        <w:jc w:val="both"/>
        <w:rPr>
          <w:rFonts w:cstheme="minorHAnsi"/>
          <w:b/>
          <w:bCs/>
        </w:rPr>
      </w:pPr>
      <w:r w:rsidRPr="0049048C">
        <w:rPr>
          <w:rFonts w:cstheme="minorHAnsi"/>
          <w:b/>
          <w:bCs/>
        </w:rPr>
        <w:lastRenderedPageBreak/>
        <w:t>etapa:  Krásno nad Kysucou – Čadca (žkm 269,978 – 278,030)</w:t>
      </w:r>
    </w:p>
    <w:p w14:paraId="7DA20ED7" w14:textId="606DE14A" w:rsidR="00EB2290" w:rsidRPr="00930B46" w:rsidRDefault="0049048C" w:rsidP="00931169">
      <w:pPr>
        <w:ind w:firstLine="708"/>
        <w:rPr>
          <w:rFonts w:cstheme="minorHAnsi"/>
        </w:rPr>
      </w:pPr>
      <w:r>
        <w:rPr>
          <w:rFonts w:cstheme="minorHAnsi"/>
        </w:rPr>
        <w:t>M</w:t>
      </w:r>
      <w:r w:rsidR="00EB2290" w:rsidRPr="00930B46">
        <w:rPr>
          <w:rFonts w:cstheme="minorHAnsi"/>
        </w:rPr>
        <w:t xml:space="preserve">odernizácia železničnej trate </w:t>
      </w:r>
      <w:r>
        <w:rPr>
          <w:rFonts w:cstheme="minorHAnsi"/>
        </w:rPr>
        <w:t xml:space="preserve">v medzistaničnom úseku </w:t>
      </w:r>
      <w:r w:rsidRPr="0049048C">
        <w:rPr>
          <w:rFonts w:cstheme="minorHAnsi"/>
        </w:rPr>
        <w:t xml:space="preserve">Krásno nad Kysucou – Čadca </w:t>
      </w:r>
      <w:r>
        <w:rPr>
          <w:rFonts w:cstheme="minorHAnsi"/>
        </w:rPr>
        <w:t xml:space="preserve">je uvažovaná </w:t>
      </w:r>
      <w:r w:rsidR="00EB2290" w:rsidRPr="00C24266">
        <w:rPr>
          <w:rFonts w:cstheme="minorHAnsi"/>
          <w:b/>
          <w:bCs/>
        </w:rPr>
        <w:t>v novej polohe s výraznou preložkou, vybudovan</w:t>
      </w:r>
      <w:r w:rsidRPr="00C24266">
        <w:rPr>
          <w:rFonts w:cstheme="minorHAnsi"/>
          <w:b/>
          <w:bCs/>
        </w:rPr>
        <w:t>ím</w:t>
      </w:r>
      <w:r w:rsidR="00EB2290" w:rsidRPr="00C24266">
        <w:rPr>
          <w:rFonts w:cstheme="minorHAnsi"/>
          <w:b/>
          <w:bCs/>
        </w:rPr>
        <w:t xml:space="preserve"> tunelu Kýčera </w:t>
      </w:r>
      <w:r w:rsidR="00EB2290" w:rsidRPr="00930B46">
        <w:rPr>
          <w:rFonts w:cstheme="minorHAnsi"/>
        </w:rPr>
        <w:t>a zriadeni</w:t>
      </w:r>
      <w:r>
        <w:rPr>
          <w:rFonts w:cstheme="minorHAnsi"/>
        </w:rPr>
        <w:t>a</w:t>
      </w:r>
      <w:r w:rsidR="00EB2290" w:rsidRPr="00930B46">
        <w:rPr>
          <w:rFonts w:cstheme="minorHAnsi"/>
        </w:rPr>
        <w:t xml:space="preserve"> zastávky </w:t>
      </w:r>
      <w:r>
        <w:rPr>
          <w:rFonts w:cstheme="minorHAnsi"/>
        </w:rPr>
        <w:t xml:space="preserve">Terminálu integrovanej dopravy </w:t>
      </w:r>
      <w:r w:rsidRPr="00C24266">
        <w:rPr>
          <w:rFonts w:cstheme="minorHAnsi"/>
          <w:i/>
          <w:iCs/>
        </w:rPr>
        <w:t xml:space="preserve">TIOP </w:t>
      </w:r>
      <w:r w:rsidR="00EB2290" w:rsidRPr="00C24266">
        <w:rPr>
          <w:rFonts w:cstheme="minorHAnsi"/>
          <w:i/>
          <w:iCs/>
        </w:rPr>
        <w:t>Krásno nad Kysucou - mesto</w:t>
      </w:r>
      <w:r w:rsidR="00EB2290" w:rsidRPr="00930B46">
        <w:rPr>
          <w:rFonts w:cstheme="minorHAnsi"/>
        </w:rPr>
        <w:t xml:space="preserve">, rozšírenie riešenia prístupových komunikácii a parkovacích miest </w:t>
      </w:r>
      <w:r>
        <w:rPr>
          <w:rFonts w:cstheme="minorHAnsi"/>
        </w:rPr>
        <w:t xml:space="preserve">k TIOPu </w:t>
      </w:r>
      <w:r w:rsidRPr="00930B46">
        <w:rPr>
          <w:rFonts w:cstheme="minorHAnsi"/>
        </w:rPr>
        <w:t>Krásno nad Kysucou - mesto</w:t>
      </w:r>
      <w:r w:rsidR="00EB2290" w:rsidRPr="00930B46">
        <w:rPr>
          <w:rFonts w:cstheme="minorHAnsi"/>
        </w:rPr>
        <w:t xml:space="preserve"> podľa požiadaviek miestnej samosprávy,  zrušenie regionálnej trate so zastávkou Oščadnica a vlečky FTC</w:t>
      </w:r>
      <w:r>
        <w:rPr>
          <w:rFonts w:cstheme="minorHAnsi"/>
        </w:rPr>
        <w:t>.</w:t>
      </w:r>
    </w:p>
    <w:p w14:paraId="4D2040F8" w14:textId="77777777" w:rsidR="00EB2290" w:rsidRPr="00930B46" w:rsidRDefault="00EB2290" w:rsidP="00931169">
      <w:pPr>
        <w:rPr>
          <w:rFonts w:cstheme="minorHAnsi"/>
        </w:rPr>
      </w:pPr>
    </w:p>
    <w:p w14:paraId="69695577" w14:textId="2C48AC69" w:rsidR="00EB2290" w:rsidRPr="0049048C" w:rsidRDefault="0049048C" w:rsidP="0080507D">
      <w:pPr>
        <w:pStyle w:val="Odsekzoznamu"/>
        <w:numPr>
          <w:ilvl w:val="0"/>
          <w:numId w:val="73"/>
        </w:numPr>
        <w:jc w:val="both"/>
        <w:rPr>
          <w:rFonts w:cstheme="minorHAnsi"/>
          <w:b/>
          <w:bCs/>
        </w:rPr>
      </w:pPr>
      <w:r w:rsidRPr="0049048C">
        <w:rPr>
          <w:rFonts w:cstheme="minorHAnsi"/>
          <w:b/>
          <w:bCs/>
        </w:rPr>
        <w:t>etapa:  ŽST Čadca (žkm 279,8)</w:t>
      </w:r>
    </w:p>
    <w:p w14:paraId="09009B3D" w14:textId="3B12B5AC" w:rsidR="00EB2290" w:rsidRPr="00930B46" w:rsidRDefault="00F8244D" w:rsidP="00931169">
      <w:pPr>
        <w:ind w:firstLine="567"/>
        <w:rPr>
          <w:rFonts w:cstheme="minorHAnsi"/>
        </w:rPr>
      </w:pPr>
      <w:r>
        <w:rPr>
          <w:rFonts w:cstheme="minorHAnsi"/>
        </w:rPr>
        <w:t xml:space="preserve">  </w:t>
      </w:r>
      <w:r w:rsidR="0049048C">
        <w:rPr>
          <w:rFonts w:cstheme="minorHAnsi"/>
        </w:rPr>
        <w:t>M</w:t>
      </w:r>
      <w:r w:rsidR="00EB2290" w:rsidRPr="00930B46">
        <w:rPr>
          <w:rFonts w:cstheme="minorHAnsi"/>
        </w:rPr>
        <w:t>odernizácia železničnej stanice</w:t>
      </w:r>
      <w:r w:rsidR="00386F8A">
        <w:rPr>
          <w:rFonts w:cstheme="minorHAnsi"/>
        </w:rPr>
        <w:t xml:space="preserve"> bude obsahovať</w:t>
      </w:r>
      <w:r w:rsidR="00EB2290" w:rsidRPr="00930B46">
        <w:rPr>
          <w:rFonts w:cstheme="minorHAnsi"/>
        </w:rPr>
        <w:t xml:space="preserve"> úprav</w:t>
      </w:r>
      <w:r w:rsidR="00386F8A">
        <w:rPr>
          <w:rFonts w:cstheme="minorHAnsi"/>
        </w:rPr>
        <w:t>u</w:t>
      </w:r>
      <w:r w:rsidR="00EB2290" w:rsidRPr="00930B46">
        <w:rPr>
          <w:rFonts w:cstheme="minorHAnsi"/>
        </w:rPr>
        <w:t xml:space="preserve"> smerových parametrov za účelom zvýšenia rýchlosti s minimalizovaním zásahov do jestvujúcej dispozície stanice, výmen</w:t>
      </w:r>
      <w:r w:rsidR="00386F8A">
        <w:rPr>
          <w:rFonts w:cstheme="minorHAnsi"/>
        </w:rPr>
        <w:t>u</w:t>
      </w:r>
      <w:r w:rsidR="00EB2290" w:rsidRPr="00930B46">
        <w:rPr>
          <w:rFonts w:cstheme="minorHAnsi"/>
        </w:rPr>
        <w:t xml:space="preserve"> mostov cez rieku Kysuca, kompletn</w:t>
      </w:r>
      <w:r w:rsidR="00386F8A">
        <w:rPr>
          <w:rFonts w:cstheme="minorHAnsi"/>
        </w:rPr>
        <w:t>ej</w:t>
      </w:r>
      <w:r w:rsidR="00EB2290" w:rsidRPr="00930B46">
        <w:rPr>
          <w:rFonts w:cstheme="minorHAnsi"/>
        </w:rPr>
        <w:t xml:space="preserve"> peronizácia stanice, výmen</w:t>
      </w:r>
      <w:r w:rsidR="00386F8A">
        <w:rPr>
          <w:rFonts w:cstheme="minorHAnsi"/>
        </w:rPr>
        <w:t>y</w:t>
      </w:r>
      <w:r w:rsidR="00EB2290" w:rsidRPr="00930B46">
        <w:rPr>
          <w:rFonts w:cstheme="minorHAnsi"/>
        </w:rPr>
        <w:t xml:space="preserve"> lávky pre chodcov</w:t>
      </w:r>
      <w:r w:rsidR="00386F8A">
        <w:rPr>
          <w:rFonts w:cstheme="minorHAnsi"/>
        </w:rPr>
        <w:t>.</w:t>
      </w:r>
    </w:p>
    <w:p w14:paraId="775020F0" w14:textId="77777777" w:rsidR="00EB2290" w:rsidRPr="00930B46" w:rsidRDefault="00EB2290" w:rsidP="00931169">
      <w:pPr>
        <w:rPr>
          <w:rFonts w:cstheme="minorHAnsi"/>
        </w:rPr>
      </w:pPr>
    </w:p>
    <w:p w14:paraId="1FCA51BE" w14:textId="1AE2FB74" w:rsidR="00386F8A" w:rsidRPr="00386F8A" w:rsidRDefault="00386F8A" w:rsidP="0080507D">
      <w:pPr>
        <w:pStyle w:val="Odsekzoznamu"/>
        <w:numPr>
          <w:ilvl w:val="0"/>
          <w:numId w:val="73"/>
        </w:numPr>
        <w:jc w:val="both"/>
        <w:rPr>
          <w:rFonts w:cstheme="minorHAnsi"/>
          <w:b/>
          <w:bCs/>
        </w:rPr>
      </w:pPr>
      <w:r>
        <w:rPr>
          <w:rFonts w:cstheme="minorHAnsi"/>
          <w:b/>
          <w:bCs/>
        </w:rPr>
        <w:t>e</w:t>
      </w:r>
      <w:r w:rsidRPr="00386F8A">
        <w:rPr>
          <w:rFonts w:cstheme="minorHAnsi"/>
          <w:b/>
          <w:bCs/>
        </w:rPr>
        <w:t>tapa:  ŽST Čadca (mimo) – št. hr. SR/ČR (žkm 279,150 – 284,340)</w:t>
      </w:r>
    </w:p>
    <w:p w14:paraId="35C1889A" w14:textId="0A094D3C" w:rsidR="00C24266" w:rsidRDefault="00386F8A" w:rsidP="00931169">
      <w:pPr>
        <w:ind w:firstLine="708"/>
      </w:pPr>
      <w:r>
        <w:rPr>
          <w:rFonts w:cstheme="minorHAnsi"/>
        </w:rPr>
        <w:t>M</w:t>
      </w:r>
      <w:r w:rsidR="00EB2290" w:rsidRPr="00930B46">
        <w:rPr>
          <w:rFonts w:cstheme="minorHAnsi"/>
        </w:rPr>
        <w:t xml:space="preserve">odernizácia železničnej trate </w:t>
      </w:r>
      <w:r>
        <w:rPr>
          <w:rFonts w:cstheme="minorHAnsi"/>
        </w:rPr>
        <w:t xml:space="preserve">v medzistaničnom úseku ŽST Čadca (mimo) – št. hr. SR/ČR je uvažovaná </w:t>
      </w:r>
      <w:r w:rsidR="00EB2290" w:rsidRPr="00930B46">
        <w:rPr>
          <w:rFonts w:cstheme="minorHAnsi"/>
        </w:rPr>
        <w:t>v novej polohe</w:t>
      </w:r>
      <w:r>
        <w:rPr>
          <w:rFonts w:cstheme="minorHAnsi"/>
        </w:rPr>
        <w:t>,</w:t>
      </w:r>
      <w:r w:rsidR="00EB2290" w:rsidRPr="00930B46">
        <w:rPr>
          <w:rFonts w:cstheme="minorHAnsi"/>
        </w:rPr>
        <w:t xml:space="preserve"> s výraznou preložkou v mieste zastávky Svrčinovec zastávka s rozsiahlym kotveným zárubným múrom, s novou lávkou pre cestujúcich, so sanáciou aktívnych zosuvov v dvoch lokalitách, s prestavbou súčasných </w:t>
      </w:r>
      <w:r>
        <w:rPr>
          <w:rFonts w:cstheme="minorHAnsi"/>
        </w:rPr>
        <w:t xml:space="preserve">žel. </w:t>
      </w:r>
      <w:r w:rsidR="00EB2290" w:rsidRPr="00930B46">
        <w:rPr>
          <w:rFonts w:cstheme="minorHAnsi"/>
        </w:rPr>
        <w:t>mostov, s vybudovaním ekomostu pre zver na migračnej trase</w:t>
      </w:r>
      <w:r w:rsidR="00EB2290">
        <w:rPr>
          <w:rFonts w:cstheme="minorHAnsi"/>
        </w:rPr>
        <w:t>.</w:t>
      </w:r>
      <w:r w:rsidR="00C24266">
        <w:rPr>
          <w:rFonts w:cstheme="minorHAnsi"/>
        </w:rPr>
        <w:t xml:space="preserve"> </w:t>
      </w:r>
      <w:r w:rsidR="00C24266">
        <w:t>V úseku 3.etapy je technické riešenie a jej ocenenie plne totožné s dokumentáciou pre výber zhotoviteľa, resp. PD stupňa DRS.</w:t>
      </w:r>
    </w:p>
    <w:p w14:paraId="1AFC52AA" w14:textId="77777777" w:rsidR="00EB2290" w:rsidRDefault="00EB2290" w:rsidP="00931169"/>
    <w:p w14:paraId="7E70C8E6" w14:textId="7DC204B7" w:rsidR="0002506D" w:rsidRPr="0002506D" w:rsidRDefault="00EB2290" w:rsidP="0080507D">
      <w:pPr>
        <w:pStyle w:val="Nadpis2"/>
        <w:numPr>
          <w:ilvl w:val="0"/>
          <w:numId w:val="69"/>
        </w:numPr>
        <w:rPr>
          <w:rFonts w:cstheme="minorHAnsi"/>
        </w:rPr>
      </w:pPr>
      <w:bookmarkStart w:id="40" w:name="_Toc88652921"/>
      <w:r w:rsidRPr="00930B46">
        <w:rPr>
          <w:rFonts w:cstheme="minorHAnsi"/>
        </w:rPr>
        <w:t xml:space="preserve">etapa: </w:t>
      </w:r>
      <w:r w:rsidR="00386F8A" w:rsidRPr="00386F8A">
        <w:rPr>
          <w:rFonts w:cstheme="minorHAnsi"/>
        </w:rPr>
        <w:t>Krásno nad Kysucou – Čadca (</w:t>
      </w:r>
      <w:r w:rsidR="00386F8A">
        <w:rPr>
          <w:rFonts w:cstheme="minorHAnsi"/>
        </w:rPr>
        <w:t>s</w:t>
      </w:r>
      <w:r w:rsidR="00386F8A" w:rsidRPr="00386F8A">
        <w:rPr>
          <w:rFonts w:cstheme="minorHAnsi"/>
        </w:rPr>
        <w:t>žkm 269,978 – 278,030)</w:t>
      </w:r>
      <w:bookmarkEnd w:id="40"/>
    </w:p>
    <w:p w14:paraId="0B8E8F5A" w14:textId="0D9984C3" w:rsidR="00EB2290" w:rsidRPr="00930B46" w:rsidRDefault="00EB2290" w:rsidP="00931169">
      <w:pPr>
        <w:rPr>
          <w:rFonts w:cstheme="minorHAnsi"/>
          <w:b/>
          <w:szCs w:val="24"/>
        </w:rPr>
      </w:pPr>
      <w:r w:rsidRPr="00930B46">
        <w:rPr>
          <w:rFonts w:cstheme="minorHAnsi"/>
          <w:b/>
          <w:szCs w:val="24"/>
        </w:rPr>
        <w:t>Parametre trate</w:t>
      </w:r>
      <w:r w:rsidR="00C24266">
        <w:rPr>
          <w:rFonts w:cstheme="minorHAnsi"/>
          <w:b/>
          <w:szCs w:val="24"/>
        </w:rPr>
        <w:t xml:space="preserve"> v nžkm</w:t>
      </w:r>
      <w:r w:rsidRPr="00930B46">
        <w:rPr>
          <w:rFonts w:cstheme="minorHAnsi"/>
          <w:b/>
          <w:szCs w:val="24"/>
        </w:rPr>
        <w:t>:</w:t>
      </w:r>
    </w:p>
    <w:p w14:paraId="771E25CA" w14:textId="77777777" w:rsidR="00EB2290" w:rsidRPr="00930B46" w:rsidRDefault="00EB2290" w:rsidP="00931169">
      <w:pPr>
        <w:rPr>
          <w:rFonts w:cstheme="minorHAnsi"/>
          <w:szCs w:val="24"/>
        </w:rPr>
      </w:pPr>
      <w:r w:rsidRPr="00930B46">
        <w:rPr>
          <w:rFonts w:cstheme="minorHAnsi"/>
          <w:szCs w:val="24"/>
        </w:rPr>
        <w:t xml:space="preserve">Začiatok úseku </w:t>
      </w:r>
      <w:r w:rsidRPr="00930B46">
        <w:rPr>
          <w:rFonts w:cstheme="minorHAnsi"/>
          <w:szCs w:val="24"/>
        </w:rPr>
        <w:tab/>
      </w:r>
      <w:r w:rsidRPr="00930B46">
        <w:rPr>
          <w:rFonts w:cstheme="minorHAnsi"/>
          <w:szCs w:val="24"/>
        </w:rPr>
        <w:tab/>
        <w:t>nžkm 270,031 370</w:t>
      </w:r>
    </w:p>
    <w:p w14:paraId="5A9CBC21" w14:textId="77777777" w:rsidR="00EB2290" w:rsidRPr="00930B46" w:rsidRDefault="00EB2290" w:rsidP="00931169">
      <w:pPr>
        <w:rPr>
          <w:rFonts w:cstheme="minorHAnsi"/>
          <w:szCs w:val="24"/>
        </w:rPr>
      </w:pPr>
      <w:r w:rsidRPr="00930B46">
        <w:rPr>
          <w:rFonts w:cstheme="minorHAnsi"/>
          <w:szCs w:val="24"/>
        </w:rPr>
        <w:t xml:space="preserve">Koniec úseku </w:t>
      </w:r>
      <w:r w:rsidRPr="00930B46">
        <w:rPr>
          <w:rFonts w:cstheme="minorHAnsi"/>
          <w:szCs w:val="24"/>
        </w:rPr>
        <w:tab/>
      </w:r>
      <w:r w:rsidRPr="00930B46">
        <w:rPr>
          <w:rFonts w:cstheme="minorHAnsi"/>
          <w:szCs w:val="24"/>
        </w:rPr>
        <w:tab/>
      </w:r>
      <w:r w:rsidRPr="00930B46">
        <w:rPr>
          <w:rFonts w:cstheme="minorHAnsi"/>
          <w:szCs w:val="24"/>
        </w:rPr>
        <w:tab/>
        <w:t>nžkm 275,875 000</w:t>
      </w:r>
    </w:p>
    <w:p w14:paraId="49EA20AB" w14:textId="77777777" w:rsidR="00EB2290" w:rsidRPr="00930B46" w:rsidRDefault="00EB2290" w:rsidP="00931169">
      <w:pPr>
        <w:rPr>
          <w:rFonts w:cstheme="minorHAnsi"/>
          <w:szCs w:val="24"/>
        </w:rPr>
      </w:pPr>
      <w:r w:rsidRPr="00930B46">
        <w:rPr>
          <w:rFonts w:cstheme="minorHAnsi"/>
          <w:szCs w:val="24"/>
        </w:rPr>
        <w:t xml:space="preserve">- dĺžka traťového úseku </w:t>
      </w:r>
      <w:r w:rsidRPr="00930B46">
        <w:rPr>
          <w:rFonts w:cstheme="minorHAnsi"/>
          <w:szCs w:val="24"/>
        </w:rPr>
        <w:tab/>
        <w:t>5,544 km</w:t>
      </w:r>
    </w:p>
    <w:p w14:paraId="35F4226E" w14:textId="77777777" w:rsidR="00EB2290" w:rsidRPr="00930B46" w:rsidRDefault="00EB2290" w:rsidP="00931169">
      <w:pPr>
        <w:rPr>
          <w:rFonts w:cstheme="minorHAnsi"/>
          <w:szCs w:val="24"/>
        </w:rPr>
      </w:pPr>
      <w:r w:rsidRPr="00930B46">
        <w:rPr>
          <w:rFonts w:cstheme="minorHAnsi"/>
          <w:szCs w:val="24"/>
        </w:rPr>
        <w:t>- rýchlosť</w:t>
      </w:r>
      <w:r w:rsidRPr="00930B46">
        <w:rPr>
          <w:rFonts w:cstheme="minorHAnsi"/>
          <w:szCs w:val="24"/>
        </w:rPr>
        <w:tab/>
      </w:r>
      <w:r w:rsidRPr="00930B46">
        <w:rPr>
          <w:rFonts w:cstheme="minorHAnsi"/>
          <w:szCs w:val="24"/>
        </w:rPr>
        <w:tab/>
      </w:r>
      <w:r w:rsidRPr="00930B46">
        <w:rPr>
          <w:rFonts w:cstheme="minorHAnsi"/>
          <w:szCs w:val="24"/>
        </w:rPr>
        <w:tab/>
        <w:t>140 km/h (160 km/h, súpravy s výkyvnými skriňami)</w:t>
      </w:r>
    </w:p>
    <w:p w14:paraId="71D9956C" w14:textId="77777777" w:rsidR="00EB2290" w:rsidRPr="00930B46" w:rsidRDefault="00EB2290" w:rsidP="00931169">
      <w:pPr>
        <w:rPr>
          <w:rFonts w:cstheme="minorHAnsi"/>
          <w:szCs w:val="24"/>
        </w:rPr>
      </w:pPr>
    </w:p>
    <w:p w14:paraId="43464AAB" w14:textId="616AA8B9" w:rsidR="00EB2290" w:rsidRPr="00386F8A" w:rsidRDefault="00EB2290" w:rsidP="00931169">
      <w:pPr>
        <w:rPr>
          <w:rFonts w:cstheme="minorHAnsi"/>
          <w:b/>
          <w:bCs/>
          <w:szCs w:val="24"/>
        </w:rPr>
      </w:pPr>
      <w:r w:rsidRPr="00930B46">
        <w:rPr>
          <w:rFonts w:cstheme="minorHAnsi"/>
          <w:szCs w:val="24"/>
        </w:rPr>
        <w:tab/>
      </w:r>
      <w:r w:rsidR="00386F8A">
        <w:rPr>
          <w:rFonts w:cstheme="minorHAnsi"/>
          <w:szCs w:val="24"/>
        </w:rPr>
        <w:t xml:space="preserve">Modernizácia žel. infraštruktúry </w:t>
      </w:r>
      <w:r w:rsidRPr="00930B46">
        <w:rPr>
          <w:rFonts w:cstheme="minorHAnsi"/>
          <w:szCs w:val="24"/>
        </w:rPr>
        <w:t xml:space="preserve">vychádza z aktuálneho stupňa projektovej dokumentácie pre modernizáciu úseku trate v zmysle TSI. Úprava návrhu, riešeného v projektovej dokumentácii, pozostáva z redukcie stavby o regionálnu trať, teda </w:t>
      </w:r>
      <w:r w:rsidRPr="00386F8A">
        <w:rPr>
          <w:rFonts w:cstheme="minorHAnsi"/>
          <w:b/>
          <w:bCs/>
          <w:szCs w:val="24"/>
        </w:rPr>
        <w:t>súčasné trasovanie trate, ktoré bude tunelovou trasou opustené</w:t>
      </w:r>
      <w:r w:rsidRPr="00930B46">
        <w:rPr>
          <w:rFonts w:cstheme="minorHAnsi"/>
          <w:szCs w:val="24"/>
        </w:rPr>
        <w:t xml:space="preserve"> a </w:t>
      </w:r>
      <w:r w:rsidRPr="00386F8A">
        <w:rPr>
          <w:rFonts w:cstheme="minorHAnsi"/>
          <w:b/>
          <w:bCs/>
          <w:szCs w:val="24"/>
        </w:rPr>
        <w:t>sekundárne zo zrušenia, resp. nezapojenia vlečky FTC.</w:t>
      </w:r>
    </w:p>
    <w:p w14:paraId="004D021C" w14:textId="3CD4B584" w:rsidR="00EB2290" w:rsidRDefault="00EB2290" w:rsidP="00931169">
      <w:pPr>
        <w:rPr>
          <w:rFonts w:cstheme="minorHAnsi"/>
          <w:szCs w:val="24"/>
        </w:rPr>
      </w:pPr>
    </w:p>
    <w:p w14:paraId="47445C33" w14:textId="7D033B47" w:rsidR="0002506D" w:rsidRPr="0002506D" w:rsidRDefault="0002506D" w:rsidP="00931169">
      <w:pPr>
        <w:rPr>
          <w:rFonts w:cstheme="minorHAnsi"/>
          <w:b/>
          <w:bCs/>
          <w:szCs w:val="24"/>
        </w:rPr>
      </w:pPr>
      <w:r w:rsidRPr="0002506D">
        <w:rPr>
          <w:rFonts w:cstheme="minorHAnsi"/>
          <w:b/>
          <w:bCs/>
          <w:szCs w:val="24"/>
        </w:rPr>
        <w:t>Zastávka Oščadnica</w:t>
      </w:r>
      <w:r>
        <w:rPr>
          <w:rFonts w:cstheme="minorHAnsi"/>
          <w:b/>
          <w:bCs/>
          <w:szCs w:val="24"/>
        </w:rPr>
        <w:t xml:space="preserve"> a TIOP Krásno nad Kysucou-mesto</w:t>
      </w:r>
    </w:p>
    <w:p w14:paraId="2556A2DF" w14:textId="77777777" w:rsidR="00EB2290" w:rsidRPr="00930B46" w:rsidRDefault="00EB2290" w:rsidP="00931169">
      <w:pPr>
        <w:rPr>
          <w:rFonts w:cstheme="minorHAnsi"/>
          <w:szCs w:val="24"/>
        </w:rPr>
      </w:pPr>
      <w:r w:rsidRPr="00930B46">
        <w:rPr>
          <w:rFonts w:cstheme="minorHAnsi"/>
          <w:szCs w:val="24"/>
        </w:rPr>
        <w:tab/>
        <w:t>Zámer ponechať trať v súčasnom trasovaní v prevádzke predstavuje vytvorenie regionálnej trate ako trate odbočnej k trati hlavnej. Dôvodom je udržanie súčasnej dopravnej obslužnosti obce Oščadnica pomocou zastávky Oščadnica.</w:t>
      </w:r>
    </w:p>
    <w:p w14:paraId="07B30F6C" w14:textId="15B88C3B" w:rsidR="00EB2290" w:rsidRPr="00930B46" w:rsidRDefault="00EB2290" w:rsidP="00931169">
      <w:pPr>
        <w:ind w:firstLine="708"/>
        <w:rPr>
          <w:rFonts w:cstheme="minorHAnsi"/>
          <w:szCs w:val="24"/>
        </w:rPr>
      </w:pPr>
      <w:r w:rsidRPr="00930B46">
        <w:rPr>
          <w:rFonts w:cstheme="minorHAnsi"/>
          <w:szCs w:val="24"/>
        </w:rPr>
        <w:t xml:space="preserve">Zastávka je v súčasnosti využívaná minimálne (s dennou frekvenciou cca 120 cestujúcich pre nástup a výstup pre oba smery). Jej budúci potenciál je otázny vzhľadom na </w:t>
      </w:r>
      <w:r w:rsidRPr="00930B46">
        <w:rPr>
          <w:rFonts w:cstheme="minorHAnsi"/>
          <w:szCs w:val="24"/>
        </w:rPr>
        <w:lastRenderedPageBreak/>
        <w:t xml:space="preserve">geografické pomery – zastávka je umiestnená cca 1,5 km od konca obce, samotná obec má dĺžku cca 8km, teda vzniká potreba doplnkovej dopravy. Pri uvažovaní prepravy do mesta Čadce nie je pre cestujúcich vhodné využiť prestup z autobusovej dopravy na železničnú z dôvodu časového (čas potrebný na presun na zastávku, čakanie na spoj a samotná vlaková prepravy je výrazne dlhšia ako priama preprava autobusovou dopravou), ale predpokladá sa priama preprava, čím nevzniká potreba prestupnej zastávky. Pri uvažovaní prepravy do mesta Žilina je možné ako prestupný bod využiť novonavrhovaný prestupný </w:t>
      </w:r>
      <w:r>
        <w:rPr>
          <w:rFonts w:cstheme="minorHAnsi"/>
          <w:szCs w:val="24"/>
        </w:rPr>
        <w:t>T</w:t>
      </w:r>
      <w:r w:rsidRPr="00930B46">
        <w:rPr>
          <w:rFonts w:cstheme="minorHAnsi"/>
          <w:szCs w:val="24"/>
        </w:rPr>
        <w:t xml:space="preserve">erminál </w:t>
      </w:r>
      <w:r w:rsidR="007B45EA" w:rsidRPr="00C24266">
        <w:rPr>
          <w:rFonts w:cstheme="minorHAnsi"/>
          <w:i/>
          <w:iCs/>
          <w:szCs w:val="24"/>
        </w:rPr>
        <w:t xml:space="preserve">TIOP </w:t>
      </w:r>
      <w:r w:rsidRPr="00C24266">
        <w:rPr>
          <w:rFonts w:cstheme="minorHAnsi"/>
          <w:i/>
          <w:iCs/>
          <w:szCs w:val="24"/>
        </w:rPr>
        <w:t>Krásno nad Kysucou – mesto</w:t>
      </w:r>
      <w:r w:rsidRPr="00930B46">
        <w:rPr>
          <w:rFonts w:cstheme="minorHAnsi"/>
          <w:szCs w:val="24"/>
        </w:rPr>
        <w:t xml:space="preserve"> s potrebnou cestnou a železničnou infraštruktúrou na vysokej úžitkovej úrovni. Dôjde k predĺženiu sekundárnej dopravy z 1 200 m (od konca obce po zastávku Oščadnica) na 4 000 m (od konca obce po zastávku Krásno),</w:t>
      </w:r>
      <w:r>
        <w:rPr>
          <w:rFonts w:cstheme="minorHAnsi"/>
          <w:szCs w:val="24"/>
        </w:rPr>
        <w:t xml:space="preserve"> </w:t>
      </w:r>
      <w:r w:rsidRPr="00930B46">
        <w:rPr>
          <w:rFonts w:cstheme="minorHAnsi"/>
          <w:szCs w:val="24"/>
        </w:rPr>
        <w:t>avšak pri predpokladanom pešom presune v prípade prestupu na z Oščadnica je celkový čas prepravy dokonca nižší.</w:t>
      </w:r>
    </w:p>
    <w:p w14:paraId="7B634BE4" w14:textId="77777777" w:rsidR="00EB2290" w:rsidRPr="00930B46" w:rsidRDefault="00EB2290" w:rsidP="00931169">
      <w:pPr>
        <w:ind w:firstLine="708"/>
        <w:rPr>
          <w:rFonts w:cstheme="minorHAnsi"/>
          <w:szCs w:val="24"/>
        </w:rPr>
      </w:pPr>
      <w:r w:rsidRPr="00930B46">
        <w:rPr>
          <w:rFonts w:cstheme="minorHAnsi"/>
          <w:szCs w:val="24"/>
        </w:rPr>
        <w:t>Z uvedených dôvodov bude mať zrušenie zastávky Oščadnica minimálny až nulový, v prípade uvažovania pešieho presunu až pozitívny vplyv na zníženie dopravnej obslužnosti obce.</w:t>
      </w:r>
    </w:p>
    <w:p w14:paraId="2B6369BB" w14:textId="77777777" w:rsidR="00EB2290" w:rsidRPr="00930B46" w:rsidRDefault="00EB2290" w:rsidP="00931169">
      <w:pPr>
        <w:ind w:firstLine="708"/>
        <w:rPr>
          <w:rFonts w:cstheme="minorHAnsi"/>
          <w:szCs w:val="24"/>
        </w:rPr>
      </w:pPr>
      <w:r w:rsidRPr="00930B46">
        <w:rPr>
          <w:rFonts w:cstheme="minorHAnsi"/>
          <w:szCs w:val="24"/>
        </w:rPr>
        <w:t>Pri zrušení regionálnej trate dochádza k nárastu benefitov tunelového variantu.</w:t>
      </w:r>
    </w:p>
    <w:p w14:paraId="1FDC072C" w14:textId="77777777" w:rsidR="00EB2290" w:rsidRPr="00930B46" w:rsidRDefault="00EB2290" w:rsidP="00931169">
      <w:pPr>
        <w:ind w:firstLine="708"/>
        <w:rPr>
          <w:rFonts w:cstheme="minorHAnsi"/>
          <w:szCs w:val="24"/>
        </w:rPr>
      </w:pPr>
      <w:r w:rsidRPr="00930B46">
        <w:rPr>
          <w:rFonts w:cstheme="minorHAnsi"/>
          <w:szCs w:val="24"/>
        </w:rPr>
        <w:t>Výrazne sa znížia prevádzkové náklady traťového úseku, keďže v údržbe ostane cca 6 km dlhý úsek v modernizovanom stave so zariadeniami vysokej technickej úrovne a vylúči sa pôvodne uvažovaný 8,9 km dlhý úsek starej trate so zariadeniami nižšej technickej úrovne.</w:t>
      </w:r>
    </w:p>
    <w:p w14:paraId="570BED76" w14:textId="63E861AA" w:rsidR="00EB2290" w:rsidRPr="00930B46" w:rsidRDefault="00EB2290" w:rsidP="00931169">
      <w:pPr>
        <w:ind w:firstLine="708"/>
        <w:rPr>
          <w:rFonts w:cstheme="minorHAnsi"/>
          <w:szCs w:val="24"/>
        </w:rPr>
      </w:pPr>
      <w:r w:rsidRPr="00930B46">
        <w:rPr>
          <w:rFonts w:cstheme="minorHAnsi"/>
          <w:szCs w:val="24"/>
        </w:rPr>
        <w:t>Narastú efekty pri úspore času cestujúcich v regionálnej doprave, keďže pri zachovaní regionálnej trate a obsluhe zastávky Oščadnica časť vlakov, prípadne všetky vlaky, nevyužívajú tunelový variant, ale jazdné časy ostávajú na úrovni súčasnosti. Pri trasovaní všetkých vlakov cez regionálnu trať je negatívny vplyv najväčší, a dotýka sa cca 960 tis</w:t>
      </w:r>
      <w:r w:rsidR="007B45EA">
        <w:rPr>
          <w:rFonts w:cstheme="minorHAnsi"/>
          <w:szCs w:val="24"/>
        </w:rPr>
        <w:t>.</w:t>
      </w:r>
      <w:r w:rsidRPr="00930B46">
        <w:rPr>
          <w:rFonts w:cstheme="minorHAnsi"/>
          <w:szCs w:val="24"/>
        </w:rPr>
        <w:t xml:space="preserve"> cestujúcich ročne v súčasnosti, s potenciálom vysokého nárastu. Pri trasovaní iba vybraného počtu vlakov cez regionálnu trať nie je možné zmysluplné zavedenie taktového systému v úseku, keďže systémové jazdné časy budú nejednotné.</w:t>
      </w:r>
    </w:p>
    <w:p w14:paraId="7FA1B6D5" w14:textId="77777777" w:rsidR="00EB2290" w:rsidRDefault="00EB2290" w:rsidP="00931169">
      <w:pPr>
        <w:ind w:firstLine="708"/>
        <w:rPr>
          <w:rFonts w:cstheme="minorHAnsi"/>
          <w:szCs w:val="24"/>
        </w:rPr>
      </w:pPr>
      <w:r w:rsidRPr="00930B46">
        <w:rPr>
          <w:rFonts w:cstheme="minorHAnsi"/>
          <w:szCs w:val="24"/>
        </w:rPr>
        <w:t>V katastri mesta Krásno nad Kysucou je navrhované zriadenie novej zastávky Krásno nad Kysucou – mesto. Nová zastávka predstavuje výrazné zlepšenie dopravnej obslužnosti mesta Krásno nad Kysucou, keďže zastávka je ideálne umiestnená na okraji ťažiskovej obytnej zóny mesta a spádovej oblasti bystrickej doliny s obcami Kalinov, Zborov nad Bystricou, Klubina, Stará Bystrica, Nová Bystrica a i. s využitím sekundárnej autobusovej dopravy, resp. IAD, cez súčasnú mimoúrovňovú križovatku s cestou I/11.</w:t>
      </w:r>
      <w:r>
        <w:rPr>
          <w:rFonts w:cstheme="minorHAnsi"/>
          <w:szCs w:val="24"/>
        </w:rPr>
        <w:t xml:space="preserve"> </w:t>
      </w:r>
      <w:r w:rsidRPr="00930B46">
        <w:rPr>
          <w:rFonts w:cstheme="minorHAnsi"/>
          <w:szCs w:val="24"/>
        </w:rPr>
        <w:t>Pri nerealizácií regionálnej trate bude zastávka zriadená na trati modernizovanej, s nástupiskami pri oboch traťových koľajach a mimoúrovňovým prístupom k Nást. č. 1 podchodom.</w:t>
      </w:r>
    </w:p>
    <w:p w14:paraId="79F009F4" w14:textId="314A57F5" w:rsidR="00EB2290" w:rsidRDefault="00EB2290" w:rsidP="00931169">
      <w:pPr>
        <w:ind w:firstLine="708"/>
        <w:rPr>
          <w:rFonts w:cstheme="minorHAnsi"/>
          <w:szCs w:val="24"/>
        </w:rPr>
      </w:pPr>
      <w:r>
        <w:rPr>
          <w:rFonts w:cstheme="minorHAnsi"/>
          <w:szCs w:val="24"/>
        </w:rPr>
        <w:t xml:space="preserve">Počas prípravy predkladanej Štúdie realizovateľnosti MDV </w:t>
      </w:r>
      <w:r w:rsidR="007B45EA">
        <w:rPr>
          <w:rFonts w:cstheme="minorHAnsi"/>
          <w:szCs w:val="24"/>
        </w:rPr>
        <w:t xml:space="preserve">SR </w:t>
      </w:r>
      <w:r>
        <w:rPr>
          <w:rFonts w:cstheme="minorHAnsi"/>
          <w:szCs w:val="24"/>
        </w:rPr>
        <w:t>podmienilo redukciu súčasnej trate o súhlas všetkých dotknutých subjektov.</w:t>
      </w:r>
    </w:p>
    <w:p w14:paraId="08BACA28" w14:textId="77777777" w:rsidR="00EB2290" w:rsidRPr="00930B46" w:rsidRDefault="00EB2290" w:rsidP="00931169">
      <w:pPr>
        <w:ind w:firstLine="708"/>
        <w:rPr>
          <w:rFonts w:cstheme="minorHAnsi"/>
          <w:color w:val="000000"/>
        </w:rPr>
      </w:pPr>
      <w:r w:rsidRPr="00930B46">
        <w:rPr>
          <w:rFonts w:cstheme="minorHAnsi"/>
          <w:color w:val="000000"/>
        </w:rPr>
        <w:t>Zmena dopravného konceptu je navrhnutá, prerokovaná a schválená zo strany prevádzkovateľa cestnej verejnej dopravy v kraji – Integrovanej dopravy Žilinského kraja (IDZK), zriaďovateľa Žilinského samosprávneho kraja, dotknutej miestnej samosprávy – mesta Krásno nad Kysucou a dotknutých obcí.</w:t>
      </w:r>
      <w:r>
        <w:rPr>
          <w:rFonts w:cstheme="minorHAnsi"/>
          <w:color w:val="000000"/>
        </w:rPr>
        <w:t xml:space="preserve"> Záznam z koordinačnej porady a prezenčná listina je uvedená v časti F – Dokumenty.</w:t>
      </w:r>
    </w:p>
    <w:p w14:paraId="00EA2565" w14:textId="77777777" w:rsidR="00EB2290" w:rsidRDefault="00EB2290" w:rsidP="00931169">
      <w:pPr>
        <w:ind w:firstLine="708"/>
      </w:pPr>
    </w:p>
    <w:p w14:paraId="31A94465" w14:textId="1793D209" w:rsidR="00EB2290" w:rsidRPr="00930B46" w:rsidRDefault="0002506D" w:rsidP="00931169">
      <w:pPr>
        <w:keepNext/>
        <w:rPr>
          <w:rFonts w:cstheme="minorHAnsi"/>
          <w:b/>
          <w:szCs w:val="24"/>
        </w:rPr>
      </w:pPr>
      <w:r>
        <w:rPr>
          <w:rFonts w:cstheme="minorHAnsi"/>
          <w:b/>
          <w:szCs w:val="24"/>
        </w:rPr>
        <w:t>Nová poloha trate – opustenie súčasnej polohy trate</w:t>
      </w:r>
    </w:p>
    <w:p w14:paraId="45B1B314" w14:textId="61F26BF9" w:rsidR="00EB2290" w:rsidRPr="00930B46" w:rsidRDefault="00EB2290" w:rsidP="00931169">
      <w:pPr>
        <w:ind w:firstLine="708"/>
        <w:rPr>
          <w:rFonts w:cstheme="minorHAnsi"/>
          <w:szCs w:val="24"/>
        </w:rPr>
      </w:pPr>
      <w:r w:rsidRPr="00930B46">
        <w:rPr>
          <w:rFonts w:cstheme="minorHAnsi"/>
          <w:szCs w:val="24"/>
        </w:rPr>
        <w:t xml:space="preserve">Redukovaný variant DSP predstavuje modernizáciou úseku, pri ktorej dochádza k pretrasovaniu železničnej trate do novej polohy a k výstavbe nových súvisiacich objektov </w:t>
      </w:r>
      <w:r w:rsidRPr="00930B46">
        <w:rPr>
          <w:rFonts w:cstheme="minorHAnsi"/>
          <w:szCs w:val="24"/>
        </w:rPr>
        <w:lastRenderedPageBreak/>
        <w:t>(najmä tunel, mostné objekty, cesty, TV, zab. zar., objekty pozemných stavieb). Zmodernizovaný traťový úsek parametrami vyhovuje rýchlosti až 160 km/h</w:t>
      </w:r>
      <w:r w:rsidR="007B45EA">
        <w:rPr>
          <w:rFonts w:cstheme="minorHAnsi"/>
          <w:szCs w:val="24"/>
        </w:rPr>
        <w:t>od</w:t>
      </w:r>
      <w:r w:rsidRPr="00930B46">
        <w:rPr>
          <w:rFonts w:cstheme="minorHAnsi"/>
          <w:szCs w:val="24"/>
        </w:rPr>
        <w:t>. Návrhová rýchlosť v projektovej dokumentácii je 140 km/h</w:t>
      </w:r>
      <w:r w:rsidR="007B45EA">
        <w:rPr>
          <w:rFonts w:cstheme="minorHAnsi"/>
          <w:szCs w:val="24"/>
        </w:rPr>
        <w:t>od</w:t>
      </w:r>
      <w:r w:rsidRPr="00930B46">
        <w:rPr>
          <w:rFonts w:cstheme="minorHAnsi"/>
          <w:szCs w:val="24"/>
        </w:rPr>
        <w:t xml:space="preserve"> vzhľadom na reálnu využiteľnosť traťovej rýchlosti v medzistaničnom úseku.</w:t>
      </w:r>
    </w:p>
    <w:p w14:paraId="4D2FEA2F" w14:textId="3C82DA30" w:rsidR="00EB2290" w:rsidRPr="00930B46" w:rsidRDefault="00EB2290" w:rsidP="00931169">
      <w:pPr>
        <w:ind w:firstLine="708"/>
        <w:rPr>
          <w:rFonts w:cstheme="minorHAnsi"/>
          <w:szCs w:val="24"/>
        </w:rPr>
      </w:pPr>
      <w:r w:rsidRPr="00930B46">
        <w:rPr>
          <w:rFonts w:cstheme="minorHAnsi"/>
          <w:szCs w:val="24"/>
        </w:rPr>
        <w:t>Z hľadiska riešenia modernizácie koľají, bude mať UČS 06 v úseku trate Krásno nad Kysucou - Čadca dĺžku 5844 m, pričom na dĺžke cca 4860 m je vedená mimo jestvujúce železničné teleso, z dôvodu smerových pomerov, pre dosiahnutie minimálnej požadovanej rýchlosti V=120km/hod. Predmetná ucelená časť začína v nžkm 270,031 370 (koniec ŽST Krásno nad Kysucou, sžkm 269,978) a končí v nžkm 275,875 000 (sžkm 278,030) a je súčasťou trate č.106D Žilina – Čadca – Mosty u Jablunkova ČD. Minimálna osová vzdialenosť koľají je 4,1m. Trať od ŽST Krásno nad Kysucou stúpa v sklone od 2‰ do 6‰.</w:t>
      </w:r>
    </w:p>
    <w:p w14:paraId="4237DC0D" w14:textId="28CD81A3" w:rsidR="00EB2290" w:rsidRPr="00930B46" w:rsidRDefault="00EB2290" w:rsidP="00931169">
      <w:pPr>
        <w:ind w:firstLine="708"/>
        <w:rPr>
          <w:rFonts w:cstheme="minorHAnsi"/>
          <w:szCs w:val="24"/>
        </w:rPr>
      </w:pPr>
      <w:r w:rsidRPr="00930B46">
        <w:rPr>
          <w:rFonts w:cstheme="minorHAnsi"/>
          <w:szCs w:val="24"/>
        </w:rPr>
        <w:t>Vzhľadom ku konfigurácii údolia Kysuce, v ktorom je existujúca železničná trať vedená, však už nie je bez výstavby podzemných objektov požadované parametre technicky dosiahnuť. Preto sa medzi zastávkou Krásnom nad Kysucou - mesto a Čadcou navrhuje novú trasu preložiť do razeného tunela Kýčera, ktorého trasovanie umožní dosiahnuť rýchlosť 160km/h</w:t>
      </w:r>
      <w:r w:rsidR="007B45EA">
        <w:rPr>
          <w:rFonts w:cstheme="minorHAnsi"/>
          <w:szCs w:val="24"/>
        </w:rPr>
        <w:t>od</w:t>
      </w:r>
      <w:r w:rsidRPr="00930B46">
        <w:rPr>
          <w:rFonts w:cstheme="minorHAnsi"/>
          <w:szCs w:val="24"/>
        </w:rPr>
        <w:t>. Za železničným tunelom sa trasa preložky pripája do jestvujúcich koľaji pred zastávkou Čadca – mesto.</w:t>
      </w:r>
    </w:p>
    <w:p w14:paraId="7401A36E" w14:textId="77777777" w:rsidR="00EB2290" w:rsidRPr="00930B46" w:rsidRDefault="00EB2290" w:rsidP="00931169">
      <w:pPr>
        <w:ind w:firstLine="708"/>
        <w:rPr>
          <w:rFonts w:cstheme="minorHAnsi"/>
          <w:szCs w:val="24"/>
        </w:rPr>
      </w:pPr>
      <w:r w:rsidRPr="00930B46">
        <w:rPr>
          <w:rFonts w:cstheme="minorHAnsi"/>
          <w:szCs w:val="24"/>
        </w:rPr>
        <w:t>Objekty železničného spodku riešia úpravu podložia novej modernizovanej trate, odvodnenie telesa a to buď povrchovo priekopami alebo podpovrchovo vybudovaním trativodov.</w:t>
      </w:r>
    </w:p>
    <w:p w14:paraId="7DE7A273" w14:textId="77777777" w:rsidR="00EB2290" w:rsidRPr="00930B46" w:rsidRDefault="00EB2290" w:rsidP="00931169">
      <w:pPr>
        <w:ind w:firstLine="708"/>
        <w:rPr>
          <w:rFonts w:cstheme="minorHAnsi"/>
          <w:szCs w:val="24"/>
        </w:rPr>
      </w:pPr>
      <w:r w:rsidRPr="00930B46">
        <w:rPr>
          <w:rFonts w:cstheme="minorHAnsi"/>
          <w:szCs w:val="24"/>
        </w:rPr>
        <w:t>V modernizovanom úseku sa vybudujú dva nové železničné mosty, jeden nový cestný most ponad tok rieky Kysuca a upravia sa protidotykové zábrany na jestvujúcom cestnom moste v meste Čadca. V miestach, kde to vyžadujú morfologické pomery, budú vybudované oporné a zárubné múry.</w:t>
      </w:r>
    </w:p>
    <w:p w14:paraId="3A5020C5" w14:textId="005F02E7" w:rsidR="00EB2290" w:rsidRPr="00930B46" w:rsidRDefault="00EB2290" w:rsidP="00931169">
      <w:pPr>
        <w:ind w:firstLine="708"/>
        <w:rPr>
          <w:rFonts w:cstheme="minorHAnsi"/>
          <w:szCs w:val="24"/>
        </w:rPr>
      </w:pPr>
      <w:r w:rsidRPr="00930B46">
        <w:rPr>
          <w:rFonts w:cstheme="minorHAnsi"/>
          <w:szCs w:val="24"/>
        </w:rPr>
        <w:t>V trase preložky žel. trate je navrhovaný dvojrúrový tunel Kýčera. Ľavý tunel je dlhý 4310</w:t>
      </w:r>
      <w:r w:rsidR="007B45EA">
        <w:rPr>
          <w:rFonts w:cstheme="minorHAnsi"/>
          <w:szCs w:val="24"/>
        </w:rPr>
        <w:t xml:space="preserve"> </w:t>
      </w:r>
      <w:r w:rsidRPr="00930B46">
        <w:rPr>
          <w:rFonts w:cstheme="minorHAnsi"/>
          <w:szCs w:val="24"/>
        </w:rPr>
        <w:t>m, dĺžka pravého tunela je 4264,29</w:t>
      </w:r>
      <w:r w:rsidR="007B45EA">
        <w:rPr>
          <w:rFonts w:cstheme="minorHAnsi"/>
          <w:szCs w:val="24"/>
        </w:rPr>
        <w:t xml:space="preserve"> </w:t>
      </w:r>
      <w:r w:rsidRPr="00930B46">
        <w:rPr>
          <w:rFonts w:cstheme="minorHAnsi"/>
          <w:szCs w:val="24"/>
        </w:rPr>
        <w:t>m. Na portálových oblastiach sú navrhované nástupné a záchranné plochy.</w:t>
      </w:r>
    </w:p>
    <w:p w14:paraId="2F05FD4F" w14:textId="77777777" w:rsidR="00EB2290" w:rsidRPr="00930B46" w:rsidRDefault="00EB2290" w:rsidP="00931169">
      <w:pPr>
        <w:ind w:firstLine="708"/>
        <w:rPr>
          <w:rFonts w:cstheme="minorHAnsi"/>
          <w:szCs w:val="24"/>
        </w:rPr>
      </w:pPr>
      <w:r w:rsidRPr="00930B46">
        <w:rPr>
          <w:rFonts w:cstheme="minorHAnsi"/>
          <w:szCs w:val="24"/>
        </w:rPr>
        <w:t>V rámci objektov pozemných stavieb je navrhovaná výstavba technologických domčekov a anténnych stožiarov na oboch portáloch tunela Kýčera. Za účelom zníženia hlukovej záťaže na mesto Krásno nad Kysucou budú pozdĺž trate vybudované protihlukové steny a realizované sekundárne opatrenia na pozemných objektoch.</w:t>
      </w:r>
    </w:p>
    <w:p w14:paraId="13D38E14" w14:textId="77777777" w:rsidR="00EB2290" w:rsidRPr="00930B46" w:rsidRDefault="00EB2290" w:rsidP="00931169">
      <w:pPr>
        <w:ind w:firstLine="708"/>
        <w:rPr>
          <w:rFonts w:cstheme="minorHAnsi"/>
          <w:szCs w:val="24"/>
        </w:rPr>
      </w:pPr>
      <w:r w:rsidRPr="00930B46">
        <w:rPr>
          <w:rFonts w:cstheme="minorHAnsi"/>
          <w:szCs w:val="24"/>
        </w:rPr>
        <w:t>Zmodernizovaný traťový úsek, ktorý je predmetom riešenia bude zabezpečený novým traťovým zabezpečovacím zariadením 3. kategórie (elektronické traťové zabezpečovacie zariadenie) so samostatnými predzvesťami, ktoré musí spĺňať náročné kritéria interoperability. Zároveň musí byť možné tento typ zariadenia rozšíriť o nadstavby pre systém ERTMS (European Rail Traffic Management System), ktorý v sebe integruje dva komponenty ETCS a GSM-R.</w:t>
      </w:r>
    </w:p>
    <w:p w14:paraId="35FE4898" w14:textId="77777777" w:rsidR="00EB2290" w:rsidRPr="00930B46" w:rsidRDefault="00EB2290" w:rsidP="00931169">
      <w:pPr>
        <w:ind w:firstLine="708"/>
        <w:rPr>
          <w:rFonts w:cstheme="minorHAnsi"/>
          <w:szCs w:val="24"/>
        </w:rPr>
      </w:pPr>
      <w:r w:rsidRPr="00930B46">
        <w:rPr>
          <w:rFonts w:cstheme="minorHAnsi"/>
          <w:szCs w:val="24"/>
        </w:rPr>
        <w:t>Zmodernizuje sa trakčné vedenie v celom rozsahu. Izolačná hladina nového trakčného vedenia bude 25kV, okrem niektorých izolačných a spínacích prvkov. Navrhovaná základná výška trolejového drôtu v mieste závesov bude 5500mm nad STKP. Zmodernizované TV bude dočasne prevádzkované v existujúcej trakčnej sústave 3kV jednosmerné. So zmenou trakčnej sústavy sa uvažuje až po ukončení modernizačných prác a v súčinnosti s modernizáciou uzla Žilina.</w:t>
      </w:r>
    </w:p>
    <w:p w14:paraId="7733B2F3" w14:textId="77777777" w:rsidR="00EB2290" w:rsidRPr="00930B46" w:rsidRDefault="00EB2290" w:rsidP="00931169">
      <w:pPr>
        <w:ind w:firstLine="708"/>
        <w:rPr>
          <w:rFonts w:cstheme="minorHAnsi"/>
          <w:szCs w:val="24"/>
        </w:rPr>
      </w:pPr>
      <w:r w:rsidRPr="00930B46">
        <w:rPr>
          <w:rFonts w:cstheme="minorHAnsi"/>
          <w:szCs w:val="24"/>
        </w:rPr>
        <w:lastRenderedPageBreak/>
        <w:t>Pre potreby technologický zariadení sú navrhované nové prípojky elektrického vedenia prípadne preložky dotknutých elektrických vedení. Upravia sa aj dotknuté oznamovacie vedenia.</w:t>
      </w:r>
    </w:p>
    <w:p w14:paraId="15651C46" w14:textId="77777777" w:rsidR="00EB2290" w:rsidRPr="00930B46" w:rsidRDefault="00EB2290" w:rsidP="00931169">
      <w:pPr>
        <w:ind w:firstLine="708"/>
        <w:rPr>
          <w:rFonts w:cstheme="minorHAnsi"/>
          <w:szCs w:val="24"/>
        </w:rPr>
      </w:pPr>
      <w:r w:rsidRPr="00930B46">
        <w:rPr>
          <w:rFonts w:cstheme="minorHAnsi"/>
          <w:szCs w:val="24"/>
        </w:rPr>
        <w:t>Prístup k tunelovým a mostným objektom je zabezpečený vybudovaním prístupových komunikácií napojených na cestnú sieť mesta Krásno nad Kysucou.</w:t>
      </w:r>
    </w:p>
    <w:p w14:paraId="62FA76FB" w14:textId="5A4D963A" w:rsidR="00EB2290" w:rsidRPr="00930B46" w:rsidRDefault="00EB2290" w:rsidP="00931169">
      <w:pPr>
        <w:ind w:firstLine="708"/>
        <w:rPr>
          <w:rFonts w:cstheme="minorHAnsi"/>
          <w:szCs w:val="24"/>
        </w:rPr>
      </w:pPr>
      <w:r w:rsidRPr="00930B46">
        <w:rPr>
          <w:rFonts w:cstheme="minorHAnsi"/>
          <w:szCs w:val="24"/>
        </w:rPr>
        <w:t>Za ŽST Krásno nad Kysucou je nová trasa vedená v pravostrannom smerovom oblúku, ktorý opúšťa jestvujúce železničné teleso a zasahuje do toku rieky Kysuca. V tomto úseku je navrhovaná úprava Kysuce v celkovej dĺžke 690</w:t>
      </w:r>
      <w:r w:rsidR="0002506D">
        <w:rPr>
          <w:rFonts w:cstheme="minorHAnsi"/>
          <w:szCs w:val="24"/>
        </w:rPr>
        <w:t xml:space="preserve"> </w:t>
      </w:r>
      <w:r w:rsidRPr="00930B46">
        <w:rPr>
          <w:rFonts w:cstheme="minorHAnsi"/>
          <w:szCs w:val="24"/>
        </w:rPr>
        <w:t>m. Ďalej je navrhovaná úprava koryta Gavlasovského potoka, ktorý je z dôvodu výstavby prístupovej komunikácie k dočasnej stavebnej jame potrebné preložiť a to v celkovej dĺžke cca 270</w:t>
      </w:r>
      <w:r w:rsidR="0002506D">
        <w:rPr>
          <w:rFonts w:cstheme="minorHAnsi"/>
          <w:szCs w:val="24"/>
        </w:rPr>
        <w:t xml:space="preserve"> </w:t>
      </w:r>
      <w:r w:rsidRPr="00930B46">
        <w:rPr>
          <w:rFonts w:cstheme="minorHAnsi"/>
          <w:szCs w:val="24"/>
        </w:rPr>
        <w:t>m.</w:t>
      </w:r>
    </w:p>
    <w:p w14:paraId="3DB354F3" w14:textId="77777777" w:rsidR="00EB2290" w:rsidRPr="00930B46" w:rsidRDefault="00EB2290" w:rsidP="00931169">
      <w:pPr>
        <w:ind w:firstLine="708"/>
        <w:rPr>
          <w:rFonts w:cstheme="minorHAnsi"/>
          <w:szCs w:val="24"/>
        </w:rPr>
      </w:pPr>
      <w:r w:rsidRPr="00930B46">
        <w:rPr>
          <w:rFonts w:cstheme="minorHAnsi"/>
          <w:szCs w:val="24"/>
        </w:rPr>
        <w:t>Po dokončení stavby sa zrealizujú vegetačné úpravy dočasných záberov a upravia cestné komunikácie do pôvodného stavu v rámci stavebných objektov dopravných opatrení.</w:t>
      </w:r>
    </w:p>
    <w:p w14:paraId="23CEB8FC" w14:textId="77777777" w:rsidR="00EB2290" w:rsidRDefault="00EB2290" w:rsidP="00931169">
      <w:pPr>
        <w:pStyle w:val="Nadpis3"/>
        <w:rPr>
          <w:rFonts w:cstheme="minorHAnsi"/>
          <w:bCs w:val="0"/>
          <w:color w:val="auto"/>
          <w:szCs w:val="24"/>
        </w:rPr>
      </w:pPr>
      <w:bookmarkStart w:id="41" w:name="_Toc88652922"/>
      <w:r>
        <w:rPr>
          <w:rFonts w:cstheme="minorHAnsi"/>
        </w:rPr>
        <w:t>Redukcia investičných nákladov realizácie Tunela Kýčera</w:t>
      </w:r>
      <w:bookmarkEnd w:id="41"/>
      <w:r w:rsidRPr="00930B46">
        <w:rPr>
          <w:rFonts w:cstheme="minorHAnsi"/>
          <w:bCs w:val="0"/>
          <w:color w:val="auto"/>
          <w:szCs w:val="24"/>
        </w:rPr>
        <w:t xml:space="preserve"> </w:t>
      </w:r>
    </w:p>
    <w:p w14:paraId="4C9B52B2" w14:textId="77777777" w:rsidR="00EB2290" w:rsidRDefault="00EB2290" w:rsidP="00931169">
      <w:pPr>
        <w:ind w:firstLine="708"/>
      </w:pPr>
      <w:r>
        <w:t>Redukcia investičných nákladov na realizáciu Tunela Kýčera a to zmenou technického návrhu je posúdená v Kapitole 6 – Riziková analýza.</w:t>
      </w:r>
    </w:p>
    <w:p w14:paraId="54114B3A" w14:textId="555241AE" w:rsidR="00EB2290" w:rsidRDefault="00EB2290" w:rsidP="00931169">
      <w:pPr>
        <w:ind w:firstLine="708"/>
        <w:rPr>
          <w:rFonts w:cstheme="minorHAnsi"/>
        </w:rPr>
      </w:pPr>
      <w:r>
        <w:t>Záverom posúdenia je, že zodpovedný</w:t>
      </w:r>
      <w:r w:rsidRPr="00930B46">
        <w:rPr>
          <w:rFonts w:cstheme="minorHAnsi"/>
        </w:rPr>
        <w:t xml:space="preserve"> </w:t>
      </w:r>
      <w:r w:rsidRPr="00930B46">
        <w:rPr>
          <w:rFonts w:cstheme="minorHAnsi"/>
          <w:b/>
        </w:rPr>
        <w:t>projektant zásadne ned</w:t>
      </w:r>
      <w:r>
        <w:rPr>
          <w:rFonts w:cstheme="minorHAnsi"/>
          <w:b/>
        </w:rPr>
        <w:t>o</w:t>
      </w:r>
      <w:r w:rsidRPr="00930B46">
        <w:rPr>
          <w:rFonts w:cstheme="minorHAnsi"/>
          <w:b/>
        </w:rPr>
        <w:t>poručuje zmenšovať rozsah</w:t>
      </w:r>
      <w:r w:rsidRPr="00930B46">
        <w:rPr>
          <w:rFonts w:cstheme="minorHAnsi"/>
        </w:rPr>
        <w:t xml:space="preserve"> </w:t>
      </w:r>
      <w:r w:rsidRPr="00930B46">
        <w:rPr>
          <w:rFonts w:cstheme="minorHAnsi"/>
          <w:b/>
        </w:rPr>
        <w:t>alebo navrhnuté technické riešenie</w:t>
      </w:r>
      <w:r w:rsidRPr="00930B46">
        <w:rPr>
          <w:rFonts w:cstheme="minorHAnsi"/>
        </w:rPr>
        <w:t xml:space="preserve"> stavebných objektov železničných tunelov  z dôvodu </w:t>
      </w:r>
      <w:r w:rsidRPr="00930B46">
        <w:rPr>
          <w:rFonts w:cstheme="minorHAnsi"/>
          <w:b/>
        </w:rPr>
        <w:t>výrazného zvýšenia miery rizík</w:t>
      </w:r>
      <w:r w:rsidRPr="00930B46">
        <w:rPr>
          <w:rFonts w:cstheme="minorHAnsi"/>
        </w:rPr>
        <w:t xml:space="preserve"> pri porušení súvislostí zabezpečujúcich celkovú stabilitu a odolnosť podzemných diel</w:t>
      </w:r>
      <w:r w:rsidR="0002506D">
        <w:rPr>
          <w:rFonts w:cstheme="minorHAnsi"/>
        </w:rPr>
        <w:t xml:space="preserve"> a ich previazanosť na možný nárast investičných nákladov v prípade nutnosti realizácie doplnkových opatrení (posledné skúsenosti s vyhodnotenia investičných nákladov z realizácii žel. tunelov v SR). </w:t>
      </w:r>
    </w:p>
    <w:p w14:paraId="0DB5C125" w14:textId="77777777" w:rsidR="00EB2290" w:rsidRPr="00930B46" w:rsidRDefault="00EB2290" w:rsidP="00931169">
      <w:pPr>
        <w:ind w:firstLine="708"/>
        <w:rPr>
          <w:rFonts w:cstheme="minorHAnsi"/>
        </w:rPr>
      </w:pPr>
    </w:p>
    <w:p w14:paraId="6AE6D3C8" w14:textId="79F20023" w:rsidR="00EB2290" w:rsidRDefault="00EB2290" w:rsidP="0080507D">
      <w:pPr>
        <w:pStyle w:val="Nadpis2"/>
        <w:numPr>
          <w:ilvl w:val="0"/>
          <w:numId w:val="69"/>
        </w:numPr>
        <w:rPr>
          <w:rFonts w:cstheme="minorHAnsi"/>
        </w:rPr>
      </w:pPr>
      <w:bookmarkStart w:id="42" w:name="_Toc88652923"/>
      <w:r w:rsidRPr="00930B46">
        <w:rPr>
          <w:rFonts w:cstheme="minorHAnsi"/>
        </w:rPr>
        <w:t>etapa: ŽST Čadca</w:t>
      </w:r>
      <w:bookmarkEnd w:id="42"/>
    </w:p>
    <w:p w14:paraId="20858DB5" w14:textId="1FC6F6A0" w:rsidR="00EB2290" w:rsidRPr="00930B46" w:rsidRDefault="00EB2290" w:rsidP="00931169">
      <w:pPr>
        <w:ind w:firstLine="709"/>
        <w:rPr>
          <w:rFonts w:cstheme="minorHAnsi"/>
          <w:szCs w:val="24"/>
        </w:rPr>
      </w:pPr>
      <w:r w:rsidRPr="00930B46">
        <w:rPr>
          <w:rFonts w:cstheme="minorHAnsi"/>
          <w:szCs w:val="24"/>
        </w:rPr>
        <w:t xml:space="preserve">Modernizácia </w:t>
      </w:r>
      <w:r>
        <w:rPr>
          <w:rFonts w:cstheme="minorHAnsi"/>
          <w:szCs w:val="24"/>
        </w:rPr>
        <w:t>ŽST Čadca</w:t>
      </w:r>
      <w:r w:rsidR="00E06662">
        <w:rPr>
          <w:rFonts w:cstheme="minorHAnsi"/>
          <w:szCs w:val="24"/>
        </w:rPr>
        <w:t xml:space="preserve"> </w:t>
      </w:r>
      <w:r w:rsidR="00E06662" w:rsidRPr="00930B46">
        <w:rPr>
          <w:rFonts w:cstheme="minorHAnsi"/>
          <w:szCs w:val="24"/>
        </w:rPr>
        <w:t>predstavuje návrh podľa riešenia v aktuálnom stupni PD – DSP</w:t>
      </w:r>
      <w:r w:rsidR="00E06662">
        <w:rPr>
          <w:rFonts w:cstheme="minorHAnsi"/>
          <w:szCs w:val="24"/>
        </w:rPr>
        <w:t xml:space="preserve"> a je</w:t>
      </w:r>
      <w:r w:rsidRPr="00930B46">
        <w:rPr>
          <w:rFonts w:cstheme="minorHAnsi"/>
          <w:szCs w:val="24"/>
        </w:rPr>
        <w:t xml:space="preserve"> navrhnutá podľa zásad predpisu ŽSR Ž11 (r.2013),</w:t>
      </w:r>
      <w:r>
        <w:rPr>
          <w:rFonts w:cstheme="minorHAnsi"/>
          <w:szCs w:val="24"/>
        </w:rPr>
        <w:t xml:space="preserve"> platného v čase prípravy PD</w:t>
      </w:r>
      <w:r w:rsidR="00E06662">
        <w:rPr>
          <w:rFonts w:cstheme="minorHAnsi"/>
          <w:szCs w:val="24"/>
        </w:rPr>
        <w:t xml:space="preserve">. Modernizácia </w:t>
      </w:r>
      <w:r w:rsidRPr="00930B46">
        <w:rPr>
          <w:rFonts w:cstheme="minorHAnsi"/>
          <w:szCs w:val="24"/>
        </w:rPr>
        <w:t xml:space="preserve">vyvoláva kompletné prebudovanie koľajiska a súvisiacich objektov (najmä mostné objekty, cesty, podchod, TV, zab. zar., objekty pozemných stavieb). Do obvodu ŽST bude včlenená aj </w:t>
      </w:r>
      <w:r>
        <w:rPr>
          <w:rFonts w:cstheme="minorHAnsi"/>
          <w:szCs w:val="24"/>
        </w:rPr>
        <w:t>zast</w:t>
      </w:r>
      <w:r w:rsidR="00BC07F1">
        <w:rPr>
          <w:rFonts w:cstheme="minorHAnsi"/>
          <w:szCs w:val="24"/>
        </w:rPr>
        <w:t>ávka</w:t>
      </w:r>
      <w:r>
        <w:rPr>
          <w:rFonts w:cstheme="minorHAnsi"/>
          <w:szCs w:val="24"/>
        </w:rPr>
        <w:t xml:space="preserve"> Čadca - mesto</w:t>
      </w:r>
      <w:r w:rsidRPr="00930B46">
        <w:rPr>
          <w:rFonts w:cstheme="minorHAnsi"/>
          <w:szCs w:val="24"/>
        </w:rPr>
        <w:t xml:space="preserve">. </w:t>
      </w:r>
    </w:p>
    <w:p w14:paraId="3E9A0D5B" w14:textId="77777777" w:rsidR="00EB2290" w:rsidRPr="00930B46" w:rsidRDefault="00EB2290" w:rsidP="00931169">
      <w:pPr>
        <w:ind w:firstLine="709"/>
        <w:rPr>
          <w:rFonts w:cstheme="minorHAnsi"/>
          <w:szCs w:val="24"/>
        </w:rPr>
      </w:pPr>
    </w:p>
    <w:p w14:paraId="36FF232B" w14:textId="2A416C65" w:rsidR="00EB2290" w:rsidRPr="00930B46" w:rsidRDefault="00EB2290" w:rsidP="00931169">
      <w:pPr>
        <w:ind w:firstLine="709"/>
        <w:rPr>
          <w:rFonts w:cstheme="minorHAnsi"/>
          <w:szCs w:val="24"/>
        </w:rPr>
      </w:pPr>
      <w:r w:rsidRPr="00930B46">
        <w:rPr>
          <w:rFonts w:cstheme="minorHAnsi"/>
          <w:szCs w:val="24"/>
        </w:rPr>
        <w:t xml:space="preserve">Zmodernizovaná ŽST </w:t>
      </w:r>
      <w:r w:rsidR="00BC07F1">
        <w:rPr>
          <w:rFonts w:cstheme="minorHAnsi"/>
          <w:szCs w:val="24"/>
        </w:rPr>
        <w:t xml:space="preserve">Čadca </w:t>
      </w:r>
      <w:r w:rsidRPr="00930B46">
        <w:rPr>
          <w:rFonts w:cstheme="minorHAnsi"/>
          <w:szCs w:val="24"/>
        </w:rPr>
        <w:t>umožní prejazdy vlakov rýchlosťou 120 km</w:t>
      </w:r>
      <w:r w:rsidR="00BC07F1">
        <w:rPr>
          <w:rFonts w:cstheme="minorHAnsi"/>
          <w:szCs w:val="24"/>
        </w:rPr>
        <w:t>/hod</w:t>
      </w:r>
      <w:r w:rsidRPr="00930B46">
        <w:rPr>
          <w:rFonts w:cstheme="minorHAnsi"/>
          <w:szCs w:val="24"/>
        </w:rPr>
        <w:t xml:space="preserve"> v hlavných koľajach, rýchlosť v predjazdných koľajach č.3 a č.4 a v koľaji č.5 bude 80 km</w:t>
      </w:r>
      <w:r w:rsidR="00BC07F1">
        <w:rPr>
          <w:rFonts w:cstheme="minorHAnsi"/>
          <w:szCs w:val="24"/>
        </w:rPr>
        <w:t>/hod</w:t>
      </w:r>
      <w:r w:rsidRPr="00930B46">
        <w:rPr>
          <w:rFonts w:cstheme="minorHAnsi"/>
          <w:szCs w:val="24"/>
        </w:rPr>
        <w:t xml:space="preserve">, v ostatných koľajových rozvetveniach sú navrhnuté rýchlosti 50 </w:t>
      </w:r>
      <w:r w:rsidR="00BC07F1">
        <w:rPr>
          <w:rFonts w:cstheme="minorHAnsi"/>
          <w:szCs w:val="24"/>
        </w:rPr>
        <w:t xml:space="preserve">km/hod </w:t>
      </w:r>
      <w:r w:rsidRPr="00930B46">
        <w:rPr>
          <w:rFonts w:cstheme="minorHAnsi"/>
          <w:szCs w:val="24"/>
        </w:rPr>
        <w:t>a 40 km</w:t>
      </w:r>
      <w:r w:rsidR="00BC07F1">
        <w:rPr>
          <w:rFonts w:cstheme="minorHAnsi"/>
          <w:szCs w:val="24"/>
        </w:rPr>
        <w:t>/hod</w:t>
      </w:r>
      <w:r w:rsidRPr="00930B46">
        <w:rPr>
          <w:rFonts w:cstheme="minorHAnsi"/>
          <w:szCs w:val="24"/>
        </w:rPr>
        <w:t xml:space="preserve"> . Pre nástup a výstup cestujúcich v ŽST </w:t>
      </w:r>
      <w:r w:rsidR="00BC07F1">
        <w:rPr>
          <w:rFonts w:cstheme="minorHAnsi"/>
          <w:szCs w:val="24"/>
        </w:rPr>
        <w:t xml:space="preserve">Čadca </w:t>
      </w:r>
      <w:r w:rsidRPr="00930B46">
        <w:rPr>
          <w:rFonts w:cstheme="minorHAnsi"/>
          <w:szCs w:val="24"/>
        </w:rPr>
        <w:t>na trati Žilina – Čadca – Mosty u Jablunkova CZ, sa navrhujú tri nástupištia s 5-timi nástupnými hranami:</w:t>
      </w:r>
    </w:p>
    <w:p w14:paraId="74F4EA8E" w14:textId="2AE83649" w:rsidR="00EB2290" w:rsidRPr="00930B46" w:rsidRDefault="00EB2290" w:rsidP="00931169">
      <w:pPr>
        <w:ind w:firstLine="709"/>
        <w:rPr>
          <w:rFonts w:cstheme="minorHAnsi"/>
          <w:szCs w:val="24"/>
        </w:rPr>
      </w:pPr>
      <w:r w:rsidRPr="00930B46">
        <w:rPr>
          <w:rFonts w:cstheme="minorHAnsi"/>
          <w:szCs w:val="24"/>
        </w:rPr>
        <w:t>– nástupište č.1 (krajné, pri staničnej budove) dĺžky 250</w:t>
      </w:r>
      <w:r w:rsidR="00BC07F1">
        <w:rPr>
          <w:rFonts w:cstheme="minorHAnsi"/>
          <w:szCs w:val="24"/>
        </w:rPr>
        <w:t xml:space="preserve"> </w:t>
      </w:r>
      <w:r w:rsidRPr="00930B46">
        <w:rPr>
          <w:rFonts w:cstheme="minorHAnsi"/>
          <w:szCs w:val="24"/>
        </w:rPr>
        <w:t>m,</w:t>
      </w:r>
    </w:p>
    <w:p w14:paraId="72D743CB" w14:textId="29774EF6" w:rsidR="00EB2290" w:rsidRPr="00930B46" w:rsidRDefault="00EB2290" w:rsidP="00931169">
      <w:pPr>
        <w:ind w:firstLine="709"/>
        <w:rPr>
          <w:rFonts w:cstheme="minorHAnsi"/>
          <w:szCs w:val="24"/>
        </w:rPr>
      </w:pPr>
      <w:r w:rsidRPr="00930B46">
        <w:rPr>
          <w:rFonts w:cstheme="minorHAnsi"/>
          <w:szCs w:val="24"/>
        </w:rPr>
        <w:t>– nástupište č.2 (ostrovné medzi koľ. č.5 a č.9) dĺžky 400</w:t>
      </w:r>
      <w:r w:rsidR="00BC07F1">
        <w:rPr>
          <w:rFonts w:cstheme="minorHAnsi"/>
          <w:szCs w:val="24"/>
        </w:rPr>
        <w:t xml:space="preserve"> </w:t>
      </w:r>
      <w:r w:rsidRPr="00930B46">
        <w:rPr>
          <w:rFonts w:cstheme="minorHAnsi"/>
          <w:szCs w:val="24"/>
        </w:rPr>
        <w:t>m,</w:t>
      </w:r>
    </w:p>
    <w:p w14:paraId="4750A67A" w14:textId="611CEEEF" w:rsidR="00EB2290" w:rsidRDefault="00EB2290" w:rsidP="00931169">
      <w:pPr>
        <w:ind w:firstLine="709"/>
        <w:rPr>
          <w:rFonts w:cstheme="minorHAnsi"/>
          <w:szCs w:val="24"/>
        </w:rPr>
      </w:pPr>
      <w:r w:rsidRPr="00930B46">
        <w:rPr>
          <w:rFonts w:cstheme="minorHAnsi"/>
          <w:szCs w:val="24"/>
        </w:rPr>
        <w:t>– nástupište č.3 (ostrovné medzi koľ. č.2 a č.4) dĺžky 400</w:t>
      </w:r>
      <w:r w:rsidR="00BC07F1">
        <w:rPr>
          <w:rFonts w:cstheme="minorHAnsi"/>
          <w:szCs w:val="24"/>
        </w:rPr>
        <w:t xml:space="preserve"> </w:t>
      </w:r>
      <w:r w:rsidRPr="00930B46">
        <w:rPr>
          <w:rFonts w:cstheme="minorHAnsi"/>
          <w:szCs w:val="24"/>
        </w:rPr>
        <w:t>m.</w:t>
      </w:r>
    </w:p>
    <w:p w14:paraId="7C0F672A" w14:textId="77777777" w:rsidR="00EB2290" w:rsidRPr="00930B46" w:rsidRDefault="00EB2290" w:rsidP="00931169">
      <w:pPr>
        <w:ind w:firstLine="709"/>
        <w:rPr>
          <w:rFonts w:cstheme="minorHAnsi"/>
          <w:szCs w:val="24"/>
        </w:rPr>
      </w:pPr>
    </w:p>
    <w:p w14:paraId="75F5B615" w14:textId="64CFF0A8" w:rsidR="00EB2290" w:rsidRPr="00930B46" w:rsidRDefault="00EB2290" w:rsidP="00931169">
      <w:pPr>
        <w:ind w:firstLine="709"/>
        <w:rPr>
          <w:rFonts w:cstheme="minorHAnsi"/>
          <w:szCs w:val="24"/>
        </w:rPr>
      </w:pPr>
      <w:r w:rsidRPr="00930B46">
        <w:rPr>
          <w:rFonts w:cstheme="minorHAnsi"/>
          <w:szCs w:val="24"/>
        </w:rPr>
        <w:t xml:space="preserve">Na </w:t>
      </w:r>
      <w:r>
        <w:rPr>
          <w:rFonts w:cstheme="minorHAnsi"/>
          <w:szCs w:val="24"/>
        </w:rPr>
        <w:t>zastávke Čadca - mesto</w:t>
      </w:r>
      <w:r w:rsidRPr="00930B46">
        <w:rPr>
          <w:rFonts w:cstheme="minorHAnsi"/>
          <w:szCs w:val="24"/>
        </w:rPr>
        <w:t xml:space="preserve"> sa navrhujú krajné nástupištia pri oboch koľajách (č.1 a č.2) dĺžky 250</w:t>
      </w:r>
      <w:r w:rsidR="00BC07F1">
        <w:rPr>
          <w:rFonts w:cstheme="minorHAnsi"/>
          <w:szCs w:val="24"/>
        </w:rPr>
        <w:t xml:space="preserve"> </w:t>
      </w:r>
      <w:r w:rsidRPr="00930B46">
        <w:rPr>
          <w:rFonts w:cstheme="minorHAnsi"/>
          <w:szCs w:val="24"/>
        </w:rPr>
        <w:t>m. Všetky novonavrhované nástupištia sa navrhujú s výškou nástupnej hrany 550</w:t>
      </w:r>
      <w:r w:rsidR="00BC07F1">
        <w:rPr>
          <w:rFonts w:cstheme="minorHAnsi"/>
          <w:szCs w:val="24"/>
        </w:rPr>
        <w:t xml:space="preserve"> </w:t>
      </w:r>
      <w:r w:rsidRPr="00930B46">
        <w:rPr>
          <w:rFonts w:cstheme="minorHAnsi"/>
          <w:szCs w:val="24"/>
        </w:rPr>
        <w:lastRenderedPageBreak/>
        <w:t>mm nad spojnicou temien koľajnicových pásov (STKP) priľahlej koľaje. Na trati Čadca – Makov zostávajú pôvodné nástupištia.</w:t>
      </w:r>
    </w:p>
    <w:p w14:paraId="6E573F55" w14:textId="14472470" w:rsidR="00EB2290" w:rsidRPr="00930B46" w:rsidRDefault="00EB2290" w:rsidP="00931169">
      <w:pPr>
        <w:ind w:firstLine="709"/>
        <w:rPr>
          <w:rFonts w:cstheme="minorHAnsi"/>
          <w:szCs w:val="24"/>
        </w:rPr>
      </w:pPr>
      <w:r w:rsidRPr="00930B46">
        <w:rPr>
          <w:rFonts w:cstheme="minorHAnsi"/>
          <w:szCs w:val="24"/>
        </w:rPr>
        <w:t xml:space="preserve">V ŽST </w:t>
      </w:r>
      <w:r w:rsidR="00BC07F1">
        <w:rPr>
          <w:rFonts w:cstheme="minorHAnsi"/>
          <w:szCs w:val="24"/>
        </w:rPr>
        <w:t xml:space="preserve">Čadca </w:t>
      </w:r>
      <w:r w:rsidRPr="00930B46">
        <w:rPr>
          <w:rFonts w:cstheme="minorHAnsi"/>
          <w:szCs w:val="24"/>
        </w:rPr>
        <w:t>sa navrhuje rekonštrukcia existujúceho podchodu s dobudovaním výťahov pre zabezpečenie bezbariérového prístupu cestujúcich.</w:t>
      </w:r>
    </w:p>
    <w:p w14:paraId="24259BE3" w14:textId="609C8B6C" w:rsidR="00EB2290" w:rsidRPr="00930B46" w:rsidRDefault="00EB2290" w:rsidP="00931169">
      <w:pPr>
        <w:ind w:firstLine="709"/>
        <w:rPr>
          <w:rFonts w:cstheme="minorHAnsi"/>
          <w:szCs w:val="24"/>
        </w:rPr>
      </w:pPr>
      <w:r w:rsidRPr="00930B46">
        <w:rPr>
          <w:rFonts w:cstheme="minorHAnsi"/>
          <w:szCs w:val="24"/>
        </w:rPr>
        <w:t>V rámci modernizácie ŽST Čadca bude upravené existujúce staničné zabezpečovacie zariadenie typu elektronické stavadlo na novú konfiguráciu koľajiska. Bude upravený softvér elektronického stavadla na nový stav koľajiska. Všetky novo vkladané výhybky budú zabezpečené novými elektromotorickými prestavníkmi v prírubovom prevedení. Trakčné vedenie ŽST Čadca sa vzhľadom na stav a životnosť súčasného a vzhľadom na navrhovanú konfiguráciu koľajiska zmodernizuje v celom rozsahu. Zmodernizované trakčné vedenie bude navrhnuté podľa vzorovej zostavy „J“, resp. „S“ vrátane ich doplnkov platných v čase spracovania projektovej dokumentácie pre rýchlosť V = 120 km</w:t>
      </w:r>
      <w:r w:rsidR="00C24266">
        <w:rPr>
          <w:rFonts w:cstheme="minorHAnsi"/>
          <w:szCs w:val="24"/>
        </w:rPr>
        <w:t>/hod</w:t>
      </w:r>
      <w:r w:rsidRPr="00930B46">
        <w:rPr>
          <w:rFonts w:cstheme="minorHAnsi"/>
          <w:szCs w:val="24"/>
        </w:rPr>
        <w:t>. Navrhnuté rozpätia stožiarov budú vyhovovať pre rýchlosť vetra 35</w:t>
      </w:r>
      <w:r w:rsidR="00C24266">
        <w:rPr>
          <w:rFonts w:cstheme="minorHAnsi"/>
          <w:szCs w:val="24"/>
        </w:rPr>
        <w:t xml:space="preserve"> </w:t>
      </w:r>
      <w:r w:rsidRPr="00930B46">
        <w:rPr>
          <w:rFonts w:cstheme="minorHAnsi"/>
          <w:szCs w:val="24"/>
        </w:rPr>
        <w:t>m</w:t>
      </w:r>
      <w:r w:rsidR="00C24266">
        <w:rPr>
          <w:rFonts w:cstheme="minorHAnsi"/>
          <w:szCs w:val="24"/>
        </w:rPr>
        <w:t>/s</w:t>
      </w:r>
      <w:r w:rsidRPr="00930B46">
        <w:rPr>
          <w:rFonts w:cstheme="minorHAnsi"/>
          <w:szCs w:val="24"/>
        </w:rPr>
        <w:t>. Izolačná hladina nového trakčného vedenia bude 25</w:t>
      </w:r>
      <w:r w:rsidR="00C24266">
        <w:rPr>
          <w:rFonts w:cstheme="minorHAnsi"/>
          <w:szCs w:val="24"/>
        </w:rPr>
        <w:t xml:space="preserve"> </w:t>
      </w:r>
      <w:r w:rsidRPr="00930B46">
        <w:rPr>
          <w:rFonts w:cstheme="minorHAnsi"/>
          <w:szCs w:val="24"/>
        </w:rPr>
        <w:t>kV, okrem niektorých izolačných a spínacích prvkov, ktoré budú v rámci zmeny trakčnej sústavy zdemontované. Vzdušné vzdialenosti medzi živými časťami trakčného vedenia a stavbami sa budú posudzovať v celej stavbe pre striedavé napätie 25</w:t>
      </w:r>
      <w:r w:rsidR="00C24266">
        <w:rPr>
          <w:rFonts w:cstheme="minorHAnsi"/>
          <w:szCs w:val="24"/>
        </w:rPr>
        <w:t xml:space="preserve"> </w:t>
      </w:r>
      <w:r w:rsidRPr="00930B46">
        <w:rPr>
          <w:rFonts w:cstheme="minorHAnsi"/>
          <w:szCs w:val="24"/>
        </w:rPr>
        <w:t>kV 50</w:t>
      </w:r>
      <w:r w:rsidR="00C24266">
        <w:rPr>
          <w:rFonts w:cstheme="minorHAnsi"/>
          <w:szCs w:val="24"/>
        </w:rPr>
        <w:t xml:space="preserve"> </w:t>
      </w:r>
      <w:r w:rsidRPr="00930B46">
        <w:rPr>
          <w:rFonts w:cstheme="minorHAnsi"/>
          <w:szCs w:val="24"/>
        </w:rPr>
        <w:t>Hz. Zmodernizované TV bude dočasne prevádzkované v existujúcej trakčnej sústave 3</w:t>
      </w:r>
      <w:r w:rsidR="00C24266">
        <w:rPr>
          <w:rFonts w:cstheme="minorHAnsi"/>
          <w:szCs w:val="24"/>
        </w:rPr>
        <w:t xml:space="preserve"> </w:t>
      </w:r>
      <w:r w:rsidRPr="00930B46">
        <w:rPr>
          <w:rFonts w:cstheme="minorHAnsi"/>
          <w:szCs w:val="24"/>
        </w:rPr>
        <w:t xml:space="preserve">kV jednosmerné. So zmenou trakčnej sústavy sa uvažuje až po ukončení modernizačných prác a v súčinnosti s modernizáciou uzla Žilina. </w:t>
      </w:r>
    </w:p>
    <w:p w14:paraId="51DA1E9E" w14:textId="67296AAF" w:rsidR="00EB2290" w:rsidRPr="00930B46" w:rsidRDefault="00EB2290" w:rsidP="00931169">
      <w:pPr>
        <w:ind w:firstLine="709"/>
        <w:rPr>
          <w:rFonts w:cstheme="minorHAnsi"/>
          <w:szCs w:val="24"/>
        </w:rPr>
      </w:pPr>
      <w:r w:rsidRPr="00930B46">
        <w:rPr>
          <w:rFonts w:cstheme="minorHAnsi"/>
          <w:szCs w:val="24"/>
        </w:rPr>
        <w:t>V rámci modernizácie ŽST sa navrhuje odstránenie troch železničných mostov (nad riekami Kysuca, Čadečanka a nad miestnou obslužnou komunikáciou) a výstavb</w:t>
      </w:r>
      <w:r w:rsidR="00C24266">
        <w:rPr>
          <w:rFonts w:cstheme="minorHAnsi"/>
          <w:szCs w:val="24"/>
        </w:rPr>
        <w:t>u</w:t>
      </w:r>
      <w:r w:rsidRPr="00930B46">
        <w:rPr>
          <w:rFonts w:cstheme="minorHAnsi"/>
          <w:szCs w:val="24"/>
        </w:rPr>
        <w:t xml:space="preserve"> nových. V rámci objektov pozemných stavieb sa navrhujú stavebné úpravy výpravnej budovy, budovy ústredného stavadla, prestavba nakládkovej rampy</w:t>
      </w:r>
      <w:r>
        <w:rPr>
          <w:rFonts w:cstheme="minorHAnsi"/>
          <w:szCs w:val="24"/>
        </w:rPr>
        <w:t xml:space="preserve"> (podľa podkladov Správcu však určená na asanáciu)</w:t>
      </w:r>
      <w:r w:rsidRPr="00930B46">
        <w:rPr>
          <w:rFonts w:cstheme="minorHAnsi"/>
          <w:szCs w:val="24"/>
        </w:rPr>
        <w:t>, ďalej budovanie nových objektov zastrešenia nástupíšť, káblovodu a protihlukových stien.</w:t>
      </w:r>
    </w:p>
    <w:p w14:paraId="37D5745B" w14:textId="77777777" w:rsidR="00EB2290" w:rsidRDefault="00EB2290" w:rsidP="00931169">
      <w:pPr>
        <w:ind w:firstLine="709"/>
        <w:rPr>
          <w:rFonts w:cstheme="minorHAnsi"/>
          <w:szCs w:val="24"/>
        </w:rPr>
      </w:pPr>
      <w:r>
        <w:rPr>
          <w:rFonts w:cstheme="minorHAnsi"/>
          <w:szCs w:val="24"/>
        </w:rPr>
        <w:t>P</w:t>
      </w:r>
      <w:r w:rsidRPr="00930B46">
        <w:rPr>
          <w:rFonts w:cstheme="minorHAnsi"/>
          <w:szCs w:val="24"/>
        </w:rPr>
        <w:t xml:space="preserve">odrobný návrh </w:t>
      </w:r>
      <w:r>
        <w:rPr>
          <w:rFonts w:cstheme="minorHAnsi"/>
          <w:szCs w:val="24"/>
        </w:rPr>
        <w:t>je uvedený v PD pre stupeň</w:t>
      </w:r>
      <w:r w:rsidRPr="00930B46">
        <w:rPr>
          <w:rFonts w:cstheme="minorHAnsi"/>
          <w:szCs w:val="24"/>
        </w:rPr>
        <w:t xml:space="preserve"> DSP.</w:t>
      </w:r>
    </w:p>
    <w:p w14:paraId="1C6468A6" w14:textId="743F34B5" w:rsidR="00E06662" w:rsidRPr="00E06662" w:rsidRDefault="00EB2290" w:rsidP="0080507D">
      <w:pPr>
        <w:pStyle w:val="Nadpis2"/>
        <w:numPr>
          <w:ilvl w:val="0"/>
          <w:numId w:val="69"/>
        </w:numPr>
        <w:rPr>
          <w:rFonts w:cstheme="minorHAnsi"/>
        </w:rPr>
      </w:pPr>
      <w:bookmarkStart w:id="43" w:name="_Toc88652924"/>
      <w:r w:rsidRPr="00930B46">
        <w:rPr>
          <w:rFonts w:cstheme="minorHAnsi"/>
        </w:rPr>
        <w:t xml:space="preserve">etapa: </w:t>
      </w:r>
      <w:r w:rsidR="00E06662" w:rsidRPr="00E06662">
        <w:rPr>
          <w:rFonts w:cstheme="minorHAnsi"/>
        </w:rPr>
        <w:t>ŽST Čadca (mimo) – št. hr. SR/ČR (žkm 279,150 – 284,340)</w:t>
      </w:r>
      <w:bookmarkEnd w:id="43"/>
    </w:p>
    <w:p w14:paraId="5BB1A661" w14:textId="29D88753" w:rsidR="00EB2290" w:rsidRPr="00930B46" w:rsidRDefault="00E06662" w:rsidP="00931169">
      <w:pPr>
        <w:ind w:firstLine="709"/>
        <w:rPr>
          <w:rFonts w:cstheme="minorHAnsi"/>
          <w:szCs w:val="24"/>
        </w:rPr>
      </w:pPr>
      <w:r>
        <w:rPr>
          <w:rFonts w:cstheme="minorHAnsi"/>
          <w:szCs w:val="24"/>
        </w:rPr>
        <w:t>Modernizácia medzistaničného úseku</w:t>
      </w:r>
      <w:r w:rsidR="00EB2290" w:rsidRPr="00930B46">
        <w:rPr>
          <w:rFonts w:cstheme="minorHAnsi"/>
          <w:szCs w:val="24"/>
        </w:rPr>
        <w:t xml:space="preserve"> predstavuje návrh podľa riešenia v aktuálnom stupni PD </w:t>
      </w:r>
      <w:r w:rsidR="00707B13">
        <w:rPr>
          <w:rFonts w:cstheme="minorHAnsi"/>
          <w:szCs w:val="24"/>
        </w:rPr>
        <w:t>stupňa DRS.</w:t>
      </w:r>
    </w:p>
    <w:p w14:paraId="4948C90E" w14:textId="77777777" w:rsidR="00EB2290" w:rsidRDefault="00EB2290" w:rsidP="00931169">
      <w:pPr>
        <w:ind w:firstLine="709"/>
        <w:rPr>
          <w:rFonts w:cstheme="minorHAnsi"/>
          <w:szCs w:val="24"/>
        </w:rPr>
      </w:pPr>
      <w:r w:rsidRPr="00930B46">
        <w:rPr>
          <w:rFonts w:cstheme="minorHAnsi"/>
          <w:szCs w:val="24"/>
        </w:rPr>
        <w:t xml:space="preserve">Modernizácia </w:t>
      </w:r>
      <w:r>
        <w:rPr>
          <w:rFonts w:cstheme="minorHAnsi"/>
          <w:szCs w:val="24"/>
        </w:rPr>
        <w:t>je</w:t>
      </w:r>
      <w:r w:rsidRPr="00930B46">
        <w:rPr>
          <w:rFonts w:cstheme="minorHAnsi"/>
          <w:szCs w:val="24"/>
        </w:rPr>
        <w:t xml:space="preserve"> navrhnutá podľa zásad predpisu ŽSR Ž11 (r.2013),</w:t>
      </w:r>
      <w:r>
        <w:rPr>
          <w:rFonts w:cstheme="minorHAnsi"/>
          <w:szCs w:val="24"/>
        </w:rPr>
        <w:t xml:space="preserve"> platného v čase prípravy PD a podľa Investičného zadania. </w:t>
      </w:r>
    </w:p>
    <w:p w14:paraId="0855F48F" w14:textId="3AEEA633" w:rsidR="00EB2290" w:rsidRDefault="00EB2290" w:rsidP="00931169">
      <w:pPr>
        <w:ind w:firstLine="709"/>
        <w:rPr>
          <w:rFonts w:cstheme="minorHAnsi"/>
          <w:szCs w:val="24"/>
        </w:rPr>
      </w:pPr>
      <w:r>
        <w:rPr>
          <w:rFonts w:cstheme="minorHAnsi"/>
          <w:szCs w:val="24"/>
        </w:rPr>
        <w:t xml:space="preserve">Variant </w:t>
      </w:r>
      <w:r w:rsidRPr="00930B46">
        <w:rPr>
          <w:rFonts w:cstheme="minorHAnsi"/>
          <w:szCs w:val="24"/>
        </w:rPr>
        <w:t>vyvoláva kompletn</w:t>
      </w:r>
      <w:r>
        <w:rPr>
          <w:rFonts w:cstheme="minorHAnsi"/>
          <w:szCs w:val="24"/>
        </w:rPr>
        <w:t>ú výmenu</w:t>
      </w:r>
      <w:r w:rsidRPr="00930B46">
        <w:rPr>
          <w:rFonts w:cstheme="minorHAnsi"/>
          <w:szCs w:val="24"/>
        </w:rPr>
        <w:t xml:space="preserve"> prebudovanie koľajiska a súvisiacich objektov </w:t>
      </w:r>
      <w:r>
        <w:rPr>
          <w:rFonts w:cstheme="minorHAnsi"/>
          <w:szCs w:val="24"/>
        </w:rPr>
        <w:t xml:space="preserve">a súborov. Variant obsahuje zmenu trasovania voči súčasnosti v úseku zastávky Svrčinovec. Dotknuté sú </w:t>
      </w:r>
      <w:r w:rsidRPr="00930B46">
        <w:rPr>
          <w:rFonts w:cstheme="minorHAnsi"/>
          <w:szCs w:val="24"/>
        </w:rPr>
        <w:t xml:space="preserve">najmä mostné objekty, cesty, </w:t>
      </w:r>
      <w:r>
        <w:rPr>
          <w:rFonts w:cstheme="minorHAnsi"/>
          <w:szCs w:val="24"/>
        </w:rPr>
        <w:t>na</w:t>
      </w:r>
      <w:r w:rsidR="00C24266">
        <w:rPr>
          <w:rFonts w:cstheme="minorHAnsi"/>
          <w:szCs w:val="24"/>
        </w:rPr>
        <w:t>d</w:t>
      </w:r>
      <w:r>
        <w:rPr>
          <w:rFonts w:cstheme="minorHAnsi"/>
          <w:szCs w:val="24"/>
        </w:rPr>
        <w:t>chod pre cestujúcich</w:t>
      </w:r>
      <w:r w:rsidRPr="00930B46">
        <w:rPr>
          <w:rFonts w:cstheme="minorHAnsi"/>
          <w:szCs w:val="24"/>
        </w:rPr>
        <w:t>, TV, zab. zar.</w:t>
      </w:r>
      <w:r>
        <w:rPr>
          <w:rFonts w:cstheme="minorHAnsi"/>
          <w:szCs w:val="24"/>
        </w:rPr>
        <w:t xml:space="preserve"> a</w:t>
      </w:r>
      <w:r w:rsidRPr="00930B46">
        <w:rPr>
          <w:rFonts w:cstheme="minorHAnsi"/>
          <w:szCs w:val="24"/>
        </w:rPr>
        <w:t xml:space="preserve"> objekty pozemných stavieb.</w:t>
      </w:r>
    </w:p>
    <w:p w14:paraId="6493B696" w14:textId="706AB835" w:rsidR="00EB2290" w:rsidRPr="00D439B3" w:rsidRDefault="00EB2290" w:rsidP="00931169">
      <w:pPr>
        <w:ind w:firstLine="709"/>
        <w:rPr>
          <w:rFonts w:cstheme="minorHAnsi"/>
          <w:szCs w:val="24"/>
        </w:rPr>
      </w:pPr>
      <w:r>
        <w:rPr>
          <w:rFonts w:cstheme="minorHAnsi"/>
          <w:szCs w:val="24"/>
        </w:rPr>
        <w:t>Návrh modernizácie</w:t>
      </w:r>
      <w:r w:rsidRPr="00D439B3">
        <w:rPr>
          <w:rFonts w:cstheme="minorHAnsi"/>
          <w:szCs w:val="24"/>
        </w:rPr>
        <w:t xml:space="preserve"> zohľadňuje technické riešenie susedných traťových úsekov, na ktoré je smerovo a výškovo napojená. 3. etapa začína na Bohumínskom zhlaví ŽST Čadca a končí na štátnej hranici s Českou republikou. </w:t>
      </w:r>
    </w:p>
    <w:p w14:paraId="11D091E1" w14:textId="77777777" w:rsidR="00EB2290" w:rsidRPr="00D439B3" w:rsidRDefault="00EB2290" w:rsidP="00931169">
      <w:pPr>
        <w:ind w:firstLine="709"/>
        <w:rPr>
          <w:rFonts w:cstheme="minorHAnsi"/>
          <w:szCs w:val="24"/>
        </w:rPr>
      </w:pPr>
      <w:r w:rsidRPr="00D439B3">
        <w:rPr>
          <w:rFonts w:cstheme="minorHAnsi"/>
          <w:szCs w:val="24"/>
        </w:rPr>
        <w:t xml:space="preserve">Smerové a výškové vedenie trasy modernizovaného úseku je navrhované v súlade s STN 73 6360, pre traťovú rýchlosť V = 120km/h. Zabezpečovacie zariadenie a trakčné vedenie je v tejto stavbe navrhnuté na rýchlosť 160km/h. </w:t>
      </w:r>
    </w:p>
    <w:p w14:paraId="0979221C" w14:textId="77777777" w:rsidR="00EB2290" w:rsidRDefault="00EB2290" w:rsidP="00931169">
      <w:pPr>
        <w:ind w:firstLine="709"/>
        <w:rPr>
          <w:rFonts w:cstheme="minorHAnsi"/>
          <w:szCs w:val="24"/>
        </w:rPr>
      </w:pPr>
      <w:r w:rsidRPr="00D439B3">
        <w:rPr>
          <w:rFonts w:cstheme="minorHAnsi"/>
          <w:szCs w:val="24"/>
        </w:rPr>
        <w:lastRenderedPageBreak/>
        <w:t>Požiadavky vyplývajúce z dohôd AGC, AGTC a predpisov ŽSR o rušení úrovňových križovaní železnice s pozemnými komunikáciami pre zvýšenie bezpečnosti sú dodržané. Križovania sú riešené mimoúrovňovo resp. zrušené bez náhrady ale tak, aby bola zabezpečená dostupnosť a obslužnosť územia.</w:t>
      </w:r>
    </w:p>
    <w:p w14:paraId="071E3696" w14:textId="77777777" w:rsidR="00EB2290" w:rsidRDefault="00EB2290" w:rsidP="00931169">
      <w:pPr>
        <w:tabs>
          <w:tab w:val="left" w:pos="561"/>
        </w:tabs>
        <w:ind w:firstLine="748"/>
      </w:pPr>
    </w:p>
    <w:p w14:paraId="2D20C4A0" w14:textId="0B348DA1" w:rsidR="00EB2290" w:rsidRDefault="00EB2290" w:rsidP="00931169">
      <w:pPr>
        <w:tabs>
          <w:tab w:val="left" w:pos="561"/>
        </w:tabs>
        <w:ind w:firstLine="748"/>
      </w:pPr>
      <w:r>
        <w:t xml:space="preserve">Hlavnými kritériami modernizácie </w:t>
      </w:r>
      <w:r w:rsidR="00C24266">
        <w:t>medzistaničného</w:t>
      </w:r>
      <w:r>
        <w:t xml:space="preserve"> úseku Krásno nad Kysucou – Čadca – štátna hranica ČR/SR pre dosiahnutie požadovaného účelu stavby sú:</w:t>
      </w:r>
    </w:p>
    <w:p w14:paraId="5D240770" w14:textId="77777777" w:rsidR="00EB2290" w:rsidRDefault="00EB2290" w:rsidP="00931169">
      <w:pPr>
        <w:numPr>
          <w:ilvl w:val="0"/>
          <w:numId w:val="67"/>
        </w:numPr>
        <w:tabs>
          <w:tab w:val="clear" w:pos="1468"/>
        </w:tabs>
        <w:ind w:left="561" w:hanging="561"/>
      </w:pPr>
      <w:r>
        <w:t>zvýšenie traťovej rýchlosti do 160 km/h vrátane, v čo najdlhších úsekoch bez rýchlostných skokov,</w:t>
      </w:r>
    </w:p>
    <w:p w14:paraId="4A3E414F" w14:textId="77777777" w:rsidR="00EB2290" w:rsidRDefault="00EB2290" w:rsidP="00931169">
      <w:pPr>
        <w:numPr>
          <w:ilvl w:val="0"/>
          <w:numId w:val="67"/>
        </w:numPr>
        <w:tabs>
          <w:tab w:val="clear" w:pos="1468"/>
        </w:tabs>
        <w:ind w:left="561" w:hanging="561"/>
      </w:pPr>
      <w:r>
        <w:t>priechodnosť vozidiel pre kinematický obrys vozidla UIC C a priechodný prierez UIC GC,</w:t>
      </w:r>
    </w:p>
    <w:p w14:paraId="515C4392" w14:textId="77777777" w:rsidR="00EB2290" w:rsidRDefault="00EB2290" w:rsidP="00931169">
      <w:pPr>
        <w:numPr>
          <w:ilvl w:val="0"/>
          <w:numId w:val="67"/>
        </w:numPr>
        <w:tabs>
          <w:tab w:val="clear" w:pos="1468"/>
        </w:tabs>
        <w:ind w:left="561" w:hanging="561"/>
      </w:pPr>
      <w:r>
        <w:t>únosnosť železničného spodku a zodpovedajúca únosnosť podvalového podložia pre triedu zaťažiteľnosti D4 UIC (hmotnosť na nápravu 22,t),</w:t>
      </w:r>
    </w:p>
    <w:p w14:paraId="5B992A01" w14:textId="77777777" w:rsidR="00EB2290" w:rsidRDefault="00EB2290" w:rsidP="00931169">
      <w:pPr>
        <w:numPr>
          <w:ilvl w:val="0"/>
          <w:numId w:val="67"/>
        </w:numPr>
        <w:tabs>
          <w:tab w:val="clear" w:pos="1468"/>
        </w:tabs>
        <w:ind w:left="561" w:hanging="561"/>
      </w:pPr>
      <w:r>
        <w:t>priechodnosť železničných mostných objektov pre zaťažovací vlak UIC – 71 a priestorovú úpravu podľa STN 73 6201. Nové mosty navrhovať na zaťažovací vlak T,</w:t>
      </w:r>
    </w:p>
    <w:p w14:paraId="1DED4CC5" w14:textId="77777777" w:rsidR="00EB2290" w:rsidRDefault="00EB2290" w:rsidP="00931169">
      <w:pPr>
        <w:numPr>
          <w:ilvl w:val="0"/>
          <w:numId w:val="67"/>
        </w:numPr>
        <w:tabs>
          <w:tab w:val="clear" w:pos="1468"/>
        </w:tabs>
        <w:ind w:left="561" w:hanging="561"/>
      </w:pPr>
      <w:r>
        <w:t>nástupištia s hranami vo výške 550mm nad spojnicou temien koľajových pásov (STKP) dĺžky 250m v zastávkach,</w:t>
      </w:r>
    </w:p>
    <w:p w14:paraId="33A6E454" w14:textId="77777777" w:rsidR="00EB2290" w:rsidRDefault="00EB2290" w:rsidP="00931169">
      <w:pPr>
        <w:numPr>
          <w:ilvl w:val="0"/>
          <w:numId w:val="67"/>
        </w:numPr>
        <w:tabs>
          <w:tab w:val="clear" w:pos="1468"/>
        </w:tabs>
        <w:ind w:left="561" w:hanging="561"/>
      </w:pPr>
      <w:r>
        <w:t>peronizácia s bezkolíznym prístupom – mimoúrovňovým prístupom cestujúcich a s úpravou všetkých komunikácií pre chodcov v priestoroch staníc a zastávok pre osoby s obmedzenou schopnosťou pohybu a orientácie,</w:t>
      </w:r>
    </w:p>
    <w:p w14:paraId="24923E4A" w14:textId="77777777" w:rsidR="00EB2290" w:rsidRDefault="00EB2290" w:rsidP="00931169">
      <w:pPr>
        <w:numPr>
          <w:ilvl w:val="0"/>
          <w:numId w:val="67"/>
        </w:numPr>
        <w:tabs>
          <w:tab w:val="clear" w:pos="1468"/>
        </w:tabs>
        <w:ind w:left="561" w:hanging="561"/>
      </w:pPr>
      <w:r>
        <w:t>prispôsobenie verejných priestorov zvýšenému štandardu služieb, informačných systémov a kultúry cestovania v závislosti na existujúcich a predpokladaných výhľadových frekvenciách cestujúcich,</w:t>
      </w:r>
    </w:p>
    <w:p w14:paraId="196C5335" w14:textId="77777777" w:rsidR="00EB2290" w:rsidRDefault="00EB2290" w:rsidP="00931169">
      <w:pPr>
        <w:numPr>
          <w:ilvl w:val="0"/>
          <w:numId w:val="67"/>
        </w:numPr>
        <w:tabs>
          <w:tab w:val="clear" w:pos="1468"/>
        </w:tabs>
        <w:ind w:left="561" w:hanging="561"/>
      </w:pPr>
      <w:r>
        <w:t>vylúčenie všetkých úrovňových priecestí – krížení s cestnými komunikáciami, t.j. výstavba nových konštrukcií nadjazdov, podjazdov a podchodov so súvisiacimi komunikáciami,</w:t>
      </w:r>
    </w:p>
    <w:p w14:paraId="6BC0E62D" w14:textId="77777777" w:rsidR="00EB2290" w:rsidRDefault="00EB2290" w:rsidP="00931169">
      <w:pPr>
        <w:numPr>
          <w:ilvl w:val="0"/>
          <w:numId w:val="67"/>
        </w:numPr>
        <w:tabs>
          <w:tab w:val="clear" w:pos="1468"/>
        </w:tabs>
        <w:ind w:left="561" w:hanging="561"/>
      </w:pPr>
      <w:r>
        <w:t>komplexná prestavba trakčného vedenia pre prevádzkovú rýchlosť 160 km/h + 30%. Trakčné vedenie bude priečne a pozdĺžne delené do samostatných celkov s možnosťou miestneho i diaľkového ovládania odpojovačov,</w:t>
      </w:r>
    </w:p>
    <w:p w14:paraId="624B48F4" w14:textId="77777777" w:rsidR="00EB2290" w:rsidRDefault="00EB2290" w:rsidP="00931169">
      <w:pPr>
        <w:numPr>
          <w:ilvl w:val="0"/>
          <w:numId w:val="67"/>
        </w:numPr>
        <w:tabs>
          <w:tab w:val="clear" w:pos="1468"/>
        </w:tabs>
        <w:ind w:left="561" w:hanging="561"/>
      </w:pPr>
      <w:r>
        <w:t>pokiaľ to prestavba železničných staníc a zastávok vyžaduje, zrekonštruujú sa aj dotknuté silové rozvody a elektrické osvetlenie, vybuduje sa ohrev výhybiek,</w:t>
      </w:r>
    </w:p>
    <w:p w14:paraId="7D3A952C" w14:textId="77777777" w:rsidR="00EB2290" w:rsidRDefault="00EB2290" w:rsidP="00931169">
      <w:pPr>
        <w:numPr>
          <w:ilvl w:val="0"/>
          <w:numId w:val="67"/>
        </w:numPr>
        <w:tabs>
          <w:tab w:val="clear" w:pos="1468"/>
        </w:tabs>
        <w:ind w:left="561" w:hanging="561"/>
      </w:pPr>
      <w:r>
        <w:t>riadenie technologických procesov napájania pevných trakčných zariadení a vybraných elektrických odberov sa uskutoční miestnymi riadiacimi systémami  ako aj diaľkovo riadenými systémami z dispečerských centier,</w:t>
      </w:r>
    </w:p>
    <w:p w14:paraId="4B79C5B3" w14:textId="77777777" w:rsidR="00EB2290" w:rsidRDefault="00EB2290" w:rsidP="00931169">
      <w:pPr>
        <w:numPr>
          <w:ilvl w:val="0"/>
          <w:numId w:val="67"/>
        </w:numPr>
        <w:tabs>
          <w:tab w:val="clear" w:pos="1468"/>
        </w:tabs>
        <w:ind w:left="561" w:hanging="561"/>
      </w:pPr>
      <w:r>
        <w:t>staničné zabezpečovacie zariadenia 3. kategórie podľa TNŽ 34 2620 typu elektronické stavadlo (ES) s väzbami na vlakový zabezpečovač, resp. systémy automatického riadenia rýchlosti vlakov,</w:t>
      </w:r>
    </w:p>
    <w:p w14:paraId="19A242AA" w14:textId="77777777" w:rsidR="00EB2290" w:rsidRDefault="00EB2290" w:rsidP="00931169">
      <w:pPr>
        <w:numPr>
          <w:ilvl w:val="0"/>
          <w:numId w:val="67"/>
        </w:numPr>
        <w:tabs>
          <w:tab w:val="clear" w:pos="1468"/>
        </w:tabs>
        <w:ind w:left="561" w:hanging="561"/>
      </w:pPr>
      <w:r>
        <w:t>traťové zabezpečovacie zariadenie 3. kategórie podľa TNŽ 34 2630 typu elektronické obojsmerné automatické hradlo (EAH), v konečnom stave sa vybuduje nový interoperabilný systém riadenia a kontroly jazdy vlakov v celom úseku – systém ETCS, úroveň L2,</w:t>
      </w:r>
    </w:p>
    <w:p w14:paraId="4E207F2E" w14:textId="66792A3F" w:rsidR="00EB2290" w:rsidRPr="00106A85" w:rsidRDefault="00EB2290" w:rsidP="00931169">
      <w:pPr>
        <w:numPr>
          <w:ilvl w:val="0"/>
          <w:numId w:val="67"/>
        </w:numPr>
        <w:tabs>
          <w:tab w:val="clear" w:pos="1468"/>
        </w:tabs>
        <w:ind w:left="561" w:hanging="561"/>
      </w:pPr>
      <w:r>
        <w:t>nová telekomunikačná technika – nové telekomunikačné vedenia na prenos dát a digitalizácia celej telekomunikačnej siete.</w:t>
      </w:r>
    </w:p>
    <w:p w14:paraId="77A30604" w14:textId="77777777" w:rsidR="00EB2290" w:rsidRDefault="00EB2290" w:rsidP="00931169">
      <w:pPr>
        <w:pStyle w:val="Nadpis2"/>
        <w:tabs>
          <w:tab w:val="left" w:pos="567"/>
        </w:tabs>
        <w:rPr>
          <w:rFonts w:cstheme="minorHAnsi"/>
        </w:rPr>
      </w:pPr>
      <w:bookmarkStart w:id="44" w:name="_Toc88652925"/>
      <w:r>
        <w:rPr>
          <w:rFonts w:cstheme="minorHAnsi"/>
        </w:rPr>
        <w:lastRenderedPageBreak/>
        <w:t>Úspora jazdných časov</w:t>
      </w:r>
      <w:bookmarkEnd w:id="44"/>
    </w:p>
    <w:p w14:paraId="442AC9C1" w14:textId="437AC31D" w:rsidR="00EB2290" w:rsidRPr="00491D36" w:rsidRDefault="00EB2290" w:rsidP="00931169">
      <w:pPr>
        <w:rPr>
          <w:rFonts w:cstheme="minorHAnsi"/>
          <w:i/>
          <w:iCs/>
          <w:szCs w:val="24"/>
        </w:rPr>
      </w:pPr>
      <w:r w:rsidRPr="00491D36">
        <w:rPr>
          <w:rFonts w:cstheme="minorHAnsi"/>
          <w:i/>
          <w:iCs/>
          <w:szCs w:val="24"/>
        </w:rPr>
        <w:t>Tab.</w:t>
      </w:r>
      <w:r w:rsidR="005940CA">
        <w:rPr>
          <w:rFonts w:cstheme="minorHAnsi"/>
          <w:i/>
          <w:iCs/>
          <w:szCs w:val="24"/>
        </w:rPr>
        <w:t xml:space="preserve"> 5:</w:t>
      </w:r>
      <w:r w:rsidRPr="00491D36">
        <w:rPr>
          <w:rFonts w:cstheme="minorHAnsi"/>
          <w:i/>
          <w:iCs/>
          <w:szCs w:val="24"/>
        </w:rPr>
        <w:t xml:space="preserve"> Skrátenie jazdných časov </w:t>
      </w:r>
    </w:p>
    <w:tbl>
      <w:tblPr>
        <w:tblpPr w:leftFromText="141" w:rightFromText="141" w:vertAnchor="text" w:tblpY="1"/>
        <w:tblOverlap w:val="never"/>
        <w:tblW w:w="57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800"/>
        <w:gridCol w:w="1354"/>
        <w:gridCol w:w="1364"/>
        <w:gridCol w:w="1272"/>
      </w:tblGrid>
      <w:tr w:rsidR="00EB2290" w:rsidRPr="00930B46" w14:paraId="31965449" w14:textId="77777777" w:rsidTr="00F9016D">
        <w:trPr>
          <w:trHeight w:val="400"/>
        </w:trPr>
        <w:tc>
          <w:tcPr>
            <w:tcW w:w="1800" w:type="dxa"/>
            <w:shd w:val="clear" w:color="auto" w:fill="auto"/>
            <w:noWrap/>
            <w:vAlign w:val="bottom"/>
            <w:hideMark/>
          </w:tcPr>
          <w:p w14:paraId="388AC628"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Názov variantu</w:t>
            </w:r>
          </w:p>
        </w:tc>
        <w:tc>
          <w:tcPr>
            <w:tcW w:w="1354" w:type="dxa"/>
            <w:shd w:val="clear" w:color="auto" w:fill="auto"/>
            <w:noWrap/>
            <w:vAlign w:val="bottom"/>
            <w:hideMark/>
          </w:tcPr>
          <w:p w14:paraId="3EE0CC97" w14:textId="067EC89D" w:rsidR="00EB2290" w:rsidRPr="00930B46" w:rsidRDefault="00EB2290" w:rsidP="00931169">
            <w:pPr>
              <w:rPr>
                <w:rFonts w:eastAsia="Times New Roman" w:cstheme="minorHAnsi"/>
                <w:lang w:eastAsia="sk-SK"/>
              </w:rPr>
            </w:pPr>
            <w:r>
              <w:rPr>
                <w:rFonts w:eastAsia="Times New Roman" w:cstheme="minorHAnsi"/>
                <w:sz w:val="22"/>
                <w:lang w:eastAsia="sk-SK"/>
              </w:rPr>
              <w:t>Var</w:t>
            </w:r>
            <w:r w:rsidR="00707B13">
              <w:rPr>
                <w:rFonts w:eastAsia="Times New Roman" w:cstheme="minorHAnsi"/>
                <w:sz w:val="22"/>
                <w:lang w:eastAsia="sk-SK"/>
              </w:rPr>
              <w:t>iant</w:t>
            </w:r>
            <w:r>
              <w:rPr>
                <w:rFonts w:eastAsia="Times New Roman" w:cstheme="minorHAnsi"/>
                <w:sz w:val="22"/>
                <w:lang w:eastAsia="sk-SK"/>
              </w:rPr>
              <w:t xml:space="preserve"> </w:t>
            </w:r>
            <w:r w:rsidR="00707B13">
              <w:rPr>
                <w:rFonts w:eastAsia="Times New Roman" w:cstheme="minorHAnsi"/>
                <w:sz w:val="22"/>
                <w:lang w:eastAsia="sk-SK"/>
              </w:rPr>
              <w:t>B  -</w:t>
            </w:r>
            <w:r>
              <w:rPr>
                <w:rFonts w:eastAsia="Times New Roman" w:cstheme="minorHAnsi"/>
                <w:sz w:val="22"/>
                <w:lang w:eastAsia="sk-SK"/>
              </w:rPr>
              <w:t xml:space="preserve"> Modernizácia</w:t>
            </w:r>
          </w:p>
        </w:tc>
        <w:tc>
          <w:tcPr>
            <w:tcW w:w="1364" w:type="dxa"/>
            <w:shd w:val="clear" w:color="auto" w:fill="auto"/>
            <w:noWrap/>
            <w:vAlign w:val="bottom"/>
            <w:hideMark/>
          </w:tcPr>
          <w:p w14:paraId="51159173" w14:textId="15A093B7" w:rsidR="00EB2290" w:rsidRPr="00930B46" w:rsidRDefault="00EB2290" w:rsidP="00931169">
            <w:pPr>
              <w:rPr>
                <w:rFonts w:eastAsia="Times New Roman" w:cstheme="minorHAnsi"/>
                <w:lang w:eastAsia="sk-SK"/>
              </w:rPr>
            </w:pPr>
            <w:r w:rsidRPr="00930B46">
              <w:rPr>
                <w:rFonts w:eastAsia="Times New Roman" w:cstheme="minorHAnsi"/>
                <w:sz w:val="22"/>
                <w:lang w:eastAsia="sk-SK"/>
              </w:rPr>
              <w:t xml:space="preserve">Variant </w:t>
            </w:r>
            <w:r w:rsidR="00707B13">
              <w:rPr>
                <w:rFonts w:eastAsia="Times New Roman" w:cstheme="minorHAnsi"/>
                <w:sz w:val="22"/>
                <w:lang w:eastAsia="sk-SK"/>
              </w:rPr>
              <w:t>C</w:t>
            </w:r>
            <w:r>
              <w:rPr>
                <w:rFonts w:eastAsia="Times New Roman" w:cstheme="minorHAnsi"/>
                <w:sz w:val="22"/>
                <w:lang w:eastAsia="sk-SK"/>
              </w:rPr>
              <w:t>- Kombinovaný</w:t>
            </w:r>
            <w:r w:rsidRPr="00930B46">
              <w:rPr>
                <w:rFonts w:eastAsia="Times New Roman" w:cstheme="minorHAnsi"/>
                <w:sz w:val="22"/>
                <w:lang w:eastAsia="sk-SK"/>
              </w:rPr>
              <w:t xml:space="preserve"> </w:t>
            </w:r>
          </w:p>
        </w:tc>
        <w:tc>
          <w:tcPr>
            <w:tcW w:w="1272" w:type="dxa"/>
            <w:shd w:val="clear" w:color="auto" w:fill="auto"/>
            <w:noWrap/>
            <w:vAlign w:val="bottom"/>
            <w:hideMark/>
          </w:tcPr>
          <w:p w14:paraId="4379C564" w14:textId="77777777" w:rsidR="00EB2290" w:rsidRPr="00930B46" w:rsidRDefault="00EB2290" w:rsidP="00931169">
            <w:pPr>
              <w:rPr>
                <w:rFonts w:eastAsia="Times New Roman" w:cstheme="minorHAnsi"/>
                <w:lang w:eastAsia="sk-SK"/>
              </w:rPr>
            </w:pPr>
          </w:p>
        </w:tc>
      </w:tr>
      <w:tr w:rsidR="00EB2290" w:rsidRPr="00930B46" w14:paraId="1C08E46C" w14:textId="77777777" w:rsidTr="00F9016D">
        <w:trPr>
          <w:trHeight w:val="300"/>
        </w:trPr>
        <w:tc>
          <w:tcPr>
            <w:tcW w:w="1800" w:type="dxa"/>
            <w:shd w:val="clear" w:color="auto" w:fill="auto"/>
            <w:noWrap/>
            <w:vAlign w:val="bottom"/>
          </w:tcPr>
          <w:p w14:paraId="6F2C4EE1" w14:textId="77777777" w:rsidR="00EB2290" w:rsidRPr="00930B46" w:rsidRDefault="00EB2290" w:rsidP="00931169">
            <w:pPr>
              <w:rPr>
                <w:rFonts w:eastAsia="Times New Roman" w:cstheme="minorHAnsi"/>
                <w:sz w:val="22"/>
                <w:lang w:eastAsia="sk-SK"/>
              </w:rPr>
            </w:pPr>
          </w:p>
        </w:tc>
        <w:tc>
          <w:tcPr>
            <w:tcW w:w="3990" w:type="dxa"/>
            <w:gridSpan w:val="3"/>
            <w:shd w:val="clear" w:color="auto" w:fill="auto"/>
            <w:noWrap/>
            <w:vAlign w:val="bottom"/>
          </w:tcPr>
          <w:p w14:paraId="11DB1031" w14:textId="77777777" w:rsidR="00EB2290" w:rsidRPr="00930B46" w:rsidRDefault="00EB2290" w:rsidP="00931169">
            <w:pPr>
              <w:rPr>
                <w:rFonts w:eastAsia="Times New Roman" w:cstheme="minorHAnsi"/>
                <w:lang w:eastAsia="sk-SK"/>
              </w:rPr>
            </w:pPr>
            <w:r>
              <w:rPr>
                <w:rFonts w:eastAsia="Times New Roman" w:cstheme="minorHAnsi"/>
                <w:lang w:eastAsia="sk-SK"/>
              </w:rPr>
              <w:t>Úspora jazdných časov</w:t>
            </w:r>
          </w:p>
        </w:tc>
      </w:tr>
      <w:tr w:rsidR="00EB2290" w:rsidRPr="00930B46" w14:paraId="649ABC23" w14:textId="77777777" w:rsidTr="00F9016D">
        <w:trPr>
          <w:trHeight w:val="195"/>
        </w:trPr>
        <w:tc>
          <w:tcPr>
            <w:tcW w:w="1800" w:type="dxa"/>
            <w:shd w:val="clear" w:color="auto" w:fill="auto"/>
            <w:noWrap/>
            <w:vAlign w:val="bottom"/>
            <w:hideMark/>
          </w:tcPr>
          <w:p w14:paraId="1C2FB4B1"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R</w:t>
            </w:r>
          </w:p>
        </w:tc>
        <w:tc>
          <w:tcPr>
            <w:tcW w:w="1354" w:type="dxa"/>
            <w:shd w:val="clear" w:color="auto" w:fill="auto"/>
            <w:noWrap/>
            <w:vAlign w:val="bottom"/>
            <w:hideMark/>
          </w:tcPr>
          <w:p w14:paraId="6D339947"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3,90 min</w:t>
            </w:r>
          </w:p>
        </w:tc>
        <w:tc>
          <w:tcPr>
            <w:tcW w:w="1364" w:type="dxa"/>
            <w:shd w:val="clear" w:color="auto" w:fill="auto"/>
            <w:noWrap/>
            <w:vAlign w:val="bottom"/>
            <w:hideMark/>
          </w:tcPr>
          <w:p w14:paraId="6F8C34B9"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1,06 min</w:t>
            </w:r>
          </w:p>
        </w:tc>
        <w:tc>
          <w:tcPr>
            <w:tcW w:w="1272" w:type="dxa"/>
            <w:shd w:val="clear" w:color="auto" w:fill="auto"/>
            <w:noWrap/>
            <w:vAlign w:val="bottom"/>
            <w:hideMark/>
          </w:tcPr>
          <w:p w14:paraId="70CF87D4" w14:textId="77777777" w:rsidR="00EB2290" w:rsidRPr="00930B46" w:rsidRDefault="00EB2290" w:rsidP="00931169">
            <w:pPr>
              <w:rPr>
                <w:rFonts w:eastAsia="Times New Roman" w:cstheme="minorHAnsi"/>
                <w:lang w:eastAsia="sk-SK"/>
              </w:rPr>
            </w:pPr>
          </w:p>
        </w:tc>
      </w:tr>
      <w:tr w:rsidR="00EB2290" w:rsidRPr="00930B46" w14:paraId="2B3AA54B" w14:textId="77777777" w:rsidTr="00F9016D">
        <w:trPr>
          <w:trHeight w:val="195"/>
        </w:trPr>
        <w:tc>
          <w:tcPr>
            <w:tcW w:w="1800" w:type="dxa"/>
            <w:shd w:val="clear" w:color="auto" w:fill="auto"/>
            <w:noWrap/>
            <w:vAlign w:val="bottom"/>
            <w:hideMark/>
          </w:tcPr>
          <w:p w14:paraId="1F3068C1"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Os</w:t>
            </w:r>
          </w:p>
        </w:tc>
        <w:tc>
          <w:tcPr>
            <w:tcW w:w="1354" w:type="dxa"/>
            <w:shd w:val="clear" w:color="auto" w:fill="auto"/>
            <w:noWrap/>
            <w:vAlign w:val="bottom"/>
            <w:hideMark/>
          </w:tcPr>
          <w:p w14:paraId="1F2F6605"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2,75 min</w:t>
            </w:r>
          </w:p>
        </w:tc>
        <w:tc>
          <w:tcPr>
            <w:tcW w:w="1364" w:type="dxa"/>
            <w:shd w:val="clear" w:color="auto" w:fill="auto"/>
            <w:noWrap/>
            <w:vAlign w:val="bottom"/>
            <w:hideMark/>
          </w:tcPr>
          <w:p w14:paraId="7869803D"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0,60 min</w:t>
            </w:r>
          </w:p>
        </w:tc>
        <w:tc>
          <w:tcPr>
            <w:tcW w:w="1272" w:type="dxa"/>
            <w:shd w:val="clear" w:color="auto" w:fill="auto"/>
            <w:noWrap/>
            <w:vAlign w:val="bottom"/>
            <w:hideMark/>
          </w:tcPr>
          <w:p w14:paraId="0269ADBC" w14:textId="77777777" w:rsidR="00EB2290" w:rsidRPr="00930B46" w:rsidRDefault="00EB2290" w:rsidP="00931169">
            <w:pPr>
              <w:rPr>
                <w:rFonts w:eastAsia="Times New Roman" w:cstheme="minorHAnsi"/>
                <w:lang w:eastAsia="sk-SK"/>
              </w:rPr>
            </w:pPr>
          </w:p>
        </w:tc>
      </w:tr>
      <w:tr w:rsidR="00EB2290" w:rsidRPr="00930B46" w14:paraId="4BA6A6E2" w14:textId="77777777" w:rsidTr="00F9016D">
        <w:trPr>
          <w:trHeight w:val="206"/>
        </w:trPr>
        <w:tc>
          <w:tcPr>
            <w:tcW w:w="1800" w:type="dxa"/>
            <w:shd w:val="clear" w:color="auto" w:fill="auto"/>
            <w:noWrap/>
            <w:vAlign w:val="bottom"/>
            <w:hideMark/>
          </w:tcPr>
          <w:p w14:paraId="03E3F73C"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Pn</w:t>
            </w:r>
          </w:p>
        </w:tc>
        <w:tc>
          <w:tcPr>
            <w:tcW w:w="1354" w:type="dxa"/>
            <w:shd w:val="clear" w:color="auto" w:fill="auto"/>
            <w:noWrap/>
            <w:vAlign w:val="bottom"/>
            <w:hideMark/>
          </w:tcPr>
          <w:p w14:paraId="5B9059C4"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2,69 min</w:t>
            </w:r>
          </w:p>
        </w:tc>
        <w:tc>
          <w:tcPr>
            <w:tcW w:w="1364" w:type="dxa"/>
            <w:shd w:val="clear" w:color="auto" w:fill="auto"/>
            <w:noWrap/>
            <w:vAlign w:val="bottom"/>
            <w:hideMark/>
          </w:tcPr>
          <w:p w14:paraId="4BD08B0B" w14:textId="77777777" w:rsidR="00EB2290" w:rsidRPr="00930B46" w:rsidRDefault="00EB2290" w:rsidP="00931169">
            <w:pPr>
              <w:rPr>
                <w:rFonts w:eastAsia="Times New Roman" w:cstheme="minorHAnsi"/>
                <w:lang w:eastAsia="sk-SK"/>
              </w:rPr>
            </w:pPr>
            <w:r w:rsidRPr="00930B46">
              <w:rPr>
                <w:rFonts w:eastAsia="Times New Roman" w:cstheme="minorHAnsi"/>
                <w:sz w:val="22"/>
                <w:lang w:eastAsia="sk-SK"/>
              </w:rPr>
              <w:t>0,76 min</w:t>
            </w:r>
          </w:p>
        </w:tc>
        <w:tc>
          <w:tcPr>
            <w:tcW w:w="1272" w:type="dxa"/>
            <w:shd w:val="clear" w:color="auto" w:fill="auto"/>
            <w:noWrap/>
            <w:vAlign w:val="bottom"/>
            <w:hideMark/>
          </w:tcPr>
          <w:p w14:paraId="1A7312D8" w14:textId="77777777" w:rsidR="00EB2290" w:rsidRPr="00930B46" w:rsidRDefault="00EB2290" w:rsidP="00931169">
            <w:pPr>
              <w:rPr>
                <w:rFonts w:eastAsia="Times New Roman" w:cstheme="minorHAnsi"/>
                <w:lang w:eastAsia="sk-SK"/>
              </w:rPr>
            </w:pPr>
          </w:p>
        </w:tc>
      </w:tr>
    </w:tbl>
    <w:p w14:paraId="535D11B4" w14:textId="77777777" w:rsidR="00EB2290" w:rsidRDefault="00EB2290" w:rsidP="00931169">
      <w:pPr>
        <w:ind w:firstLine="432"/>
        <w:rPr>
          <w:rFonts w:cstheme="minorHAnsi"/>
          <w:szCs w:val="24"/>
        </w:rPr>
      </w:pPr>
      <w:r>
        <w:rPr>
          <w:rFonts w:cstheme="minorHAnsi"/>
          <w:szCs w:val="24"/>
        </w:rPr>
        <w:br w:type="textWrapping" w:clear="all"/>
      </w:r>
    </w:p>
    <w:p w14:paraId="347D0BEB" w14:textId="48E2E402" w:rsidR="00EB2290" w:rsidRPr="00EC157F" w:rsidRDefault="00EB2290" w:rsidP="00931169">
      <w:pPr>
        <w:ind w:firstLine="708"/>
      </w:pPr>
      <w:r>
        <w:rPr>
          <w:szCs w:val="24"/>
        </w:rPr>
        <w:t>Navyše pre vozidlá prechodnosti 3 je úspora jazdných časov voči súčasnosti zvýšená o 3,25 min. Dôvodom je odstránenie prechodného obmedzenia traťovej rýchlosti v žkm 273,1 až 277,8.</w:t>
      </w:r>
      <w:r w:rsidRPr="005A2DBD">
        <w:rPr>
          <w:szCs w:val="24"/>
        </w:rPr>
        <w:t xml:space="preserve"> </w:t>
      </w:r>
      <w:r>
        <w:rPr>
          <w:szCs w:val="24"/>
        </w:rPr>
        <w:t>Neplatí pre Referečný variant s výmenami, kedy bude POTR odstránené.</w:t>
      </w:r>
    </w:p>
    <w:p w14:paraId="1198DD86" w14:textId="619B543C" w:rsidR="00707B13" w:rsidRDefault="00707B13" w:rsidP="00931169"/>
    <w:p w14:paraId="2D227BE3" w14:textId="5371208A" w:rsidR="00707B13" w:rsidRPr="00707B13" w:rsidRDefault="006E1ECE" w:rsidP="0080507D">
      <w:pPr>
        <w:pStyle w:val="Nadpis3"/>
        <w:numPr>
          <w:ilvl w:val="1"/>
          <w:numId w:val="69"/>
        </w:numPr>
        <w:rPr>
          <w:rFonts w:cstheme="minorHAnsi"/>
        </w:rPr>
      </w:pPr>
      <w:bookmarkStart w:id="45" w:name="_Toc88652926"/>
      <w:r w:rsidRPr="00930B46">
        <w:rPr>
          <w:rFonts w:cstheme="minorHAnsi"/>
          <w:color w:val="00B050"/>
          <w:sz w:val="28"/>
          <w:szCs w:val="28"/>
        </w:rPr>
        <w:t xml:space="preserve">Variant </w:t>
      </w:r>
      <w:r w:rsidR="00707B13">
        <w:rPr>
          <w:rFonts w:cstheme="minorHAnsi"/>
          <w:color w:val="00B050"/>
          <w:sz w:val="28"/>
          <w:szCs w:val="28"/>
        </w:rPr>
        <w:t>C</w:t>
      </w:r>
      <w:r w:rsidRPr="00930B46">
        <w:rPr>
          <w:rFonts w:cstheme="minorHAnsi"/>
          <w:color w:val="00B050"/>
          <w:sz w:val="28"/>
          <w:szCs w:val="28"/>
        </w:rPr>
        <w:t xml:space="preserve"> –</w:t>
      </w:r>
      <w:r w:rsidR="00707B13">
        <w:rPr>
          <w:rFonts w:cstheme="minorHAnsi"/>
          <w:color w:val="00B050"/>
          <w:sz w:val="28"/>
          <w:szCs w:val="28"/>
        </w:rPr>
        <w:t xml:space="preserve"> </w:t>
      </w:r>
      <w:r w:rsidR="00707B13" w:rsidRPr="00707B13">
        <w:rPr>
          <w:rFonts w:cstheme="minorHAnsi"/>
          <w:color w:val="00B050"/>
          <w:sz w:val="28"/>
          <w:szCs w:val="28"/>
        </w:rPr>
        <w:t>KOMBINOVANÝ – Optimalizácia trate</w:t>
      </w:r>
      <w:bookmarkEnd w:id="45"/>
    </w:p>
    <w:p w14:paraId="6B027A51" w14:textId="32A6D36E" w:rsidR="00707B13" w:rsidRDefault="00707B13" w:rsidP="00931169">
      <w:pPr>
        <w:ind w:firstLine="708"/>
      </w:pPr>
      <w:r>
        <w:t>Variant C – Kombinovaný</w:t>
      </w:r>
      <w:r w:rsidR="004C6747">
        <w:t xml:space="preserve"> </w:t>
      </w:r>
      <w:r>
        <w:t>(optimalizovaný) variant</w:t>
      </w:r>
      <w:r w:rsidR="00FF0ABC">
        <w:t xml:space="preserve"> vznikol</w:t>
      </w:r>
      <w:r>
        <w:t xml:space="preserve"> kombin</w:t>
      </w:r>
      <w:r w:rsidR="00FF0ABC">
        <w:t>áciou</w:t>
      </w:r>
      <w:r>
        <w:t xml:space="preserve"> </w:t>
      </w:r>
      <w:r w:rsidR="004C6747">
        <w:t>a </w:t>
      </w:r>
      <w:r>
        <w:t>základn</w:t>
      </w:r>
      <w:r w:rsidR="00FF0ABC">
        <w:t>ej</w:t>
      </w:r>
      <w:r>
        <w:t xml:space="preserve"> modernizáci</w:t>
      </w:r>
      <w:r w:rsidR="00FF0ABC">
        <w:t>e</w:t>
      </w:r>
      <w:r>
        <w:t xml:space="preserve"> (variant A) a</w:t>
      </w:r>
      <w:r w:rsidR="00FF0ABC">
        <w:t> </w:t>
      </w:r>
      <w:r>
        <w:t>modernizáci</w:t>
      </w:r>
      <w:r w:rsidR="00FF0ABC">
        <w:t>e na 120 km/hod</w:t>
      </w:r>
      <w:r>
        <w:t xml:space="preserve"> (variant B) nasledovne:</w:t>
      </w:r>
    </w:p>
    <w:p w14:paraId="0A381A0A" w14:textId="77777777" w:rsidR="004C6747" w:rsidRDefault="004C6747" w:rsidP="00931169">
      <w:pPr>
        <w:ind w:firstLine="708"/>
      </w:pPr>
    </w:p>
    <w:p w14:paraId="75231E2F" w14:textId="7B02D65B" w:rsidR="00FF0ABC" w:rsidRPr="00FF0ABC" w:rsidRDefault="00707B13" w:rsidP="00931169">
      <w:pPr>
        <w:ind w:firstLine="708"/>
        <w:rPr>
          <w:rFonts w:cstheme="minorHAnsi"/>
        </w:rPr>
      </w:pPr>
      <w:r>
        <w:t xml:space="preserve">Pre úseky  1. a 2. etape stavby, t. j.  </w:t>
      </w:r>
      <w:r w:rsidR="00FF0ABC" w:rsidRPr="00FF0ABC">
        <w:rPr>
          <w:rFonts w:cstheme="minorHAnsi"/>
        </w:rPr>
        <w:t>etapa:  Krásno nad Kysucou – Čadca (žkm 269,978 – 278,030)</w:t>
      </w:r>
      <w:r w:rsidR="00FF0ABC">
        <w:rPr>
          <w:rFonts w:cstheme="minorHAnsi"/>
        </w:rPr>
        <w:t xml:space="preserve"> a ŽST Čadca </w:t>
      </w:r>
      <w:r w:rsidR="004C6747">
        <w:rPr>
          <w:rFonts w:cstheme="minorHAnsi"/>
        </w:rPr>
        <w:t xml:space="preserve">sa </w:t>
      </w:r>
      <w:r w:rsidR="00FF0ABC">
        <w:rPr>
          <w:rFonts w:cstheme="minorHAnsi"/>
        </w:rPr>
        <w:t xml:space="preserve">uvažuje </w:t>
      </w:r>
      <w:r w:rsidR="004C6747">
        <w:rPr>
          <w:rFonts w:cstheme="minorHAnsi"/>
        </w:rPr>
        <w:t>s</w:t>
      </w:r>
      <w:r w:rsidR="006270BC">
        <w:rPr>
          <w:rFonts w:cstheme="minorHAnsi"/>
        </w:rPr>
        <w:t xml:space="preserve">o </w:t>
      </w:r>
      <w:r w:rsidR="00FF0ABC">
        <w:rPr>
          <w:rFonts w:cstheme="minorHAnsi"/>
        </w:rPr>
        <w:t>základn</w:t>
      </w:r>
      <w:r w:rsidR="006270BC">
        <w:rPr>
          <w:rFonts w:cstheme="minorHAnsi"/>
        </w:rPr>
        <w:t>ou</w:t>
      </w:r>
      <w:r w:rsidR="004C6747">
        <w:rPr>
          <w:rFonts w:cstheme="minorHAnsi"/>
        </w:rPr>
        <w:t xml:space="preserve"> </w:t>
      </w:r>
      <w:r w:rsidR="00FF0ABC">
        <w:rPr>
          <w:rFonts w:cstheme="minorHAnsi"/>
        </w:rPr>
        <w:t>modernizáci</w:t>
      </w:r>
      <w:r w:rsidR="006270BC">
        <w:rPr>
          <w:rFonts w:cstheme="minorHAnsi"/>
        </w:rPr>
        <w:t>ou</w:t>
      </w:r>
      <w:r w:rsidR="00FF0ABC">
        <w:rPr>
          <w:rFonts w:cstheme="minorHAnsi"/>
        </w:rPr>
        <w:t xml:space="preserve"> (variant A) a pre úsek 3. etapy, t.</w:t>
      </w:r>
      <w:r w:rsidR="006270BC">
        <w:rPr>
          <w:rFonts w:cstheme="minorHAnsi"/>
        </w:rPr>
        <w:t xml:space="preserve"> </w:t>
      </w:r>
      <w:r w:rsidR="00FF0ABC">
        <w:rPr>
          <w:rFonts w:cstheme="minorHAnsi"/>
        </w:rPr>
        <w:t xml:space="preserve">j.  </w:t>
      </w:r>
      <w:r w:rsidR="00FF0ABC" w:rsidRPr="00D3749B">
        <w:rPr>
          <w:rFonts w:cstheme="minorHAnsi"/>
        </w:rPr>
        <w:t>ŽST Čadca (mimo) – št. hr. SR/ČR (žkm 279,150 – 284,340)</w:t>
      </w:r>
      <w:r w:rsidR="00FF0ABC">
        <w:rPr>
          <w:rFonts w:cstheme="minorHAnsi"/>
        </w:rPr>
        <w:t xml:space="preserve"> s modernizáciou na rýchlosť 120 km/hod (variant B).</w:t>
      </w:r>
    </w:p>
    <w:p w14:paraId="2B2E7AB3" w14:textId="23164EC0" w:rsidR="00FF0ABC" w:rsidRDefault="00FF0ABC" w:rsidP="00931169">
      <w:pPr>
        <w:rPr>
          <w:rFonts w:cstheme="minorHAnsi"/>
        </w:rPr>
      </w:pPr>
    </w:p>
    <w:p w14:paraId="5B3227D5" w14:textId="77777777" w:rsidR="00FF0ABC" w:rsidRPr="00856D66" w:rsidRDefault="00FF0ABC" w:rsidP="0080507D">
      <w:pPr>
        <w:pStyle w:val="Odsekzoznamu"/>
        <w:numPr>
          <w:ilvl w:val="0"/>
          <w:numId w:val="70"/>
        </w:numPr>
        <w:jc w:val="both"/>
        <w:rPr>
          <w:rFonts w:cstheme="minorHAnsi"/>
          <w:b/>
          <w:bCs/>
        </w:rPr>
      </w:pPr>
      <w:r w:rsidRPr="00856D66">
        <w:rPr>
          <w:rFonts w:cstheme="minorHAnsi"/>
          <w:b/>
          <w:bCs/>
        </w:rPr>
        <w:t>etapa:  Krásno nad Kysucou – Čadca (žkm 269,978 – 278,030)</w:t>
      </w:r>
    </w:p>
    <w:p w14:paraId="297427E7" w14:textId="58EE275D" w:rsidR="006270BC" w:rsidRDefault="00FF0ABC" w:rsidP="00931169">
      <w:pPr>
        <w:rPr>
          <w:rFonts w:cstheme="minorHAnsi"/>
        </w:rPr>
      </w:pPr>
      <w:r w:rsidRPr="00856D66">
        <w:rPr>
          <w:rFonts w:cstheme="minorHAnsi"/>
        </w:rPr>
        <w:t>V medzistaničnom úseku Krásno nad Kysucou – Čadca je priestorový – koľajový - rozsah uvažovaný pre obe traťové koľaje – TK1 a TK2.</w:t>
      </w:r>
      <w:r>
        <w:rPr>
          <w:rFonts w:cstheme="minorHAnsi"/>
        </w:rPr>
        <w:t xml:space="preserve"> V rámci </w:t>
      </w:r>
      <w:r w:rsidR="004C6747">
        <w:rPr>
          <w:rFonts w:cstheme="minorHAnsi"/>
        </w:rPr>
        <w:t xml:space="preserve">existujúcej stopy koľají dochádza k ich optimalizácii, resp. </w:t>
      </w:r>
      <w:r w:rsidR="007D1D2E">
        <w:rPr>
          <w:rFonts w:cstheme="minorHAnsi"/>
        </w:rPr>
        <w:t>k</w:t>
      </w:r>
      <w:r w:rsidR="004C6747">
        <w:rPr>
          <w:rFonts w:cstheme="minorHAnsi"/>
        </w:rPr>
        <w:t xml:space="preserve"> drobným úpravám, optimalizovaný variant ďalej uvažuje so </w:t>
      </w:r>
      <w:r w:rsidRPr="00930B46">
        <w:rPr>
          <w:rFonts w:cstheme="minorHAnsi"/>
        </w:rPr>
        <w:t>zriaden</w:t>
      </w:r>
      <w:r>
        <w:rPr>
          <w:rFonts w:cstheme="minorHAnsi"/>
        </w:rPr>
        <w:t>ím</w:t>
      </w:r>
      <w:r w:rsidRPr="00930B46">
        <w:rPr>
          <w:rFonts w:cstheme="minorHAnsi"/>
        </w:rPr>
        <w:t xml:space="preserve"> zastávky </w:t>
      </w:r>
      <w:r>
        <w:rPr>
          <w:rFonts w:cstheme="minorHAnsi"/>
        </w:rPr>
        <w:t xml:space="preserve">Terminálu integrovanej dopravy TIOP </w:t>
      </w:r>
      <w:r w:rsidRPr="00930B46">
        <w:rPr>
          <w:rFonts w:cstheme="minorHAnsi"/>
        </w:rPr>
        <w:t>Krásno nad Kysucou - mesto, rozšíren</w:t>
      </w:r>
      <w:r>
        <w:rPr>
          <w:rFonts w:cstheme="minorHAnsi"/>
        </w:rPr>
        <w:t>ím</w:t>
      </w:r>
      <w:r w:rsidRPr="00930B46">
        <w:rPr>
          <w:rFonts w:cstheme="minorHAnsi"/>
        </w:rPr>
        <w:t xml:space="preserve"> riešenia prístupových komunikácii a parkovacích miest </w:t>
      </w:r>
      <w:r>
        <w:rPr>
          <w:rFonts w:cstheme="minorHAnsi"/>
        </w:rPr>
        <w:t>k </w:t>
      </w:r>
      <w:r w:rsidRPr="004C6747">
        <w:rPr>
          <w:rFonts w:cstheme="minorHAnsi"/>
          <w:i/>
          <w:iCs/>
        </w:rPr>
        <w:t>TIOPu Krásno nad Kysucou - mesto</w:t>
      </w:r>
      <w:r w:rsidRPr="00930B46">
        <w:rPr>
          <w:rFonts w:cstheme="minorHAnsi"/>
        </w:rPr>
        <w:t xml:space="preserve"> podľa požiadaviek miestnej samosprávy</w:t>
      </w:r>
      <w:r w:rsidR="006270BC">
        <w:rPr>
          <w:rFonts w:cstheme="minorHAnsi"/>
        </w:rPr>
        <w:t>.</w:t>
      </w:r>
      <w:r w:rsidR="004C6747">
        <w:rPr>
          <w:rFonts w:cstheme="minorHAnsi"/>
        </w:rPr>
        <w:t xml:space="preserve"> </w:t>
      </w:r>
    </w:p>
    <w:p w14:paraId="6AD0D803" w14:textId="77777777" w:rsidR="006270BC" w:rsidRPr="00856D66" w:rsidRDefault="006270BC" w:rsidP="00931169">
      <w:pPr>
        <w:rPr>
          <w:rFonts w:cstheme="minorHAnsi"/>
          <w:b/>
          <w:bCs/>
        </w:rPr>
      </w:pPr>
    </w:p>
    <w:p w14:paraId="0F902D7D" w14:textId="77777777" w:rsidR="00FF0ABC" w:rsidRPr="00856D66" w:rsidRDefault="00FF0ABC" w:rsidP="0080507D">
      <w:pPr>
        <w:pStyle w:val="Odsekzoznamu"/>
        <w:numPr>
          <w:ilvl w:val="0"/>
          <w:numId w:val="70"/>
        </w:numPr>
        <w:jc w:val="both"/>
        <w:rPr>
          <w:rFonts w:cstheme="minorHAnsi"/>
          <w:b/>
          <w:bCs/>
        </w:rPr>
      </w:pPr>
      <w:r w:rsidRPr="00856D66">
        <w:rPr>
          <w:rFonts w:cstheme="minorHAnsi"/>
          <w:b/>
          <w:bCs/>
        </w:rPr>
        <w:t>etapa:  ŽST Čadca (žkm 279,8)</w:t>
      </w:r>
    </w:p>
    <w:p w14:paraId="19863F36" w14:textId="10ABA5D3" w:rsidR="006270BC" w:rsidRDefault="006270BC" w:rsidP="00931169">
      <w:r>
        <w:t>V ŽST Čadca je rozsah základnej modernizácie koľajiska navrhnutý podľa požiadaviek dopravy. V prílohe časti F – Doklady je uvedený „Plán obsadenia dopravných koľají ŽST Čadca“. Z neho a ďalej z návrhu dopravnej technológie pre projekt modernizácie je zrejmé, že súčasný počet dopravných koľají je využívaný pre výlukovú ale aj rutinnú prevádzku a nie je možné ho redukovať. Súčasný rozsah DK je vo špičkových obdobiach nedostatočný a spôsobuje meškania vlakov a znižovanie konkurencieschopnosti železničnej dopravy.</w:t>
      </w:r>
    </w:p>
    <w:p w14:paraId="7C8D90E2" w14:textId="77777777" w:rsidR="006270BC" w:rsidRDefault="006270BC" w:rsidP="00931169">
      <w:r>
        <w:t>Uvažovaný rozsah úprav je teda v celom rozsahu dopravných koľají železničnej stanice.</w:t>
      </w:r>
    </w:p>
    <w:p w14:paraId="171992C3" w14:textId="77777777" w:rsidR="006270BC" w:rsidRDefault="006270BC" w:rsidP="00931169"/>
    <w:p w14:paraId="6ADDE298" w14:textId="7D9F66A0" w:rsidR="00FF0ABC" w:rsidRPr="00FF0ABC" w:rsidRDefault="00FF0ABC" w:rsidP="0080507D">
      <w:pPr>
        <w:pStyle w:val="Odsekzoznamu"/>
        <w:numPr>
          <w:ilvl w:val="0"/>
          <w:numId w:val="70"/>
        </w:numPr>
        <w:jc w:val="both"/>
        <w:rPr>
          <w:rFonts w:cstheme="minorHAnsi"/>
          <w:b/>
          <w:bCs/>
        </w:rPr>
      </w:pPr>
      <w:r w:rsidRPr="00FF0ABC">
        <w:rPr>
          <w:rFonts w:cstheme="minorHAnsi"/>
          <w:b/>
          <w:bCs/>
        </w:rPr>
        <w:lastRenderedPageBreak/>
        <w:t>etapa:  ŽST Čadca (mimo) – št. hr. SR/ČR (žkm 279,150 – 284,340)</w:t>
      </w:r>
    </w:p>
    <w:p w14:paraId="6BF8BEF6" w14:textId="3CA975EF" w:rsidR="003755F4" w:rsidRDefault="00FF0ABC" w:rsidP="00931169">
      <w:pPr>
        <w:ind w:firstLine="708"/>
        <w:rPr>
          <w:rFonts w:cstheme="minorHAnsi"/>
        </w:rPr>
      </w:pPr>
      <w:r w:rsidRPr="00FF0ABC">
        <w:rPr>
          <w:rFonts w:cstheme="minorHAnsi"/>
        </w:rPr>
        <w:t>Modernizácia železničnej trate v medzistaničnom úseku ŽST Čadca (mimo) – št. hr. SR/ČR je uvažovaná v novej polohe, s výraznou preložkou v mieste zastávky Svrčinovec zastávka s rozsiahlym kotveným zárubným múrom, s novou lávkou pre cestujúcich, so sanáciou aktívnych zosuvov v dvoch lokalitách, s prestavbou súčasných žel. mostov, s vybudovaním ekomostu pre zver na migračnej trase</w:t>
      </w:r>
      <w:r w:rsidR="00501F79">
        <w:rPr>
          <w:rFonts w:cstheme="minorHAnsi"/>
        </w:rPr>
        <w:t>, tzn. v tejto et</w:t>
      </w:r>
      <w:r w:rsidR="00DD442A">
        <w:rPr>
          <w:rFonts w:cstheme="minorHAnsi"/>
        </w:rPr>
        <w:t xml:space="preserve">ape </w:t>
      </w:r>
      <w:r w:rsidR="00501F79">
        <w:rPr>
          <w:rFonts w:cstheme="minorHAnsi"/>
        </w:rPr>
        <w:t>sa uvažu</w:t>
      </w:r>
      <w:r w:rsidR="00DD442A">
        <w:rPr>
          <w:rFonts w:cstheme="minorHAnsi"/>
        </w:rPr>
        <w:t>je</w:t>
      </w:r>
      <w:r w:rsidR="00501F79">
        <w:rPr>
          <w:rFonts w:cstheme="minorHAnsi"/>
        </w:rPr>
        <w:t xml:space="preserve"> rovnaké techni</w:t>
      </w:r>
      <w:r w:rsidR="00DD442A">
        <w:rPr>
          <w:rFonts w:cstheme="minorHAnsi"/>
        </w:rPr>
        <w:t>ck</w:t>
      </w:r>
      <w:r w:rsidR="00501F79">
        <w:rPr>
          <w:rFonts w:cstheme="minorHAnsi"/>
        </w:rPr>
        <w:t>é riešenie popísané pre túto etapu č.3 vo Variante B.</w:t>
      </w:r>
    </w:p>
    <w:p w14:paraId="4C1E1BA1" w14:textId="3A16C61B" w:rsidR="00106A85" w:rsidRDefault="00106A85" w:rsidP="00931169">
      <w:pPr>
        <w:spacing w:after="200" w:line="276" w:lineRule="auto"/>
        <w:rPr>
          <w:rFonts w:cstheme="minorHAnsi"/>
        </w:rPr>
      </w:pPr>
      <w:r>
        <w:rPr>
          <w:rFonts w:cstheme="minorHAnsi"/>
        </w:rPr>
        <w:br w:type="page"/>
      </w:r>
    </w:p>
    <w:p w14:paraId="217EECBE" w14:textId="16CC6D57" w:rsidR="00FE79AB" w:rsidRDefault="00EF58C3" w:rsidP="00931169">
      <w:pPr>
        <w:pStyle w:val="Nadpis1"/>
        <w:rPr>
          <w:rFonts w:cstheme="minorHAnsi"/>
        </w:rPr>
      </w:pPr>
      <w:bookmarkStart w:id="46" w:name="_Toc88652927"/>
      <w:r w:rsidRPr="00930B46">
        <w:rPr>
          <w:rFonts w:cstheme="minorHAnsi"/>
        </w:rPr>
        <w:lastRenderedPageBreak/>
        <w:t>4.</w:t>
      </w:r>
      <w:r w:rsidRPr="00930B46">
        <w:rPr>
          <w:rFonts w:cstheme="minorHAnsi"/>
        </w:rPr>
        <w:tab/>
      </w:r>
      <w:r w:rsidR="00FE79AB" w:rsidRPr="00371DF9">
        <w:rPr>
          <w:rFonts w:cstheme="minorHAnsi"/>
          <w:caps/>
        </w:rPr>
        <w:t>Posúdenie odolnosti projektu voči dôsledkom zmeny klímy</w:t>
      </w:r>
      <w:bookmarkEnd w:id="46"/>
    </w:p>
    <w:p w14:paraId="28B4E556" w14:textId="77777777" w:rsidR="00BE690A" w:rsidRDefault="00BE690A" w:rsidP="00931169">
      <w:pPr>
        <w:ind w:firstLine="708"/>
        <w:rPr>
          <w:rFonts w:cs="Calibri"/>
        </w:rPr>
      </w:pPr>
      <w:bookmarkStart w:id="47" w:name="_Toc532822302"/>
      <w:r>
        <w:t>P</w:t>
      </w:r>
      <w:r w:rsidRPr="005E066F">
        <w:t xml:space="preserve">osúdenie </w:t>
      </w:r>
      <w:r>
        <w:t>odolnosti</w:t>
      </w:r>
      <w:r w:rsidRPr="005E066F">
        <w:t xml:space="preserve"> </w:t>
      </w:r>
      <w:r>
        <w:t>projektu voči dôsledkom zmeny klímy bolo spracované primárne podľa odporúčaní</w:t>
      </w:r>
      <w:r w:rsidRPr="005E066F">
        <w:t xml:space="preserve"> Metodickej príručky posudzovania dopadov zmeny klímy na </w:t>
      </w:r>
      <w:r w:rsidRPr="00F81DD8">
        <w:t>veľké projekty v sektore doprava (VÚD, 2018)</w:t>
      </w:r>
      <w:r>
        <w:t>, resp. podľa</w:t>
      </w:r>
      <w:r w:rsidRPr="00F81DD8">
        <w:t xml:space="preserve"> odporúčaní dokumentov Non-paper </w:t>
      </w:r>
      <w:r w:rsidRPr="00F81DD8">
        <w:rPr>
          <w:rFonts w:cs="Calibri"/>
        </w:rPr>
        <w:t xml:space="preserve">Guidelines for Project Managers: Making vulnerable investments climate resilient (EC DG Climate Action, 2009), Climate Change and Major Projects (EC DG Climate </w:t>
      </w:r>
      <w:r w:rsidRPr="00732BB8">
        <w:rPr>
          <w:rFonts w:cs="Calibri"/>
        </w:rPr>
        <w:t>Action, 2016</w:t>
      </w:r>
      <w:r w:rsidRPr="00F81DD8">
        <w:rPr>
          <w:rFonts w:cs="Calibri"/>
        </w:rPr>
        <w:t>) a The Basics of Climate Change Adaptation Vulnerability and Risk Assessment (JASPERS Guidance Note, 2017).</w:t>
      </w:r>
    </w:p>
    <w:p w14:paraId="3ECECCBD" w14:textId="77777777" w:rsidR="00BE690A" w:rsidRDefault="00BE690A" w:rsidP="00931169">
      <w:pPr>
        <w:rPr>
          <w:rFonts w:cs="Calibri"/>
        </w:rPr>
      </w:pPr>
      <w:r>
        <w:rPr>
          <w:rFonts w:cs="Calibri"/>
        </w:rPr>
        <w:t>Odolnosť projektu bola vyhodnotená pomocou viacerých krokov:</w:t>
      </w:r>
    </w:p>
    <w:p w14:paraId="1E9146DA" w14:textId="77777777" w:rsidR="00BE690A" w:rsidRDefault="00BE690A" w:rsidP="00931169">
      <w:pPr>
        <w:numPr>
          <w:ilvl w:val="0"/>
          <w:numId w:val="41"/>
        </w:numPr>
        <w:suppressAutoHyphens/>
        <w:ind w:left="714" w:hanging="357"/>
        <w:rPr>
          <w:rFonts w:cs="Calibri"/>
        </w:rPr>
      </w:pPr>
      <w:r>
        <w:rPr>
          <w:rFonts w:cs="Calibri"/>
        </w:rPr>
        <w:t>analýza citlivosti projektu</w:t>
      </w:r>
    </w:p>
    <w:p w14:paraId="4657EB04" w14:textId="77777777" w:rsidR="00BE690A" w:rsidRDefault="00BE690A" w:rsidP="00931169">
      <w:pPr>
        <w:numPr>
          <w:ilvl w:val="0"/>
          <w:numId w:val="41"/>
        </w:numPr>
        <w:suppressAutoHyphens/>
        <w:ind w:left="714" w:hanging="357"/>
        <w:rPr>
          <w:rFonts w:cs="Calibri"/>
        </w:rPr>
      </w:pPr>
      <w:r>
        <w:rPr>
          <w:rFonts w:cs="Calibri"/>
        </w:rPr>
        <w:t>analýza expozície a vývoja rizikových klimatických javov</w:t>
      </w:r>
    </w:p>
    <w:p w14:paraId="35DFDFC8" w14:textId="77777777" w:rsidR="00BE690A" w:rsidRDefault="00BE690A" w:rsidP="00931169">
      <w:pPr>
        <w:numPr>
          <w:ilvl w:val="0"/>
          <w:numId w:val="41"/>
        </w:numPr>
        <w:suppressAutoHyphens/>
        <w:ind w:left="714" w:hanging="357"/>
        <w:rPr>
          <w:rFonts w:cs="Calibri"/>
        </w:rPr>
      </w:pPr>
      <w:r>
        <w:rPr>
          <w:rFonts w:cs="Calibri"/>
        </w:rPr>
        <w:t xml:space="preserve">analýza zraniteľnosti projektu </w:t>
      </w:r>
    </w:p>
    <w:p w14:paraId="6898C1A3" w14:textId="77777777" w:rsidR="00BE690A" w:rsidRPr="00FD632E" w:rsidRDefault="00BE690A" w:rsidP="00931169">
      <w:pPr>
        <w:numPr>
          <w:ilvl w:val="0"/>
          <w:numId w:val="41"/>
        </w:numPr>
        <w:suppressAutoHyphens/>
        <w:ind w:left="714" w:hanging="357"/>
        <w:rPr>
          <w:rFonts w:cs="Calibri"/>
        </w:rPr>
      </w:pPr>
      <w:r w:rsidRPr="00FD632E">
        <w:rPr>
          <w:rFonts w:cs="Calibri"/>
        </w:rPr>
        <w:t>identifikácia rizikových klimatických faktorov a stanovenie miery rizika</w:t>
      </w:r>
    </w:p>
    <w:p w14:paraId="47497D14" w14:textId="77777777" w:rsidR="00BE690A" w:rsidRPr="00027B73" w:rsidRDefault="00BE690A" w:rsidP="00931169">
      <w:pPr>
        <w:ind w:firstLine="357"/>
        <w:rPr>
          <w:rFonts w:cs="Calibri"/>
        </w:rPr>
      </w:pPr>
      <w:r w:rsidRPr="00027B73">
        <w:rPr>
          <w:rFonts w:cs="Calibri"/>
        </w:rPr>
        <w:t>Návrh adaptačných opatrení pre klimatické faktory s vysokým rizikom je súčasťou rizikovej analýzy</w:t>
      </w:r>
      <w:r>
        <w:rPr>
          <w:rFonts w:cs="Calibri"/>
        </w:rPr>
        <w:t xml:space="preserve"> spracovanej pre projekt v kap. 6</w:t>
      </w:r>
      <w:r w:rsidRPr="00027B73">
        <w:rPr>
          <w:rFonts w:cs="Calibri"/>
        </w:rPr>
        <w:t>.</w:t>
      </w:r>
    </w:p>
    <w:p w14:paraId="69505390" w14:textId="77777777" w:rsidR="00BE690A" w:rsidRPr="00826296" w:rsidRDefault="00BE690A" w:rsidP="00931169">
      <w:pPr>
        <w:pStyle w:val="Nadpis2"/>
      </w:pPr>
      <w:bookmarkStart w:id="48" w:name="_Toc24659583"/>
      <w:bookmarkStart w:id="49" w:name="_Toc24660429"/>
      <w:bookmarkStart w:id="50" w:name="_Toc24661439"/>
      <w:bookmarkStart w:id="51" w:name="_Toc88652928"/>
      <w:r w:rsidRPr="00826296">
        <w:t xml:space="preserve">Hodnotené </w:t>
      </w:r>
      <w:r>
        <w:t>varianty</w:t>
      </w:r>
      <w:r w:rsidRPr="00826296">
        <w:t xml:space="preserve"> projektu:</w:t>
      </w:r>
      <w:bookmarkEnd w:id="48"/>
      <w:bookmarkEnd w:id="49"/>
      <w:bookmarkEnd w:id="50"/>
      <w:bookmarkEnd w:id="51"/>
    </w:p>
    <w:p w14:paraId="49A29959" w14:textId="77777777" w:rsidR="00BE690A" w:rsidRPr="00C92614" w:rsidRDefault="00BE690A" w:rsidP="00931169">
      <w:pPr>
        <w:ind w:firstLine="708"/>
      </w:pPr>
      <w:r>
        <w:t xml:space="preserve">Projekt je rozdelený na tri etapy, ktoré sú riešené variantne. </w:t>
      </w:r>
      <w:r w:rsidRPr="00C92614">
        <w:t xml:space="preserve">Vzhľadom na úroveň </w:t>
      </w:r>
      <w:r>
        <w:t>predkladanej štúdie</w:t>
      </w:r>
      <w:r w:rsidRPr="00C92614">
        <w:t xml:space="preserve"> bolo vykonané generalizované posúdenie odolnosti projektu voči dôsledkom zmeny klímy.</w:t>
      </w:r>
    </w:p>
    <w:p w14:paraId="7DE1C398" w14:textId="77777777" w:rsidR="00BE690A" w:rsidRDefault="00BE690A" w:rsidP="00931169">
      <w:pPr>
        <w:pStyle w:val="Nadpis2"/>
      </w:pPr>
      <w:bookmarkStart w:id="52" w:name="_Toc24659584"/>
      <w:bookmarkStart w:id="53" w:name="_Toc24660430"/>
      <w:bookmarkStart w:id="54" w:name="_Toc24661440"/>
      <w:bookmarkStart w:id="55" w:name="_Toc88652929"/>
      <w:r w:rsidRPr="007600F5">
        <w:t>Analýza citlivosti projektu na klimatické rizikové javy:</w:t>
      </w:r>
      <w:bookmarkEnd w:id="52"/>
      <w:bookmarkEnd w:id="53"/>
      <w:bookmarkEnd w:id="54"/>
      <w:bookmarkEnd w:id="55"/>
    </w:p>
    <w:p w14:paraId="59199D5F" w14:textId="77777777" w:rsidR="00BE690A" w:rsidRDefault="00BE690A" w:rsidP="00931169">
      <w:pPr>
        <w:keepNext/>
        <w:ind w:firstLine="708"/>
        <w:rPr>
          <w:rFonts w:cs="Calibri"/>
        </w:rPr>
      </w:pPr>
      <w:r>
        <w:t xml:space="preserve">Analýza citlivosti projektu spočíva v </w:t>
      </w:r>
      <w:r>
        <w:rPr>
          <w:rFonts w:cs="Calibri"/>
        </w:rPr>
        <w:t xml:space="preserve">stanovení miery citlivosti projektu na pôsobenie relevantných klimatických rizík z hľadiska stavebno-technického a prevádzkového riešenia projektu. Zvažované boli nasledujúce klimatické javy: </w:t>
      </w:r>
      <w:r w:rsidRPr="00FD2961">
        <w:rPr>
          <w:rFonts w:cs="Calibri"/>
        </w:rPr>
        <w:t>silný vietor, silné dažde, vysoké teploty, snehové javy, námrazové javy, búrkové javy, pov</w:t>
      </w:r>
      <w:r>
        <w:rPr>
          <w:rFonts w:cs="Calibri"/>
        </w:rPr>
        <w:t xml:space="preserve">odne, zosuvy, sucho </w:t>
      </w:r>
      <w:r w:rsidRPr="00FD2961">
        <w:rPr>
          <w:rFonts w:cs="Calibri"/>
        </w:rPr>
        <w:t>a</w:t>
      </w:r>
      <w:r>
        <w:rPr>
          <w:rFonts w:cs="Calibri"/>
        </w:rPr>
        <w:t> </w:t>
      </w:r>
      <w:r w:rsidRPr="00FD2961">
        <w:rPr>
          <w:rFonts w:cs="Calibri"/>
        </w:rPr>
        <w:t>hmly</w:t>
      </w:r>
      <w:r>
        <w:rPr>
          <w:rFonts w:cs="Calibri"/>
        </w:rPr>
        <w:t>.</w:t>
      </w:r>
    </w:p>
    <w:p w14:paraId="46B728CB" w14:textId="77777777" w:rsidR="00BE690A" w:rsidRDefault="00BE690A" w:rsidP="00931169">
      <w:pPr>
        <w:ind w:firstLine="708"/>
      </w:pPr>
      <w:r w:rsidRPr="0012779D">
        <w:t xml:space="preserve">Podkladom pre analýzu boli </w:t>
      </w:r>
      <w:r>
        <w:t xml:space="preserve">informácie o hodnotených variantoch projektu, údaje o vplyvoch </w:t>
      </w:r>
      <w:r w:rsidRPr="00C92614">
        <w:t>zmeny klímy na sektor dopravy (predovšetkým Miňďaš a kol., 2011; EC JRC, 2012; EEA Report, 2017)</w:t>
      </w:r>
      <w:r>
        <w:t xml:space="preserve"> a dostupné údaje z evidencie poruchových udalostí ŽSR spôsobených klimatickými vplyvmi</w:t>
      </w:r>
      <w:r w:rsidRPr="00C92614">
        <w:t>.</w:t>
      </w:r>
      <w:r>
        <w:t xml:space="preserve"> Vzhľadom na úroveň poznania konštrukčného riešenia variantov bol dôraz kladený na všeobecné konštrukčné a stavebné prvky líniovej stavby (žel. zvršok a spodok, tunely, mostné objekty – mosty, priepusty, podchody, nadjazdy, technologické zariadenia, cestné komunikácie). </w:t>
      </w:r>
    </w:p>
    <w:p w14:paraId="7BA4C112" w14:textId="0CCE0D9F" w:rsidR="00BE690A" w:rsidRDefault="00BE690A" w:rsidP="00931169">
      <w:pPr>
        <w:ind w:firstLine="708"/>
        <w:rPr>
          <w:rFonts w:cs="Calibri"/>
        </w:rPr>
      </w:pPr>
      <w:r>
        <w:rPr>
          <w:rFonts w:cs="Calibri"/>
        </w:rPr>
        <w:t>Pre jednotlivé rizikové klimatické javy boli identifikované ich potenciálne dopady a určená miera citlivosti žel. infraštruktúry a žel. prevádzky.</w:t>
      </w:r>
    </w:p>
    <w:p w14:paraId="57ED4E06" w14:textId="77777777" w:rsidR="00BE690A" w:rsidRDefault="00BE690A" w:rsidP="00931169">
      <w:pPr>
        <w:ind w:firstLine="708"/>
        <w:rPr>
          <w:rFonts w:cs="Calibri"/>
        </w:rPr>
      </w:pPr>
    </w:p>
    <w:p w14:paraId="7A8FBAC2" w14:textId="77777777" w:rsidR="00BE690A" w:rsidRPr="007B15B9" w:rsidRDefault="00BE690A" w:rsidP="00931169">
      <w:pPr>
        <w:rPr>
          <w:color w:val="FF0000"/>
        </w:rPr>
      </w:pPr>
      <w:r w:rsidRPr="00FD2961">
        <w:t xml:space="preserve">Využitá bola trojstupňová hodnotiaca škála citlivosti projektu:  </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1560"/>
        <w:gridCol w:w="7229"/>
      </w:tblGrid>
      <w:tr w:rsidR="00BE690A" w:rsidRPr="006C5E5C" w14:paraId="09B44B60" w14:textId="77777777" w:rsidTr="00BE690A">
        <w:tc>
          <w:tcPr>
            <w:tcW w:w="2127" w:type="dxa"/>
            <w:gridSpan w:val="2"/>
            <w:shd w:val="clear" w:color="auto" w:fill="auto"/>
          </w:tcPr>
          <w:p w14:paraId="76FCA1FA" w14:textId="77777777" w:rsidR="00BE690A" w:rsidRPr="00F659C0" w:rsidRDefault="00BE690A" w:rsidP="00931169">
            <w:pPr>
              <w:rPr>
                <w:rFonts w:eastAsia="Calibri"/>
                <w:b/>
                <w:sz w:val="18"/>
              </w:rPr>
            </w:pPr>
            <w:r w:rsidRPr="00F659C0">
              <w:rPr>
                <w:rFonts w:eastAsia="Calibri"/>
                <w:b/>
                <w:sz w:val="18"/>
              </w:rPr>
              <w:t>Miera citlivosti</w:t>
            </w:r>
          </w:p>
        </w:tc>
        <w:tc>
          <w:tcPr>
            <w:tcW w:w="7229" w:type="dxa"/>
            <w:shd w:val="clear" w:color="auto" w:fill="auto"/>
          </w:tcPr>
          <w:p w14:paraId="54DEFD9D" w14:textId="77777777" w:rsidR="00BE690A" w:rsidRPr="00F659C0" w:rsidRDefault="00BE690A" w:rsidP="00931169">
            <w:pPr>
              <w:rPr>
                <w:rFonts w:eastAsia="Calibri"/>
                <w:b/>
                <w:sz w:val="18"/>
              </w:rPr>
            </w:pPr>
            <w:r w:rsidRPr="00F659C0">
              <w:rPr>
                <w:rFonts w:eastAsia="Calibri"/>
                <w:b/>
                <w:sz w:val="18"/>
              </w:rPr>
              <w:t>Popis</w:t>
            </w:r>
          </w:p>
        </w:tc>
      </w:tr>
      <w:tr w:rsidR="00BE690A" w:rsidRPr="006C5E5C" w14:paraId="46CE91F4" w14:textId="77777777" w:rsidTr="00BE690A">
        <w:tc>
          <w:tcPr>
            <w:tcW w:w="567" w:type="dxa"/>
            <w:shd w:val="clear" w:color="auto" w:fill="D6E3BC" w:themeFill="accent3" w:themeFillTint="66"/>
            <w:vAlign w:val="center"/>
          </w:tcPr>
          <w:p w14:paraId="64BC6575" w14:textId="77777777" w:rsidR="00BE690A" w:rsidRPr="00F659C0" w:rsidRDefault="00BE690A" w:rsidP="00931169">
            <w:pPr>
              <w:rPr>
                <w:rFonts w:eastAsia="Calibri"/>
                <w:sz w:val="18"/>
              </w:rPr>
            </w:pPr>
            <w:r w:rsidRPr="00F659C0">
              <w:rPr>
                <w:rFonts w:eastAsia="Calibri"/>
                <w:sz w:val="18"/>
              </w:rPr>
              <w:t>1</w:t>
            </w:r>
          </w:p>
        </w:tc>
        <w:tc>
          <w:tcPr>
            <w:tcW w:w="1560" w:type="dxa"/>
            <w:shd w:val="clear" w:color="auto" w:fill="D6E3BC" w:themeFill="accent3" w:themeFillTint="66"/>
            <w:vAlign w:val="center"/>
          </w:tcPr>
          <w:p w14:paraId="2A8D3390" w14:textId="77777777" w:rsidR="00BE690A" w:rsidRPr="00F659C0" w:rsidRDefault="00BE690A" w:rsidP="00931169">
            <w:pPr>
              <w:rPr>
                <w:rFonts w:eastAsia="Calibri"/>
                <w:sz w:val="18"/>
              </w:rPr>
            </w:pPr>
            <w:r w:rsidRPr="00F659C0">
              <w:rPr>
                <w:rFonts w:eastAsia="Calibri"/>
                <w:sz w:val="18"/>
              </w:rPr>
              <w:t xml:space="preserve">žiadna až nízka </w:t>
            </w:r>
          </w:p>
        </w:tc>
        <w:tc>
          <w:tcPr>
            <w:tcW w:w="7229" w:type="dxa"/>
            <w:shd w:val="clear" w:color="auto" w:fill="auto"/>
          </w:tcPr>
          <w:p w14:paraId="05FFF109" w14:textId="77777777" w:rsidR="00BE690A" w:rsidRPr="00F659C0" w:rsidRDefault="00BE690A" w:rsidP="00931169">
            <w:pPr>
              <w:rPr>
                <w:rFonts w:eastAsia="Calibri"/>
                <w:sz w:val="18"/>
              </w:rPr>
            </w:pPr>
            <w:r w:rsidRPr="00F659C0">
              <w:rPr>
                <w:rFonts w:eastAsia="Calibri"/>
                <w:sz w:val="18"/>
              </w:rPr>
              <w:t>Klimatický jav nemá na projekt žiadny vplyv príp. počas jeho pôsobenia nie je projekt takmer vôbec ovplyvnený.</w:t>
            </w:r>
          </w:p>
        </w:tc>
      </w:tr>
      <w:tr w:rsidR="00BE690A" w:rsidRPr="006C5E5C" w14:paraId="5CE70E20" w14:textId="77777777" w:rsidTr="00BE690A">
        <w:tc>
          <w:tcPr>
            <w:tcW w:w="567" w:type="dxa"/>
            <w:shd w:val="clear" w:color="auto" w:fill="FFFF97"/>
            <w:vAlign w:val="center"/>
          </w:tcPr>
          <w:p w14:paraId="7DC21381" w14:textId="77777777" w:rsidR="00BE690A" w:rsidRPr="00F659C0" w:rsidRDefault="00BE690A" w:rsidP="00931169">
            <w:pPr>
              <w:rPr>
                <w:rFonts w:eastAsia="Calibri"/>
                <w:sz w:val="18"/>
              </w:rPr>
            </w:pPr>
            <w:r w:rsidRPr="00F659C0">
              <w:rPr>
                <w:rFonts w:eastAsia="Calibri"/>
                <w:sz w:val="18"/>
              </w:rPr>
              <w:t>2</w:t>
            </w:r>
          </w:p>
        </w:tc>
        <w:tc>
          <w:tcPr>
            <w:tcW w:w="1560" w:type="dxa"/>
            <w:shd w:val="clear" w:color="auto" w:fill="FFFF97"/>
            <w:vAlign w:val="center"/>
          </w:tcPr>
          <w:p w14:paraId="19734236" w14:textId="77777777" w:rsidR="00BE690A" w:rsidRPr="00F659C0" w:rsidRDefault="00BE690A" w:rsidP="00931169">
            <w:pPr>
              <w:rPr>
                <w:rFonts w:eastAsia="Calibri"/>
                <w:sz w:val="18"/>
              </w:rPr>
            </w:pPr>
            <w:r w:rsidRPr="00F659C0">
              <w:rPr>
                <w:rFonts w:eastAsia="Calibri"/>
                <w:sz w:val="18"/>
              </w:rPr>
              <w:t xml:space="preserve">mierna </w:t>
            </w:r>
          </w:p>
        </w:tc>
        <w:tc>
          <w:tcPr>
            <w:tcW w:w="7229" w:type="dxa"/>
            <w:shd w:val="clear" w:color="auto" w:fill="auto"/>
          </w:tcPr>
          <w:p w14:paraId="75BFDF51" w14:textId="77777777" w:rsidR="00BE690A" w:rsidRPr="00F659C0" w:rsidRDefault="00BE690A" w:rsidP="00931169">
            <w:pPr>
              <w:rPr>
                <w:rFonts w:eastAsia="Calibri"/>
                <w:sz w:val="18"/>
              </w:rPr>
            </w:pPr>
            <w:r w:rsidRPr="00F659C0">
              <w:rPr>
                <w:rFonts w:eastAsia="Calibri"/>
                <w:sz w:val="18"/>
              </w:rPr>
              <w:t>Projekt sa po skončení pôsobenia disturbancie spôsobenej klimatickým faktorom dokáže samostatne príp. s pomocou nenáročných opatrení prinavrátiť do pôvodného stavu.</w:t>
            </w:r>
          </w:p>
        </w:tc>
      </w:tr>
      <w:tr w:rsidR="00BE690A" w:rsidRPr="006C5E5C" w14:paraId="3EC2857A" w14:textId="77777777" w:rsidTr="00BE690A">
        <w:tc>
          <w:tcPr>
            <w:tcW w:w="567" w:type="dxa"/>
            <w:shd w:val="clear" w:color="auto" w:fill="FFA48F"/>
            <w:vAlign w:val="center"/>
          </w:tcPr>
          <w:p w14:paraId="2715CA74" w14:textId="77777777" w:rsidR="00BE690A" w:rsidRPr="00F659C0" w:rsidRDefault="00BE690A" w:rsidP="00931169">
            <w:pPr>
              <w:rPr>
                <w:rFonts w:eastAsia="Calibri"/>
                <w:sz w:val="18"/>
              </w:rPr>
            </w:pPr>
            <w:r w:rsidRPr="00F659C0">
              <w:rPr>
                <w:rFonts w:eastAsia="Calibri"/>
                <w:sz w:val="18"/>
              </w:rPr>
              <w:lastRenderedPageBreak/>
              <w:t>3</w:t>
            </w:r>
          </w:p>
        </w:tc>
        <w:tc>
          <w:tcPr>
            <w:tcW w:w="1560" w:type="dxa"/>
            <w:shd w:val="clear" w:color="auto" w:fill="FFA48F"/>
            <w:vAlign w:val="center"/>
          </w:tcPr>
          <w:p w14:paraId="0A047C0A" w14:textId="77777777" w:rsidR="00BE690A" w:rsidRPr="00F659C0" w:rsidRDefault="00BE690A" w:rsidP="00931169">
            <w:pPr>
              <w:rPr>
                <w:rFonts w:eastAsia="Calibri"/>
                <w:sz w:val="18"/>
              </w:rPr>
            </w:pPr>
            <w:r w:rsidRPr="00F659C0">
              <w:rPr>
                <w:rFonts w:eastAsia="Calibri"/>
                <w:sz w:val="18"/>
              </w:rPr>
              <w:t xml:space="preserve">významná </w:t>
            </w:r>
          </w:p>
        </w:tc>
        <w:tc>
          <w:tcPr>
            <w:tcW w:w="7229" w:type="dxa"/>
            <w:shd w:val="clear" w:color="auto" w:fill="auto"/>
          </w:tcPr>
          <w:p w14:paraId="69175270" w14:textId="77777777" w:rsidR="00BE690A" w:rsidRPr="00F659C0" w:rsidRDefault="00BE690A" w:rsidP="00931169">
            <w:pPr>
              <w:rPr>
                <w:rFonts w:eastAsia="Calibri"/>
                <w:sz w:val="18"/>
              </w:rPr>
            </w:pPr>
            <w:r w:rsidRPr="00F659C0">
              <w:rPr>
                <w:rFonts w:eastAsia="Calibri"/>
                <w:sz w:val="18"/>
              </w:rPr>
              <w:t>Predpokladá sa významná degradácia projektu a významné obmedzenie až zastavanie prevádzky dopravy, pričom obnovenie je možné výhradne s pomocou náročných opatrení a technických zásahov.</w:t>
            </w:r>
          </w:p>
        </w:tc>
      </w:tr>
    </w:tbl>
    <w:p w14:paraId="1A510055" w14:textId="77777777" w:rsidR="005940CA" w:rsidRDefault="005940CA" w:rsidP="00931169">
      <w:pPr>
        <w:keepNext/>
      </w:pPr>
    </w:p>
    <w:p w14:paraId="47877DA6" w14:textId="30CD8204" w:rsidR="00BE690A" w:rsidRPr="00FD2961" w:rsidRDefault="00BE690A" w:rsidP="00931169">
      <w:pPr>
        <w:keepNext/>
      </w:pPr>
      <w:r w:rsidRPr="00FD2961">
        <w:t xml:space="preserve">Výsledná tabuľka </w:t>
      </w:r>
      <w:r w:rsidR="005940CA">
        <w:t xml:space="preserve">6 </w:t>
      </w:r>
      <w:r w:rsidRPr="00FD2961">
        <w:t>citlivosti</w:t>
      </w:r>
      <w:r>
        <w:t xml:space="preserve"> projektu</w:t>
      </w:r>
      <w:r w:rsidRPr="00FD2961">
        <w:t>:</w:t>
      </w:r>
      <w:r>
        <w:t xml:space="preserve"> </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2694"/>
        <w:gridCol w:w="2378"/>
        <w:gridCol w:w="315"/>
        <w:gridCol w:w="2406"/>
        <w:gridCol w:w="284"/>
      </w:tblGrid>
      <w:tr w:rsidR="00BE690A" w:rsidRPr="00C92614" w14:paraId="551E44DD" w14:textId="77777777" w:rsidTr="00BE690A">
        <w:trPr>
          <w:tblHeader/>
          <w:jc w:val="center"/>
        </w:trPr>
        <w:tc>
          <w:tcPr>
            <w:tcW w:w="1274" w:type="dxa"/>
            <w:shd w:val="clear" w:color="auto" w:fill="auto"/>
            <w:vAlign w:val="center"/>
          </w:tcPr>
          <w:p w14:paraId="33EC2B76" w14:textId="77777777" w:rsidR="00BE690A" w:rsidRPr="00C92614" w:rsidRDefault="00BE690A" w:rsidP="00931169">
            <w:pPr>
              <w:keepNext/>
              <w:rPr>
                <w:rFonts w:cs="Calibri"/>
                <w:b/>
                <w:sz w:val="18"/>
                <w:szCs w:val="16"/>
              </w:rPr>
            </w:pPr>
            <w:r w:rsidRPr="00C92614">
              <w:rPr>
                <w:rFonts w:cs="Calibri"/>
                <w:b/>
                <w:sz w:val="18"/>
                <w:szCs w:val="16"/>
              </w:rPr>
              <w:t>Rizikový klimatický jav</w:t>
            </w:r>
          </w:p>
        </w:tc>
        <w:tc>
          <w:tcPr>
            <w:tcW w:w="2694" w:type="dxa"/>
            <w:shd w:val="clear" w:color="auto" w:fill="auto"/>
            <w:vAlign w:val="center"/>
          </w:tcPr>
          <w:p w14:paraId="064C25C3" w14:textId="77777777" w:rsidR="00BE690A" w:rsidRPr="00C92614" w:rsidRDefault="00BE690A" w:rsidP="00931169">
            <w:pPr>
              <w:keepNext/>
              <w:rPr>
                <w:rFonts w:cs="Calibri"/>
                <w:b/>
                <w:sz w:val="18"/>
                <w:szCs w:val="16"/>
              </w:rPr>
            </w:pPr>
            <w:r w:rsidRPr="00C92614">
              <w:rPr>
                <w:rFonts w:cs="Calibri"/>
                <w:b/>
                <w:sz w:val="18"/>
                <w:szCs w:val="16"/>
              </w:rPr>
              <w:t>Hlavné prejavy na žel. infraštruktúre</w:t>
            </w:r>
          </w:p>
        </w:tc>
        <w:tc>
          <w:tcPr>
            <w:tcW w:w="2693" w:type="dxa"/>
            <w:gridSpan w:val="2"/>
            <w:shd w:val="clear" w:color="auto" w:fill="auto"/>
            <w:vAlign w:val="center"/>
          </w:tcPr>
          <w:p w14:paraId="32515FCA" w14:textId="77777777" w:rsidR="00BE690A" w:rsidRPr="00C92614" w:rsidRDefault="00BE690A" w:rsidP="00931169">
            <w:pPr>
              <w:keepNext/>
              <w:rPr>
                <w:rFonts w:cs="Calibri"/>
                <w:b/>
                <w:sz w:val="18"/>
                <w:szCs w:val="16"/>
              </w:rPr>
            </w:pPr>
            <w:r w:rsidRPr="00C92614">
              <w:rPr>
                <w:rFonts w:cs="Calibri"/>
                <w:b/>
                <w:sz w:val="18"/>
                <w:szCs w:val="16"/>
              </w:rPr>
              <w:t>Citlivosť žel. infraštruktúry</w:t>
            </w:r>
          </w:p>
        </w:tc>
        <w:tc>
          <w:tcPr>
            <w:tcW w:w="2690" w:type="dxa"/>
            <w:gridSpan w:val="2"/>
            <w:shd w:val="clear" w:color="auto" w:fill="auto"/>
            <w:vAlign w:val="center"/>
          </w:tcPr>
          <w:p w14:paraId="76D499D4" w14:textId="77777777" w:rsidR="00BE690A" w:rsidRPr="005172E3" w:rsidRDefault="00BE690A" w:rsidP="00931169">
            <w:pPr>
              <w:keepNext/>
              <w:rPr>
                <w:rFonts w:cs="Calibri"/>
                <w:b/>
                <w:sz w:val="18"/>
                <w:szCs w:val="16"/>
              </w:rPr>
            </w:pPr>
            <w:r w:rsidRPr="005172E3">
              <w:rPr>
                <w:rFonts w:cs="Calibri"/>
                <w:b/>
                <w:sz w:val="18"/>
                <w:szCs w:val="16"/>
              </w:rPr>
              <w:t>Citlivosť žel. prevádzky</w:t>
            </w:r>
          </w:p>
        </w:tc>
      </w:tr>
      <w:tr w:rsidR="00BE690A" w:rsidRPr="00C92614" w14:paraId="34AD9CB9" w14:textId="77777777" w:rsidTr="00BE690A">
        <w:trPr>
          <w:jc w:val="center"/>
        </w:trPr>
        <w:tc>
          <w:tcPr>
            <w:tcW w:w="1274" w:type="dxa"/>
            <w:shd w:val="clear" w:color="auto" w:fill="auto"/>
          </w:tcPr>
          <w:p w14:paraId="0544AD07" w14:textId="77777777" w:rsidR="00BE690A" w:rsidRPr="00C92614" w:rsidRDefault="00BE690A" w:rsidP="00931169">
            <w:pPr>
              <w:rPr>
                <w:rFonts w:cs="Calibri"/>
                <w:sz w:val="16"/>
                <w:szCs w:val="16"/>
              </w:rPr>
            </w:pPr>
            <w:r w:rsidRPr="00C92614">
              <w:rPr>
                <w:rFonts w:cs="Calibri"/>
                <w:sz w:val="16"/>
                <w:szCs w:val="16"/>
              </w:rPr>
              <w:t>Silný vietor</w:t>
            </w:r>
          </w:p>
        </w:tc>
        <w:tc>
          <w:tcPr>
            <w:tcW w:w="2694" w:type="dxa"/>
          </w:tcPr>
          <w:p w14:paraId="36AE97BF" w14:textId="77777777" w:rsidR="00BE690A" w:rsidRPr="00C92614" w:rsidRDefault="00BE690A" w:rsidP="00931169">
            <w:pPr>
              <w:pStyle w:val="Odsekzoznamu"/>
              <w:keepNext/>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Lámanie vetiev a vyvracanie stromov </w:t>
            </w:r>
          </w:p>
          <w:p w14:paraId="630048AF" w14:textId="77777777" w:rsidR="00BE690A" w:rsidRPr="00C92614" w:rsidRDefault="00BE690A" w:rsidP="00931169">
            <w:pPr>
              <w:pStyle w:val="Odsekzoznamu"/>
              <w:keepNext/>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Unášanie materiálu</w:t>
            </w:r>
          </w:p>
          <w:p w14:paraId="1CF15AA9" w14:textId="77777777" w:rsidR="00BE690A" w:rsidRPr="00C92614" w:rsidRDefault="00BE690A" w:rsidP="00931169">
            <w:pPr>
              <w:pStyle w:val="Odsekzoznamu"/>
              <w:keepNext/>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Veterná erózia</w:t>
            </w:r>
          </w:p>
          <w:p w14:paraId="722FCD3F" w14:textId="77777777" w:rsidR="00BE690A" w:rsidRPr="00C92614" w:rsidRDefault="00BE690A" w:rsidP="00931169">
            <w:pPr>
              <w:pStyle w:val="Odsekzoznamu"/>
              <w:keepNext/>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Výpadky el. energie</w:t>
            </w:r>
          </w:p>
          <w:p w14:paraId="2EE1F182" w14:textId="77777777" w:rsidR="00BE690A" w:rsidRPr="00C92614" w:rsidRDefault="00BE690A" w:rsidP="00931169">
            <w:pPr>
              <w:pStyle w:val="Odsekzoznamu"/>
              <w:keepNext/>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Dynamický tlak vetra na pohybujúce sa vozidlá</w:t>
            </w:r>
          </w:p>
        </w:tc>
        <w:tc>
          <w:tcPr>
            <w:tcW w:w="2378" w:type="dxa"/>
            <w:shd w:val="clear" w:color="auto" w:fill="auto"/>
          </w:tcPr>
          <w:p w14:paraId="2CFAD960" w14:textId="77777777" w:rsidR="00BE690A" w:rsidRPr="00A41576" w:rsidRDefault="00BE690A" w:rsidP="00931169">
            <w:pPr>
              <w:pStyle w:val="Odsekzoznamu"/>
              <w:keepNext/>
              <w:numPr>
                <w:ilvl w:val="0"/>
                <w:numId w:val="37"/>
              </w:numPr>
              <w:spacing w:after="0" w:line="240" w:lineRule="auto"/>
              <w:ind w:left="175" w:hanging="142"/>
              <w:jc w:val="both"/>
              <w:rPr>
                <w:rFonts w:ascii="Calibri" w:hAnsi="Calibri" w:cs="Calibri"/>
                <w:sz w:val="16"/>
                <w:szCs w:val="16"/>
              </w:rPr>
            </w:pPr>
            <w:r w:rsidRPr="00A41576">
              <w:rPr>
                <w:rFonts w:ascii="Calibri" w:hAnsi="Calibri" w:cs="Calibri"/>
                <w:sz w:val="16"/>
                <w:szCs w:val="16"/>
              </w:rPr>
              <w:t>Pády konárov a stromov na trať a na trakčné vedenie</w:t>
            </w:r>
          </w:p>
          <w:p w14:paraId="2E7206DA" w14:textId="77777777" w:rsidR="00BE690A" w:rsidRPr="00A41576" w:rsidRDefault="00BE690A" w:rsidP="00931169">
            <w:pPr>
              <w:pStyle w:val="Odsekzoznamu"/>
              <w:keepNext/>
              <w:numPr>
                <w:ilvl w:val="0"/>
                <w:numId w:val="37"/>
              </w:numPr>
              <w:spacing w:after="0" w:line="240" w:lineRule="auto"/>
              <w:ind w:left="175" w:hanging="142"/>
              <w:jc w:val="both"/>
              <w:rPr>
                <w:rFonts w:ascii="Calibri" w:hAnsi="Calibri" w:cs="Calibri"/>
                <w:sz w:val="16"/>
                <w:szCs w:val="16"/>
              </w:rPr>
            </w:pPr>
            <w:r w:rsidRPr="00A41576">
              <w:rPr>
                <w:rFonts w:ascii="Calibri" w:hAnsi="Calibri" w:cs="Calibri"/>
                <w:sz w:val="16"/>
                <w:szCs w:val="16"/>
              </w:rPr>
              <w:t>Škody na budovách a majetku</w:t>
            </w:r>
          </w:p>
          <w:p w14:paraId="677D9DE7" w14:textId="77777777" w:rsidR="00BE690A" w:rsidRPr="00A41576" w:rsidRDefault="00BE690A" w:rsidP="00931169">
            <w:pPr>
              <w:pStyle w:val="Odsekzoznamu"/>
              <w:keepNext/>
              <w:spacing w:after="0" w:line="240" w:lineRule="auto"/>
              <w:ind w:left="175"/>
              <w:jc w:val="both"/>
              <w:rPr>
                <w:rFonts w:ascii="Calibri" w:hAnsi="Calibri" w:cs="Calibri"/>
                <w:sz w:val="16"/>
                <w:szCs w:val="16"/>
              </w:rPr>
            </w:pPr>
          </w:p>
        </w:tc>
        <w:tc>
          <w:tcPr>
            <w:tcW w:w="315" w:type="dxa"/>
            <w:shd w:val="clear" w:color="auto" w:fill="FFFF97"/>
          </w:tcPr>
          <w:p w14:paraId="591F9669" w14:textId="77777777" w:rsidR="00BE690A" w:rsidRPr="00C92614" w:rsidRDefault="00BE690A" w:rsidP="00931169">
            <w:pPr>
              <w:keepNext/>
              <w:rPr>
                <w:rFonts w:cs="Calibri"/>
                <w:color w:val="FF0000"/>
                <w:sz w:val="16"/>
                <w:szCs w:val="16"/>
              </w:rPr>
            </w:pPr>
            <w:r w:rsidRPr="005172E3">
              <w:rPr>
                <w:rFonts w:cs="Calibri"/>
                <w:sz w:val="16"/>
                <w:szCs w:val="16"/>
              </w:rPr>
              <w:t>2</w:t>
            </w:r>
          </w:p>
        </w:tc>
        <w:tc>
          <w:tcPr>
            <w:tcW w:w="2406" w:type="dxa"/>
            <w:shd w:val="clear" w:color="auto" w:fill="auto"/>
          </w:tcPr>
          <w:p w14:paraId="2BDA1EC6" w14:textId="77777777" w:rsidR="00BE690A" w:rsidRPr="00A41576" w:rsidRDefault="00BE690A" w:rsidP="00931169">
            <w:pPr>
              <w:pStyle w:val="Odsekzoznamu"/>
              <w:keepNext/>
              <w:numPr>
                <w:ilvl w:val="0"/>
                <w:numId w:val="37"/>
              </w:numPr>
              <w:spacing w:after="0" w:line="240" w:lineRule="auto"/>
              <w:ind w:left="175" w:hanging="141"/>
              <w:jc w:val="both"/>
              <w:rPr>
                <w:rFonts w:ascii="Calibri" w:hAnsi="Calibri" w:cs="Calibri"/>
                <w:sz w:val="16"/>
                <w:szCs w:val="16"/>
              </w:rPr>
            </w:pPr>
            <w:r w:rsidRPr="00A41576">
              <w:rPr>
                <w:rFonts w:ascii="Calibri" w:hAnsi="Calibri" w:cs="Calibri"/>
                <w:sz w:val="16"/>
                <w:szCs w:val="16"/>
              </w:rPr>
              <w:t xml:space="preserve">Zníženie bezpečnosti dopravy </w:t>
            </w:r>
          </w:p>
          <w:p w14:paraId="69DB6998" w14:textId="77777777" w:rsidR="00BE690A" w:rsidRPr="00A41576" w:rsidRDefault="00BE690A" w:rsidP="00931169">
            <w:pPr>
              <w:pStyle w:val="Odsekzoznamu"/>
              <w:keepNext/>
              <w:numPr>
                <w:ilvl w:val="0"/>
                <w:numId w:val="37"/>
              </w:numPr>
              <w:spacing w:after="0" w:line="240" w:lineRule="auto"/>
              <w:ind w:left="175" w:hanging="141"/>
              <w:jc w:val="both"/>
              <w:rPr>
                <w:rFonts w:ascii="Calibri" w:hAnsi="Calibri" w:cs="Calibri"/>
                <w:sz w:val="16"/>
                <w:szCs w:val="16"/>
              </w:rPr>
            </w:pPr>
            <w:r w:rsidRPr="00A41576">
              <w:rPr>
                <w:rFonts w:ascii="Calibri" w:hAnsi="Calibri" w:cs="Calibri"/>
                <w:sz w:val="16"/>
                <w:szCs w:val="16"/>
              </w:rPr>
              <w:t>Obmedzenie až úplné znemožnenie žel. dopravy</w:t>
            </w:r>
          </w:p>
        </w:tc>
        <w:tc>
          <w:tcPr>
            <w:tcW w:w="284" w:type="dxa"/>
            <w:shd w:val="clear" w:color="auto" w:fill="FFFF97"/>
          </w:tcPr>
          <w:p w14:paraId="216ED9FE" w14:textId="77777777" w:rsidR="00BE690A" w:rsidRPr="00A41576" w:rsidRDefault="00BE690A" w:rsidP="00931169">
            <w:pPr>
              <w:keepNext/>
              <w:rPr>
                <w:rFonts w:cs="Calibri"/>
                <w:sz w:val="16"/>
                <w:szCs w:val="16"/>
              </w:rPr>
            </w:pPr>
            <w:r w:rsidRPr="00A41576">
              <w:rPr>
                <w:rFonts w:cs="Calibri"/>
                <w:sz w:val="16"/>
                <w:szCs w:val="16"/>
              </w:rPr>
              <w:t>2</w:t>
            </w:r>
          </w:p>
        </w:tc>
      </w:tr>
      <w:tr w:rsidR="00BE690A" w:rsidRPr="00C92614" w14:paraId="40741B4C" w14:textId="77777777" w:rsidTr="00BE690A">
        <w:trPr>
          <w:jc w:val="center"/>
        </w:trPr>
        <w:tc>
          <w:tcPr>
            <w:tcW w:w="1274" w:type="dxa"/>
            <w:shd w:val="clear" w:color="auto" w:fill="auto"/>
          </w:tcPr>
          <w:p w14:paraId="03622892" w14:textId="77777777" w:rsidR="00BE690A" w:rsidRPr="00C92614" w:rsidRDefault="00BE690A" w:rsidP="00931169">
            <w:pPr>
              <w:rPr>
                <w:rFonts w:cs="Calibri"/>
                <w:sz w:val="16"/>
                <w:szCs w:val="16"/>
              </w:rPr>
            </w:pPr>
            <w:r w:rsidRPr="00C92614">
              <w:rPr>
                <w:rFonts w:cs="Calibri"/>
                <w:sz w:val="16"/>
                <w:szCs w:val="16"/>
              </w:rPr>
              <w:t>Silné dažde</w:t>
            </w:r>
          </w:p>
        </w:tc>
        <w:tc>
          <w:tcPr>
            <w:tcW w:w="2694" w:type="dxa"/>
          </w:tcPr>
          <w:p w14:paraId="67BB27D4"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Spomalenie odtoku</w:t>
            </w:r>
          </w:p>
          <w:p w14:paraId="11F3D21A"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Stúpanie hladín podzemnej vody</w:t>
            </w:r>
          </w:p>
          <w:p w14:paraId="51CFDA01" w14:textId="77777777" w:rsidR="00BE690A" w:rsidRPr="00A41576"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Záplavy</w:t>
            </w:r>
          </w:p>
          <w:p w14:paraId="2DEB38CC"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Pr>
                <w:rFonts w:ascii="Calibri" w:hAnsi="Calibri" w:cs="Calibri"/>
                <w:sz w:val="16"/>
                <w:szCs w:val="16"/>
              </w:rPr>
              <w:t>Erózia pôdy</w:t>
            </w:r>
          </w:p>
          <w:p w14:paraId="33EEBB2F"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Narušenie stability svahov</w:t>
            </w:r>
          </w:p>
          <w:p w14:paraId="688FC214" w14:textId="77777777" w:rsidR="00BE690A" w:rsidRPr="00A41576"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A41576">
              <w:rPr>
                <w:rFonts w:ascii="Calibri" w:hAnsi="Calibri" w:cs="Calibri"/>
                <w:sz w:val="16"/>
                <w:szCs w:val="16"/>
              </w:rPr>
              <w:t>Korózia kovových častí žel. infraštruktúry vrátane stĺpov TV</w:t>
            </w:r>
          </w:p>
          <w:p w14:paraId="6E156875" w14:textId="77777777" w:rsidR="00BE690A" w:rsidRPr="00C92614" w:rsidRDefault="00BE690A" w:rsidP="00931169">
            <w:pPr>
              <w:pStyle w:val="Odsekzoznamu"/>
              <w:spacing w:after="0" w:line="240" w:lineRule="auto"/>
              <w:ind w:left="70"/>
              <w:jc w:val="both"/>
              <w:rPr>
                <w:rFonts w:ascii="Calibri" w:hAnsi="Calibri" w:cs="Calibri"/>
                <w:sz w:val="16"/>
                <w:szCs w:val="16"/>
              </w:rPr>
            </w:pPr>
          </w:p>
        </w:tc>
        <w:tc>
          <w:tcPr>
            <w:tcW w:w="2378" w:type="dxa"/>
            <w:shd w:val="clear" w:color="auto" w:fill="auto"/>
          </w:tcPr>
          <w:p w14:paraId="46553F9F" w14:textId="77777777" w:rsidR="00BE690A" w:rsidRPr="00A41576"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A41576">
              <w:rPr>
                <w:rFonts w:ascii="Calibri" w:hAnsi="Calibri" w:cs="Calibri"/>
                <w:sz w:val="16"/>
                <w:szCs w:val="16"/>
              </w:rPr>
              <w:t>Zaplavenie žel. trate alebo jej podmytie</w:t>
            </w:r>
          </w:p>
          <w:p w14:paraId="4F769EFD" w14:textId="77777777" w:rsidR="00BE690A" w:rsidRPr="00A41576"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A41576">
              <w:rPr>
                <w:rFonts w:ascii="Calibri" w:hAnsi="Calibri" w:cs="Calibri"/>
                <w:sz w:val="16"/>
                <w:szCs w:val="16"/>
              </w:rPr>
              <w:t>Zníženie stability žel. násypu</w:t>
            </w:r>
          </w:p>
          <w:p w14:paraId="14BE1CCA" w14:textId="77777777" w:rsidR="00BE690A" w:rsidRPr="00A41576" w:rsidRDefault="00BE690A" w:rsidP="00931169">
            <w:pPr>
              <w:pStyle w:val="Odsekzoznamu"/>
              <w:numPr>
                <w:ilvl w:val="0"/>
                <w:numId w:val="37"/>
              </w:numPr>
              <w:spacing w:after="0" w:line="240" w:lineRule="auto"/>
              <w:ind w:left="175" w:hanging="142"/>
              <w:jc w:val="both"/>
              <w:rPr>
                <w:rFonts w:ascii="Calibri" w:hAnsi="Calibri" w:cs="Calibri"/>
                <w:sz w:val="16"/>
                <w:szCs w:val="16"/>
              </w:rPr>
            </w:pPr>
            <w:r>
              <w:rPr>
                <w:rFonts w:ascii="Calibri" w:hAnsi="Calibri" w:cs="Calibri"/>
                <w:sz w:val="16"/>
                <w:szCs w:val="16"/>
              </w:rPr>
              <w:t>Vznik zosuvov</w:t>
            </w:r>
          </w:p>
          <w:p w14:paraId="5C6332CB" w14:textId="77777777" w:rsidR="00BE690A" w:rsidRPr="00A41576"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A41576">
              <w:rPr>
                <w:rFonts w:ascii="Calibri" w:hAnsi="Calibri" w:cs="Calibri"/>
                <w:sz w:val="16"/>
                <w:szCs w:val="16"/>
              </w:rPr>
              <w:t>Zníženie prietokov odvodňovacích systémov</w:t>
            </w:r>
          </w:p>
        </w:tc>
        <w:tc>
          <w:tcPr>
            <w:tcW w:w="315" w:type="dxa"/>
            <w:shd w:val="clear" w:color="auto" w:fill="D6E3BC"/>
          </w:tcPr>
          <w:p w14:paraId="64A0858A" w14:textId="77777777" w:rsidR="00BE690A" w:rsidRPr="00C92614" w:rsidRDefault="00BE690A" w:rsidP="00931169">
            <w:pPr>
              <w:rPr>
                <w:rFonts w:cs="Calibri"/>
                <w:color w:val="FF0000"/>
                <w:sz w:val="16"/>
                <w:szCs w:val="16"/>
              </w:rPr>
            </w:pPr>
            <w:r w:rsidRPr="00A41576">
              <w:rPr>
                <w:rFonts w:cs="Calibri"/>
                <w:sz w:val="16"/>
                <w:szCs w:val="16"/>
              </w:rPr>
              <w:t>1</w:t>
            </w:r>
            <w:r>
              <w:rPr>
                <w:rFonts w:cs="Calibri"/>
                <w:color w:val="FF0000"/>
                <w:sz w:val="16"/>
                <w:szCs w:val="16"/>
              </w:rPr>
              <w:br/>
            </w:r>
          </w:p>
        </w:tc>
        <w:tc>
          <w:tcPr>
            <w:tcW w:w="2406" w:type="dxa"/>
            <w:shd w:val="clear" w:color="auto" w:fill="auto"/>
          </w:tcPr>
          <w:p w14:paraId="7D2FD945" w14:textId="77777777" w:rsidR="00BE690A" w:rsidRPr="00A41576" w:rsidRDefault="00BE690A" w:rsidP="00931169">
            <w:pPr>
              <w:pStyle w:val="Odsekzoznamu"/>
              <w:keepNext/>
              <w:numPr>
                <w:ilvl w:val="0"/>
                <w:numId w:val="37"/>
              </w:numPr>
              <w:spacing w:after="0" w:line="240" w:lineRule="auto"/>
              <w:ind w:left="175" w:hanging="141"/>
              <w:jc w:val="both"/>
              <w:rPr>
                <w:rFonts w:ascii="Calibri" w:hAnsi="Calibri" w:cs="Calibri"/>
                <w:sz w:val="16"/>
                <w:szCs w:val="16"/>
              </w:rPr>
            </w:pPr>
            <w:r w:rsidRPr="00A41576">
              <w:rPr>
                <w:rFonts w:ascii="Calibri" w:hAnsi="Calibri" w:cs="Calibri"/>
                <w:sz w:val="16"/>
                <w:szCs w:val="16"/>
              </w:rPr>
              <w:t xml:space="preserve">Zvýšenie nákladov na údržbu </w:t>
            </w:r>
          </w:p>
          <w:p w14:paraId="2FAF199D" w14:textId="77777777" w:rsidR="00BE690A" w:rsidRPr="00A41576" w:rsidRDefault="00BE690A" w:rsidP="00931169">
            <w:pPr>
              <w:pStyle w:val="Odsekzoznamu"/>
              <w:keepNext/>
              <w:numPr>
                <w:ilvl w:val="0"/>
                <w:numId w:val="37"/>
              </w:numPr>
              <w:spacing w:after="0" w:line="240" w:lineRule="auto"/>
              <w:ind w:left="175" w:hanging="141"/>
              <w:jc w:val="both"/>
              <w:rPr>
                <w:rFonts w:ascii="Calibri" w:hAnsi="Calibri" w:cs="Calibri"/>
                <w:sz w:val="16"/>
                <w:szCs w:val="16"/>
              </w:rPr>
            </w:pPr>
            <w:r w:rsidRPr="00A41576">
              <w:rPr>
                <w:rFonts w:ascii="Calibri" w:hAnsi="Calibri" w:cs="Calibri"/>
                <w:sz w:val="16"/>
                <w:szCs w:val="16"/>
              </w:rPr>
              <w:t xml:space="preserve">Zníženie rýchlosti prejazdov </w:t>
            </w:r>
          </w:p>
          <w:p w14:paraId="6B766517" w14:textId="77777777" w:rsidR="00BE690A" w:rsidRPr="00A41576" w:rsidRDefault="00BE690A" w:rsidP="00931169">
            <w:pPr>
              <w:pStyle w:val="Odsekzoznamu"/>
              <w:keepNext/>
              <w:numPr>
                <w:ilvl w:val="0"/>
                <w:numId w:val="37"/>
              </w:numPr>
              <w:spacing w:after="0" w:line="240" w:lineRule="auto"/>
              <w:ind w:left="175" w:hanging="141"/>
              <w:jc w:val="both"/>
              <w:rPr>
                <w:rFonts w:ascii="Calibri" w:hAnsi="Calibri" w:cs="Calibri"/>
                <w:sz w:val="16"/>
                <w:szCs w:val="16"/>
              </w:rPr>
            </w:pPr>
            <w:r w:rsidRPr="00A41576">
              <w:rPr>
                <w:rFonts w:ascii="Calibri" w:hAnsi="Calibri" w:cs="Calibri"/>
                <w:sz w:val="16"/>
                <w:szCs w:val="16"/>
              </w:rPr>
              <w:t>Obmedzenie až úplné znemožnenie žel. dopravy</w:t>
            </w:r>
          </w:p>
          <w:p w14:paraId="38110104" w14:textId="77777777" w:rsidR="00BE690A" w:rsidRPr="00A41576" w:rsidRDefault="00BE690A" w:rsidP="00931169">
            <w:pPr>
              <w:pStyle w:val="Odsekzoznamu"/>
              <w:spacing w:after="0" w:line="240" w:lineRule="auto"/>
              <w:ind w:left="175"/>
              <w:jc w:val="both"/>
              <w:rPr>
                <w:rFonts w:ascii="Calibri" w:hAnsi="Calibri" w:cs="Calibri"/>
                <w:sz w:val="16"/>
                <w:szCs w:val="16"/>
              </w:rPr>
            </w:pPr>
          </w:p>
        </w:tc>
        <w:tc>
          <w:tcPr>
            <w:tcW w:w="284" w:type="dxa"/>
            <w:shd w:val="clear" w:color="auto" w:fill="D6E3BC"/>
          </w:tcPr>
          <w:p w14:paraId="7F60D263" w14:textId="77777777" w:rsidR="00BE690A" w:rsidRPr="00A41576" w:rsidRDefault="00BE690A" w:rsidP="00931169">
            <w:pPr>
              <w:rPr>
                <w:rFonts w:cs="Calibri"/>
                <w:sz w:val="16"/>
                <w:szCs w:val="16"/>
              </w:rPr>
            </w:pPr>
            <w:r w:rsidRPr="00A41576">
              <w:rPr>
                <w:rFonts w:cs="Calibri"/>
                <w:sz w:val="16"/>
                <w:szCs w:val="16"/>
              </w:rPr>
              <w:t>1</w:t>
            </w:r>
          </w:p>
        </w:tc>
      </w:tr>
      <w:tr w:rsidR="00BE690A" w:rsidRPr="00C92614" w14:paraId="54BD5C03" w14:textId="77777777" w:rsidTr="00BE690A">
        <w:trPr>
          <w:jc w:val="center"/>
        </w:trPr>
        <w:tc>
          <w:tcPr>
            <w:tcW w:w="1274" w:type="dxa"/>
            <w:shd w:val="clear" w:color="auto" w:fill="auto"/>
          </w:tcPr>
          <w:p w14:paraId="41480BD9" w14:textId="77777777" w:rsidR="00BE690A" w:rsidRPr="00C92614" w:rsidRDefault="00BE690A" w:rsidP="00931169">
            <w:pPr>
              <w:rPr>
                <w:rFonts w:cs="Calibri"/>
                <w:sz w:val="16"/>
                <w:szCs w:val="16"/>
              </w:rPr>
            </w:pPr>
            <w:r w:rsidRPr="00C92614">
              <w:rPr>
                <w:rFonts w:cs="Calibri"/>
                <w:sz w:val="16"/>
                <w:szCs w:val="16"/>
              </w:rPr>
              <w:t>Vysoké teploty</w:t>
            </w:r>
          </w:p>
        </w:tc>
        <w:tc>
          <w:tcPr>
            <w:tcW w:w="2694" w:type="dxa"/>
          </w:tcPr>
          <w:p w14:paraId="03FB6A7D"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Náhle zmeny teplôt </w:t>
            </w:r>
          </w:p>
          <w:p w14:paraId="5F30EB0A"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Intenzívne slnečné žiarenie </w:t>
            </w:r>
          </w:p>
          <w:p w14:paraId="72B5D039"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Zmeny kvalitatívnych vlastností niektorých materiálov</w:t>
            </w:r>
          </w:p>
          <w:p w14:paraId="440202A2"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Zmeny vlastností trakčného vedenia</w:t>
            </w:r>
          </w:p>
          <w:p w14:paraId="1C2BD84C"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Problémy technologických zariadení</w:t>
            </w:r>
          </w:p>
          <w:p w14:paraId="59158E1C" w14:textId="77777777" w:rsidR="00BE690A" w:rsidRPr="00C92614" w:rsidRDefault="00BE690A" w:rsidP="00931169">
            <w:pPr>
              <w:pStyle w:val="Odsekzoznamu"/>
              <w:spacing w:after="0" w:line="240" w:lineRule="auto"/>
              <w:ind w:left="70"/>
              <w:jc w:val="both"/>
              <w:rPr>
                <w:rFonts w:ascii="Calibri" w:hAnsi="Calibri" w:cs="Calibri"/>
                <w:sz w:val="16"/>
                <w:szCs w:val="16"/>
              </w:rPr>
            </w:pPr>
          </w:p>
        </w:tc>
        <w:tc>
          <w:tcPr>
            <w:tcW w:w="2378" w:type="dxa"/>
            <w:shd w:val="clear" w:color="auto" w:fill="auto"/>
          </w:tcPr>
          <w:p w14:paraId="2AF9B259" w14:textId="77777777" w:rsidR="00BE690A" w:rsidRPr="00EC741F"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A41576">
              <w:rPr>
                <w:rFonts w:ascii="Calibri" w:hAnsi="Calibri" w:cs="Calibri"/>
                <w:sz w:val="16"/>
                <w:szCs w:val="16"/>
              </w:rPr>
              <w:t xml:space="preserve">Problémy </w:t>
            </w:r>
            <w:r>
              <w:rPr>
                <w:rFonts w:ascii="Calibri" w:hAnsi="Calibri" w:cs="Calibri"/>
                <w:sz w:val="16"/>
                <w:szCs w:val="16"/>
              </w:rPr>
              <w:t>oznamovacích a zabezpečovacích zariadení</w:t>
            </w:r>
          </w:p>
          <w:p w14:paraId="483BC292" w14:textId="77777777" w:rsidR="00BE690A" w:rsidRPr="00EC741F"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EC741F">
              <w:rPr>
                <w:rFonts w:ascii="Calibri" w:hAnsi="Calibri" w:cs="Calibri"/>
                <w:sz w:val="16"/>
                <w:szCs w:val="16"/>
              </w:rPr>
              <w:t xml:space="preserve">Problémy signalizácie </w:t>
            </w:r>
          </w:p>
          <w:p w14:paraId="37A42465" w14:textId="77777777" w:rsidR="00BE690A" w:rsidRPr="00A41576" w:rsidRDefault="00BE690A" w:rsidP="00931169">
            <w:pPr>
              <w:pStyle w:val="Odsekzoznamu"/>
              <w:numPr>
                <w:ilvl w:val="0"/>
                <w:numId w:val="37"/>
              </w:numPr>
              <w:spacing w:after="0" w:line="240" w:lineRule="auto"/>
              <w:ind w:left="175" w:hanging="142"/>
              <w:jc w:val="both"/>
              <w:rPr>
                <w:rFonts w:ascii="Calibri" w:hAnsi="Calibri" w:cs="Calibri"/>
                <w:sz w:val="16"/>
                <w:szCs w:val="16"/>
              </w:rPr>
            </w:pPr>
            <w:r>
              <w:rPr>
                <w:rFonts w:ascii="Calibri" w:hAnsi="Calibri" w:cs="Calibri"/>
                <w:sz w:val="16"/>
                <w:szCs w:val="16"/>
              </w:rPr>
              <w:t>Zvýšenie rozťažnosti trakčného vedenia</w:t>
            </w:r>
          </w:p>
          <w:p w14:paraId="2F1509DD" w14:textId="77777777" w:rsidR="00BE690A" w:rsidRPr="00A41576"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A41576">
              <w:rPr>
                <w:rFonts w:ascii="Calibri" w:hAnsi="Calibri" w:cs="Calibri"/>
                <w:sz w:val="16"/>
                <w:szCs w:val="16"/>
              </w:rPr>
              <w:t>Ko</w:t>
            </w:r>
            <w:r>
              <w:rPr>
                <w:rFonts w:ascii="Calibri" w:hAnsi="Calibri" w:cs="Calibri"/>
                <w:sz w:val="16"/>
                <w:szCs w:val="16"/>
              </w:rPr>
              <w:t>lísanie napätia el. prúdu na trakčnom vedení</w:t>
            </w:r>
          </w:p>
          <w:p w14:paraId="55282E96" w14:textId="77777777" w:rsidR="00BE690A" w:rsidRPr="00EC741F"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EC741F">
              <w:rPr>
                <w:rFonts w:ascii="Calibri" w:hAnsi="Calibri" w:cs="Calibri"/>
                <w:sz w:val="16"/>
                <w:szCs w:val="16"/>
              </w:rPr>
              <w:t>Prehrievanie a rozťahovanie materiálov</w:t>
            </w:r>
          </w:p>
          <w:p w14:paraId="01901F64" w14:textId="77777777" w:rsidR="00BE690A" w:rsidRPr="00EC741F"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EC741F">
              <w:rPr>
                <w:rFonts w:ascii="Calibri" w:hAnsi="Calibri" w:cs="Calibri"/>
                <w:sz w:val="16"/>
                <w:szCs w:val="16"/>
              </w:rPr>
              <w:t>Poruchy vo výhybkách</w:t>
            </w:r>
          </w:p>
        </w:tc>
        <w:tc>
          <w:tcPr>
            <w:tcW w:w="315" w:type="dxa"/>
            <w:shd w:val="clear" w:color="auto" w:fill="FFFF97"/>
          </w:tcPr>
          <w:p w14:paraId="1110EC37" w14:textId="77777777" w:rsidR="00BE690A" w:rsidRPr="00C92614" w:rsidRDefault="00BE690A" w:rsidP="00931169">
            <w:pPr>
              <w:rPr>
                <w:rFonts w:cs="Calibri"/>
                <w:color w:val="FF0000"/>
                <w:sz w:val="16"/>
                <w:szCs w:val="16"/>
              </w:rPr>
            </w:pPr>
            <w:r>
              <w:rPr>
                <w:rFonts w:cs="Calibri"/>
                <w:sz w:val="16"/>
                <w:szCs w:val="16"/>
              </w:rPr>
              <w:t>2</w:t>
            </w:r>
          </w:p>
        </w:tc>
        <w:tc>
          <w:tcPr>
            <w:tcW w:w="2406" w:type="dxa"/>
            <w:shd w:val="clear" w:color="auto" w:fill="auto"/>
          </w:tcPr>
          <w:p w14:paraId="5142A5E4" w14:textId="77777777" w:rsidR="00BE690A" w:rsidRPr="00EC741F"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EC741F">
              <w:rPr>
                <w:rFonts w:ascii="Calibri" w:hAnsi="Calibri" w:cs="Calibri"/>
                <w:sz w:val="16"/>
                <w:szCs w:val="16"/>
              </w:rPr>
              <w:t>Zníženie rýchlosti prejazdov</w:t>
            </w:r>
          </w:p>
          <w:p w14:paraId="04E2EBBE" w14:textId="77777777" w:rsidR="00BE690A" w:rsidRPr="00EC741F" w:rsidRDefault="00BE690A" w:rsidP="00931169">
            <w:pPr>
              <w:pStyle w:val="Odsekzoznamu"/>
              <w:keepNext/>
              <w:numPr>
                <w:ilvl w:val="0"/>
                <w:numId w:val="37"/>
              </w:numPr>
              <w:spacing w:after="0" w:line="240" w:lineRule="auto"/>
              <w:ind w:left="175" w:hanging="141"/>
              <w:jc w:val="both"/>
              <w:rPr>
                <w:rFonts w:ascii="Calibri" w:hAnsi="Calibri" w:cs="Calibri"/>
                <w:sz w:val="16"/>
                <w:szCs w:val="16"/>
              </w:rPr>
            </w:pPr>
            <w:r w:rsidRPr="00EC741F">
              <w:rPr>
                <w:rFonts w:ascii="Calibri" w:hAnsi="Calibri" w:cs="Calibri"/>
                <w:sz w:val="16"/>
                <w:szCs w:val="16"/>
              </w:rPr>
              <w:t>Obmedzenie až úplné znemožnenie žel. dopravy</w:t>
            </w:r>
          </w:p>
          <w:p w14:paraId="107A93F8" w14:textId="77777777" w:rsidR="00BE690A" w:rsidRPr="00EC741F"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EC741F">
              <w:rPr>
                <w:rFonts w:ascii="Calibri" w:hAnsi="Calibri" w:cs="Calibri"/>
                <w:sz w:val="16"/>
                <w:szCs w:val="16"/>
              </w:rPr>
              <w:t>Zvýšenie nákladov na údržbu</w:t>
            </w:r>
          </w:p>
          <w:p w14:paraId="498B508F" w14:textId="77777777" w:rsidR="00BE690A" w:rsidRPr="00EC741F" w:rsidRDefault="00BE690A" w:rsidP="00931169">
            <w:pPr>
              <w:pStyle w:val="Odsekzoznamu"/>
              <w:spacing w:after="0" w:line="240" w:lineRule="auto"/>
              <w:ind w:left="175"/>
              <w:jc w:val="both"/>
              <w:rPr>
                <w:rFonts w:ascii="Calibri" w:hAnsi="Calibri" w:cs="Calibri"/>
                <w:sz w:val="16"/>
                <w:szCs w:val="16"/>
              </w:rPr>
            </w:pPr>
          </w:p>
        </w:tc>
        <w:tc>
          <w:tcPr>
            <w:tcW w:w="284" w:type="dxa"/>
            <w:shd w:val="clear" w:color="auto" w:fill="D6E3BC" w:themeFill="accent3" w:themeFillTint="66"/>
          </w:tcPr>
          <w:p w14:paraId="009E5206" w14:textId="77777777" w:rsidR="00BE690A" w:rsidRPr="00C92614" w:rsidRDefault="00BE690A" w:rsidP="00931169">
            <w:pPr>
              <w:rPr>
                <w:rFonts w:cs="Calibri"/>
                <w:color w:val="FF0000"/>
                <w:sz w:val="16"/>
                <w:szCs w:val="16"/>
              </w:rPr>
            </w:pPr>
            <w:r w:rsidRPr="00A41576">
              <w:rPr>
                <w:rFonts w:cs="Calibri"/>
                <w:sz w:val="16"/>
                <w:szCs w:val="16"/>
              </w:rPr>
              <w:t>1</w:t>
            </w:r>
          </w:p>
        </w:tc>
      </w:tr>
      <w:tr w:rsidR="00BE690A" w:rsidRPr="00C92614" w14:paraId="41FA1A1D" w14:textId="77777777" w:rsidTr="00BE690A">
        <w:trPr>
          <w:jc w:val="center"/>
        </w:trPr>
        <w:tc>
          <w:tcPr>
            <w:tcW w:w="1274" w:type="dxa"/>
            <w:shd w:val="clear" w:color="auto" w:fill="auto"/>
          </w:tcPr>
          <w:p w14:paraId="7F7FC2E4" w14:textId="77777777" w:rsidR="00BE690A" w:rsidRPr="00C92614" w:rsidRDefault="00BE690A" w:rsidP="00931169">
            <w:pPr>
              <w:rPr>
                <w:rFonts w:cs="Calibri"/>
                <w:sz w:val="16"/>
                <w:szCs w:val="16"/>
              </w:rPr>
            </w:pPr>
            <w:r w:rsidRPr="00C92614">
              <w:rPr>
                <w:rFonts w:cs="Calibri"/>
                <w:sz w:val="16"/>
                <w:szCs w:val="16"/>
              </w:rPr>
              <w:t xml:space="preserve">Snehové javy </w:t>
            </w:r>
          </w:p>
        </w:tc>
        <w:tc>
          <w:tcPr>
            <w:tcW w:w="2694" w:type="dxa"/>
          </w:tcPr>
          <w:p w14:paraId="6364AE65"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Zníženie dohľadnosti hustým snežením</w:t>
            </w:r>
          </w:p>
          <w:p w14:paraId="2883456A"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Usádzanie snehu na predmetoch</w:t>
            </w:r>
          </w:p>
          <w:p w14:paraId="4F0ABC7D"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Lámanie vetiev a vyvracanie stromov </w:t>
            </w:r>
          </w:p>
          <w:p w14:paraId="69EDDE1A"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Snehové jazyky a záveje </w:t>
            </w:r>
          </w:p>
          <w:p w14:paraId="656E6B5A"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Výpadky el. energie</w:t>
            </w:r>
          </w:p>
          <w:p w14:paraId="581948B7"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Lavíny a zosuvy </w:t>
            </w:r>
          </w:p>
        </w:tc>
        <w:tc>
          <w:tcPr>
            <w:tcW w:w="2378" w:type="dxa"/>
            <w:shd w:val="clear" w:color="auto" w:fill="auto"/>
          </w:tcPr>
          <w:p w14:paraId="5D077955" w14:textId="77777777" w:rsidR="00BE690A" w:rsidRPr="003907C5"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907C5">
              <w:rPr>
                <w:rFonts w:ascii="Calibri" w:hAnsi="Calibri" w:cs="Calibri"/>
                <w:sz w:val="16"/>
                <w:szCs w:val="16"/>
              </w:rPr>
              <w:t>Zaťaženie stavebných konštrukcií</w:t>
            </w:r>
          </w:p>
          <w:p w14:paraId="02C69E74" w14:textId="77777777" w:rsidR="00BE690A" w:rsidRPr="003907C5" w:rsidRDefault="00BE690A" w:rsidP="00931169">
            <w:pPr>
              <w:pStyle w:val="Odsekzoznamu"/>
              <w:keepNext/>
              <w:numPr>
                <w:ilvl w:val="0"/>
                <w:numId w:val="37"/>
              </w:numPr>
              <w:spacing w:after="0" w:line="240" w:lineRule="auto"/>
              <w:ind w:left="175" w:hanging="142"/>
              <w:jc w:val="both"/>
              <w:rPr>
                <w:rFonts w:ascii="Calibri" w:hAnsi="Calibri" w:cs="Calibri"/>
                <w:sz w:val="16"/>
                <w:szCs w:val="16"/>
              </w:rPr>
            </w:pPr>
            <w:r w:rsidRPr="003907C5">
              <w:rPr>
                <w:rFonts w:ascii="Calibri" w:hAnsi="Calibri" w:cs="Calibri"/>
                <w:sz w:val="16"/>
                <w:szCs w:val="16"/>
              </w:rPr>
              <w:t>Pády konárov a stromov na trať a na trakčné vedenie</w:t>
            </w:r>
          </w:p>
          <w:p w14:paraId="18B98330" w14:textId="77777777" w:rsidR="00BE690A" w:rsidRPr="003907C5" w:rsidRDefault="00BE690A" w:rsidP="00931169">
            <w:pPr>
              <w:pStyle w:val="Odsekzoznamu"/>
              <w:keepNext/>
              <w:numPr>
                <w:ilvl w:val="0"/>
                <w:numId w:val="37"/>
              </w:numPr>
              <w:spacing w:after="0" w:line="240" w:lineRule="auto"/>
              <w:ind w:left="175" w:hanging="142"/>
              <w:jc w:val="both"/>
              <w:rPr>
                <w:rFonts w:ascii="Calibri" w:hAnsi="Calibri" w:cs="Calibri"/>
                <w:sz w:val="16"/>
                <w:szCs w:val="16"/>
              </w:rPr>
            </w:pPr>
            <w:r w:rsidRPr="003907C5">
              <w:rPr>
                <w:rFonts w:ascii="Calibri" w:hAnsi="Calibri" w:cs="Calibri"/>
                <w:sz w:val="16"/>
                <w:szCs w:val="16"/>
              </w:rPr>
              <w:t>Usádzanie snehu vo výhybkách</w:t>
            </w:r>
          </w:p>
          <w:p w14:paraId="1FEA8103" w14:textId="77777777" w:rsidR="00BE690A" w:rsidRPr="003907C5" w:rsidRDefault="00BE690A" w:rsidP="00931169">
            <w:pPr>
              <w:ind w:left="33"/>
              <w:contextualSpacing/>
              <w:rPr>
                <w:rFonts w:cs="Calibri"/>
                <w:sz w:val="16"/>
                <w:szCs w:val="16"/>
              </w:rPr>
            </w:pPr>
          </w:p>
        </w:tc>
        <w:tc>
          <w:tcPr>
            <w:tcW w:w="315" w:type="dxa"/>
            <w:shd w:val="clear" w:color="auto" w:fill="FFFF97"/>
          </w:tcPr>
          <w:p w14:paraId="02641FE4" w14:textId="77777777" w:rsidR="00BE690A" w:rsidRPr="00C92614" w:rsidRDefault="00BE690A" w:rsidP="00931169">
            <w:pPr>
              <w:rPr>
                <w:rFonts w:cs="Calibri"/>
                <w:color w:val="FF0000"/>
                <w:sz w:val="16"/>
                <w:szCs w:val="16"/>
              </w:rPr>
            </w:pPr>
            <w:r w:rsidRPr="00EC741F">
              <w:rPr>
                <w:rFonts w:cs="Calibri"/>
                <w:sz w:val="16"/>
                <w:szCs w:val="16"/>
              </w:rPr>
              <w:t>2</w:t>
            </w:r>
          </w:p>
        </w:tc>
        <w:tc>
          <w:tcPr>
            <w:tcW w:w="2406" w:type="dxa"/>
            <w:shd w:val="clear" w:color="auto" w:fill="auto"/>
          </w:tcPr>
          <w:p w14:paraId="56283276"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 xml:space="preserve">Zvýšenie nákladov na zimnú údržbu </w:t>
            </w:r>
          </w:p>
          <w:p w14:paraId="5F24C165"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 xml:space="preserve">Zníženie bezpečnosti dopravy </w:t>
            </w:r>
          </w:p>
          <w:p w14:paraId="201C1915"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Zníženie rýchlosti prejazdov</w:t>
            </w:r>
          </w:p>
          <w:p w14:paraId="70FB08DA"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 xml:space="preserve">Obmedzenie až úplné znemožnenie prejazdnosti žel. trate </w:t>
            </w:r>
          </w:p>
        </w:tc>
        <w:tc>
          <w:tcPr>
            <w:tcW w:w="284" w:type="dxa"/>
            <w:shd w:val="clear" w:color="auto" w:fill="D6E3BC" w:themeFill="accent3" w:themeFillTint="66"/>
          </w:tcPr>
          <w:p w14:paraId="698F854F" w14:textId="77777777" w:rsidR="00BE690A" w:rsidRPr="00EC741F" w:rsidRDefault="00BE690A" w:rsidP="00931169">
            <w:pPr>
              <w:rPr>
                <w:rFonts w:cs="Calibri"/>
                <w:sz w:val="16"/>
                <w:szCs w:val="16"/>
              </w:rPr>
            </w:pPr>
            <w:r w:rsidRPr="00EC741F">
              <w:rPr>
                <w:rFonts w:cs="Calibri"/>
                <w:sz w:val="16"/>
                <w:szCs w:val="16"/>
              </w:rPr>
              <w:t>1</w:t>
            </w:r>
          </w:p>
        </w:tc>
      </w:tr>
      <w:tr w:rsidR="00BE690A" w:rsidRPr="00C92614" w14:paraId="4F304358" w14:textId="77777777" w:rsidTr="00BE690A">
        <w:trPr>
          <w:jc w:val="center"/>
        </w:trPr>
        <w:tc>
          <w:tcPr>
            <w:tcW w:w="1274" w:type="dxa"/>
            <w:shd w:val="clear" w:color="auto" w:fill="auto"/>
          </w:tcPr>
          <w:p w14:paraId="32C8B263" w14:textId="77777777" w:rsidR="00BE690A" w:rsidRPr="00C92614" w:rsidRDefault="00BE690A" w:rsidP="00931169">
            <w:pPr>
              <w:rPr>
                <w:rFonts w:cs="Calibri"/>
                <w:sz w:val="16"/>
                <w:szCs w:val="16"/>
              </w:rPr>
            </w:pPr>
            <w:r w:rsidRPr="00C92614">
              <w:rPr>
                <w:rFonts w:cs="Calibri"/>
                <w:sz w:val="16"/>
                <w:szCs w:val="16"/>
              </w:rPr>
              <w:t>Námrazové javy</w:t>
            </w:r>
          </w:p>
        </w:tc>
        <w:tc>
          <w:tcPr>
            <w:tcW w:w="2694" w:type="dxa"/>
          </w:tcPr>
          <w:p w14:paraId="5870505D"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Vznik ľadovky, poľadovice a námrazy</w:t>
            </w:r>
          </w:p>
          <w:p w14:paraId="67C7D5CD" w14:textId="77777777" w:rsidR="00BE690A" w:rsidRPr="00C9261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C92614">
              <w:rPr>
                <w:rFonts w:ascii="Calibri" w:hAnsi="Calibri" w:cs="Calibri"/>
                <w:sz w:val="16"/>
                <w:szCs w:val="16"/>
              </w:rPr>
              <w:t>Tvorba ľadu na žel. trati</w:t>
            </w:r>
          </w:p>
          <w:p w14:paraId="78620764"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Výpadky el. energie</w:t>
            </w:r>
          </w:p>
          <w:p w14:paraId="63C27313"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Lámanie vetiev stromov</w:t>
            </w:r>
          </w:p>
        </w:tc>
        <w:tc>
          <w:tcPr>
            <w:tcW w:w="2378" w:type="dxa"/>
            <w:shd w:val="clear" w:color="auto" w:fill="auto"/>
          </w:tcPr>
          <w:p w14:paraId="35C58189" w14:textId="77777777" w:rsidR="00BE690A" w:rsidRPr="003907C5"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907C5">
              <w:rPr>
                <w:rFonts w:ascii="Calibri" w:hAnsi="Calibri" w:cs="Calibri"/>
                <w:sz w:val="16"/>
                <w:szCs w:val="16"/>
              </w:rPr>
              <w:t>Tvorba ľadu vo výhybkách a ich zamŕzanie</w:t>
            </w:r>
          </w:p>
          <w:p w14:paraId="7507323E" w14:textId="77777777" w:rsidR="00BE690A" w:rsidRPr="003907C5"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907C5">
              <w:rPr>
                <w:rFonts w:ascii="Calibri" w:hAnsi="Calibri" w:cs="Calibri"/>
                <w:sz w:val="16"/>
                <w:szCs w:val="16"/>
              </w:rPr>
              <w:t xml:space="preserve">Zmeny pružnosti niektorých materiálov </w:t>
            </w:r>
          </w:p>
          <w:p w14:paraId="301F6DAF" w14:textId="77777777" w:rsidR="00BE690A" w:rsidRPr="003907C5"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907C5">
              <w:rPr>
                <w:rFonts w:ascii="Calibri" w:hAnsi="Calibri" w:cs="Calibri"/>
                <w:sz w:val="16"/>
                <w:szCs w:val="16"/>
              </w:rPr>
              <w:t>Roztrhnutie/ prepálenie trakčného vedenia</w:t>
            </w:r>
          </w:p>
          <w:p w14:paraId="40BFA179" w14:textId="77777777" w:rsidR="00BE690A" w:rsidRPr="003907C5"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907C5">
              <w:rPr>
                <w:rFonts w:ascii="Calibri" w:hAnsi="Calibri" w:cs="Calibri"/>
                <w:sz w:val="16"/>
                <w:szCs w:val="16"/>
              </w:rPr>
              <w:t xml:space="preserve">Kolísanie napätia el. prúdu na TV </w:t>
            </w:r>
          </w:p>
        </w:tc>
        <w:tc>
          <w:tcPr>
            <w:tcW w:w="315" w:type="dxa"/>
            <w:shd w:val="clear" w:color="auto" w:fill="FFFF97"/>
          </w:tcPr>
          <w:p w14:paraId="12A28310" w14:textId="77777777" w:rsidR="00BE690A" w:rsidRPr="003907C5" w:rsidRDefault="00BE690A" w:rsidP="00931169">
            <w:pPr>
              <w:rPr>
                <w:rFonts w:cs="Calibri"/>
                <w:sz w:val="16"/>
                <w:szCs w:val="16"/>
              </w:rPr>
            </w:pPr>
            <w:r w:rsidRPr="003907C5">
              <w:rPr>
                <w:rFonts w:cs="Calibri"/>
                <w:sz w:val="16"/>
                <w:szCs w:val="16"/>
              </w:rPr>
              <w:t>2</w:t>
            </w:r>
          </w:p>
        </w:tc>
        <w:tc>
          <w:tcPr>
            <w:tcW w:w="2406" w:type="dxa"/>
            <w:shd w:val="clear" w:color="auto" w:fill="auto"/>
          </w:tcPr>
          <w:p w14:paraId="7F8ACA0F"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Zvýšenie nákladov na zimnú údržbu</w:t>
            </w:r>
          </w:p>
          <w:p w14:paraId="0A76AC12"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Zníženie rýchlosti prejazdov</w:t>
            </w:r>
          </w:p>
          <w:p w14:paraId="05B3E384"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 xml:space="preserve">Zníženie bezpečnosti dopravy </w:t>
            </w:r>
          </w:p>
          <w:p w14:paraId="612C0289" w14:textId="77777777" w:rsidR="00BE690A" w:rsidRPr="003907C5"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907C5">
              <w:rPr>
                <w:rFonts w:ascii="Calibri" w:hAnsi="Calibri" w:cs="Calibri"/>
                <w:sz w:val="16"/>
                <w:szCs w:val="16"/>
              </w:rPr>
              <w:t xml:space="preserve">Obmedzenie až úplné znemožnenie prejazdnosti žel. trate </w:t>
            </w:r>
          </w:p>
          <w:p w14:paraId="706A3BD3" w14:textId="77777777" w:rsidR="00BE690A" w:rsidRPr="003907C5" w:rsidRDefault="00BE690A" w:rsidP="00931169">
            <w:pPr>
              <w:ind w:left="34"/>
              <w:contextualSpacing/>
              <w:rPr>
                <w:rFonts w:cs="Calibri"/>
                <w:sz w:val="16"/>
                <w:szCs w:val="16"/>
              </w:rPr>
            </w:pPr>
          </w:p>
        </w:tc>
        <w:tc>
          <w:tcPr>
            <w:tcW w:w="284" w:type="dxa"/>
            <w:shd w:val="clear" w:color="auto" w:fill="D6E3BC" w:themeFill="accent3" w:themeFillTint="66"/>
          </w:tcPr>
          <w:p w14:paraId="368609BC" w14:textId="77777777" w:rsidR="00BE690A" w:rsidRPr="003907C5" w:rsidRDefault="00BE690A" w:rsidP="00931169">
            <w:pPr>
              <w:rPr>
                <w:rFonts w:cs="Calibri"/>
                <w:sz w:val="16"/>
                <w:szCs w:val="16"/>
              </w:rPr>
            </w:pPr>
            <w:r w:rsidRPr="003907C5">
              <w:rPr>
                <w:rFonts w:cs="Calibri"/>
                <w:sz w:val="16"/>
                <w:szCs w:val="16"/>
              </w:rPr>
              <w:t>1</w:t>
            </w:r>
          </w:p>
        </w:tc>
      </w:tr>
      <w:tr w:rsidR="00BE690A" w:rsidRPr="00C92614" w14:paraId="65C366DF" w14:textId="77777777" w:rsidTr="00BE690A">
        <w:trPr>
          <w:jc w:val="center"/>
        </w:trPr>
        <w:tc>
          <w:tcPr>
            <w:tcW w:w="1274" w:type="dxa"/>
            <w:shd w:val="clear" w:color="auto" w:fill="auto"/>
          </w:tcPr>
          <w:p w14:paraId="09945CD7" w14:textId="77777777" w:rsidR="00BE690A" w:rsidRPr="00C92614" w:rsidRDefault="00BE690A" w:rsidP="00931169">
            <w:pPr>
              <w:rPr>
                <w:rFonts w:cs="Calibri"/>
                <w:sz w:val="16"/>
                <w:szCs w:val="16"/>
              </w:rPr>
            </w:pPr>
            <w:r w:rsidRPr="00C92614">
              <w:rPr>
                <w:rFonts w:cs="Calibri"/>
                <w:sz w:val="16"/>
                <w:szCs w:val="16"/>
              </w:rPr>
              <w:t>Búrkové javy</w:t>
            </w:r>
          </w:p>
        </w:tc>
        <w:tc>
          <w:tcPr>
            <w:tcW w:w="2694" w:type="dxa"/>
          </w:tcPr>
          <w:p w14:paraId="1BBA5DBA" w14:textId="77777777" w:rsidR="00BE690A" w:rsidRPr="00C92614" w:rsidRDefault="00BE690A" w:rsidP="00931169">
            <w:pPr>
              <w:pStyle w:val="Odsekzoznamu"/>
              <w:spacing w:after="0" w:line="240" w:lineRule="auto"/>
              <w:ind w:left="0"/>
              <w:jc w:val="both"/>
              <w:rPr>
                <w:rFonts w:ascii="Calibri" w:hAnsi="Calibri" w:cs="Calibri"/>
                <w:sz w:val="16"/>
                <w:szCs w:val="16"/>
              </w:rPr>
            </w:pPr>
            <w:r w:rsidRPr="00C92614">
              <w:rPr>
                <w:rFonts w:ascii="Calibri" w:hAnsi="Calibri" w:cs="Calibri"/>
                <w:sz w:val="16"/>
                <w:szCs w:val="16"/>
              </w:rPr>
              <w:t>Silný vietor</w:t>
            </w:r>
          </w:p>
          <w:p w14:paraId="57AA7632"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Lámanie vetiev a vyvracanie stromov</w:t>
            </w:r>
          </w:p>
          <w:p w14:paraId="41853CE6"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Unášanie materiálov</w:t>
            </w:r>
          </w:p>
          <w:p w14:paraId="2F7E0A23"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Dynamický tlak vetra na vozidlá</w:t>
            </w:r>
          </w:p>
          <w:p w14:paraId="1157BE9A" w14:textId="77777777" w:rsidR="00BE690A" w:rsidRPr="00C92614" w:rsidRDefault="00BE690A" w:rsidP="00931169">
            <w:pPr>
              <w:pStyle w:val="Odsekzoznamu"/>
              <w:spacing w:after="0" w:line="240" w:lineRule="auto"/>
              <w:ind w:left="0"/>
              <w:jc w:val="both"/>
              <w:rPr>
                <w:rFonts w:ascii="Calibri" w:hAnsi="Calibri" w:cs="Calibri"/>
                <w:sz w:val="16"/>
                <w:szCs w:val="16"/>
              </w:rPr>
            </w:pPr>
            <w:r w:rsidRPr="00C92614">
              <w:rPr>
                <w:rFonts w:ascii="Calibri" w:hAnsi="Calibri" w:cs="Calibri"/>
                <w:sz w:val="16"/>
                <w:szCs w:val="16"/>
              </w:rPr>
              <w:t>Prívalové dažde</w:t>
            </w:r>
          </w:p>
          <w:p w14:paraId="6E37E446"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Prudké, krátkodobé rozvodnenie vodných tokov, záplavy</w:t>
            </w:r>
          </w:p>
          <w:p w14:paraId="713D3276"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Stúpanie hladiny podzemnej vody</w:t>
            </w:r>
          </w:p>
          <w:p w14:paraId="53C5BB66"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Narušenie stability svahov </w:t>
            </w:r>
          </w:p>
          <w:p w14:paraId="63B30C7F"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Spomalenie odtoku</w:t>
            </w:r>
          </w:p>
          <w:p w14:paraId="66F3592C" w14:textId="77777777" w:rsidR="00BE690A" w:rsidRPr="00C92614" w:rsidRDefault="00BE690A" w:rsidP="00931169">
            <w:pPr>
              <w:pStyle w:val="Odsekzoznamu"/>
              <w:spacing w:after="0" w:line="240" w:lineRule="auto"/>
              <w:ind w:left="0"/>
              <w:jc w:val="both"/>
              <w:rPr>
                <w:rFonts w:ascii="Calibri" w:hAnsi="Calibri" w:cs="Calibri"/>
                <w:sz w:val="16"/>
                <w:szCs w:val="16"/>
              </w:rPr>
            </w:pPr>
            <w:r w:rsidRPr="00C92614">
              <w:rPr>
                <w:rFonts w:ascii="Calibri" w:hAnsi="Calibri" w:cs="Calibri"/>
                <w:sz w:val="16"/>
                <w:szCs w:val="16"/>
              </w:rPr>
              <w:t>Elektrické výboje</w:t>
            </w:r>
          </w:p>
          <w:p w14:paraId="20B0E28D"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Zásahy bleskom</w:t>
            </w:r>
          </w:p>
          <w:p w14:paraId="3CEFEE79"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Vznik prepätia</w:t>
            </w:r>
          </w:p>
          <w:p w14:paraId="5B9C7B16" w14:textId="77777777" w:rsidR="00BE690A" w:rsidRPr="003907C5"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Výpadky el. energie</w:t>
            </w:r>
          </w:p>
        </w:tc>
        <w:tc>
          <w:tcPr>
            <w:tcW w:w="2378" w:type="dxa"/>
            <w:shd w:val="clear" w:color="auto" w:fill="auto"/>
          </w:tcPr>
          <w:p w14:paraId="1D2AE0BF"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Obmedzenie funkčnosti oznamovacích a zabezpečovacích zariadení</w:t>
            </w:r>
          </w:p>
          <w:p w14:paraId="10FCCC7E"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Výpadky napájania</w:t>
            </w:r>
          </w:p>
          <w:p w14:paraId="4D3DADBA"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Poškodenie trakčného vedenia a signalizácie</w:t>
            </w:r>
          </w:p>
          <w:p w14:paraId="523E9C00"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Prerušenie prenosu údajov</w:t>
            </w:r>
          </w:p>
          <w:p w14:paraId="46F38743"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Zníženie stability žel. násypov a priľahlých svahov</w:t>
            </w:r>
          </w:p>
          <w:p w14:paraId="0798F853"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 xml:space="preserve">Zaplavenie žel. trate alebo jej podmytie </w:t>
            </w:r>
          </w:p>
          <w:p w14:paraId="127B399C"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Zníženie prietokov odvodňovacích systémov a ich mechanické poškodenie</w:t>
            </w:r>
          </w:p>
        </w:tc>
        <w:tc>
          <w:tcPr>
            <w:tcW w:w="315" w:type="dxa"/>
            <w:shd w:val="clear" w:color="auto" w:fill="FFFF97"/>
          </w:tcPr>
          <w:p w14:paraId="1C5DC4A8" w14:textId="77777777" w:rsidR="00BE690A" w:rsidRPr="00C92614" w:rsidRDefault="00BE690A" w:rsidP="00931169">
            <w:pPr>
              <w:rPr>
                <w:rFonts w:cs="Calibri"/>
                <w:color w:val="FF0000"/>
                <w:sz w:val="16"/>
                <w:szCs w:val="16"/>
              </w:rPr>
            </w:pPr>
            <w:r w:rsidRPr="003907C5">
              <w:rPr>
                <w:rFonts w:cs="Calibri"/>
                <w:sz w:val="16"/>
                <w:szCs w:val="16"/>
              </w:rPr>
              <w:t>2</w:t>
            </w:r>
          </w:p>
        </w:tc>
        <w:tc>
          <w:tcPr>
            <w:tcW w:w="2406" w:type="dxa"/>
            <w:shd w:val="clear" w:color="auto" w:fill="auto"/>
          </w:tcPr>
          <w:p w14:paraId="544E103C"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Zníženie rýchlosti prejazdov</w:t>
            </w:r>
          </w:p>
          <w:p w14:paraId="51D1B845"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Zníženie bezpečnosti dopravy</w:t>
            </w:r>
          </w:p>
          <w:p w14:paraId="75970D2C"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 xml:space="preserve">Obmedzenie až úplné znemožnenie prejazdnosti žel. trate </w:t>
            </w:r>
          </w:p>
        </w:tc>
        <w:tc>
          <w:tcPr>
            <w:tcW w:w="284" w:type="dxa"/>
            <w:shd w:val="clear" w:color="auto" w:fill="D6E3BC"/>
          </w:tcPr>
          <w:p w14:paraId="3EE15695" w14:textId="77777777" w:rsidR="00BE690A" w:rsidRPr="003907C5" w:rsidRDefault="00BE690A" w:rsidP="00931169">
            <w:pPr>
              <w:rPr>
                <w:rFonts w:cs="Calibri"/>
                <w:sz w:val="16"/>
                <w:szCs w:val="16"/>
              </w:rPr>
            </w:pPr>
            <w:r>
              <w:rPr>
                <w:rFonts w:cs="Calibri"/>
                <w:sz w:val="16"/>
                <w:szCs w:val="16"/>
              </w:rPr>
              <w:t>1</w:t>
            </w:r>
          </w:p>
        </w:tc>
      </w:tr>
      <w:tr w:rsidR="00BE690A" w:rsidRPr="00C92614" w14:paraId="6FE21724" w14:textId="77777777" w:rsidTr="00BE690A">
        <w:trPr>
          <w:trHeight w:val="265"/>
          <w:jc w:val="center"/>
        </w:trPr>
        <w:tc>
          <w:tcPr>
            <w:tcW w:w="1274" w:type="dxa"/>
            <w:shd w:val="clear" w:color="auto" w:fill="auto"/>
          </w:tcPr>
          <w:p w14:paraId="144E6390" w14:textId="77777777" w:rsidR="00BE690A" w:rsidRPr="00C92614" w:rsidRDefault="00BE690A" w:rsidP="00931169">
            <w:pPr>
              <w:rPr>
                <w:rFonts w:cs="Calibri"/>
                <w:sz w:val="16"/>
                <w:szCs w:val="16"/>
              </w:rPr>
            </w:pPr>
            <w:r w:rsidRPr="00C92614">
              <w:rPr>
                <w:rFonts w:cs="Calibri"/>
                <w:sz w:val="16"/>
                <w:szCs w:val="16"/>
              </w:rPr>
              <w:lastRenderedPageBreak/>
              <w:t>Povodne</w:t>
            </w:r>
          </w:p>
        </w:tc>
        <w:tc>
          <w:tcPr>
            <w:tcW w:w="2694" w:type="dxa"/>
          </w:tcPr>
          <w:p w14:paraId="1E4E4A08"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Unášanie materiálu</w:t>
            </w:r>
          </w:p>
          <w:p w14:paraId="3C7AC9A8"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Rozvodnenie vodných tokov príp. ich vyliatie</w:t>
            </w:r>
          </w:p>
          <w:p w14:paraId="4D970713"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Erózia pôdy a zosuvy</w:t>
            </w:r>
          </w:p>
          <w:p w14:paraId="35F743F6"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Podmáčanie podložia </w:t>
            </w:r>
          </w:p>
          <w:p w14:paraId="69F708F6"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Narušenie stability svahov</w:t>
            </w:r>
          </w:p>
        </w:tc>
        <w:tc>
          <w:tcPr>
            <w:tcW w:w="2378" w:type="dxa"/>
            <w:shd w:val="clear" w:color="auto" w:fill="auto"/>
          </w:tcPr>
          <w:p w14:paraId="451FA1FB"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Zaplavenie žel. trate a súvisiacej infraštruktúry alebo jej podmytie</w:t>
            </w:r>
          </w:p>
          <w:p w14:paraId="6995E123"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Zníženie stability zemného telesa a priľahlých svahov</w:t>
            </w:r>
          </w:p>
          <w:p w14:paraId="35EAFC71"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Podomletie, poškodenie pilierov mostov</w:t>
            </w:r>
          </w:p>
          <w:p w14:paraId="12E35724"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 xml:space="preserve">Zanesenie a zníženie prietokov odvodňovacích systémov </w:t>
            </w:r>
          </w:p>
        </w:tc>
        <w:tc>
          <w:tcPr>
            <w:tcW w:w="315" w:type="dxa"/>
            <w:shd w:val="clear" w:color="auto" w:fill="FFFF97"/>
          </w:tcPr>
          <w:p w14:paraId="3692BC9F" w14:textId="77777777" w:rsidR="00BE690A" w:rsidRPr="00C92614" w:rsidRDefault="00BE690A" w:rsidP="00931169">
            <w:pPr>
              <w:rPr>
                <w:rFonts w:cs="Calibri"/>
                <w:color w:val="FF0000"/>
                <w:sz w:val="16"/>
                <w:szCs w:val="16"/>
              </w:rPr>
            </w:pPr>
            <w:r>
              <w:rPr>
                <w:rFonts w:cs="Calibri"/>
                <w:sz w:val="16"/>
                <w:szCs w:val="16"/>
              </w:rPr>
              <w:t>2</w:t>
            </w:r>
          </w:p>
        </w:tc>
        <w:tc>
          <w:tcPr>
            <w:tcW w:w="2406" w:type="dxa"/>
            <w:shd w:val="clear" w:color="auto" w:fill="auto"/>
          </w:tcPr>
          <w:p w14:paraId="365AF09C"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 xml:space="preserve">Zníženie bezpečnosti dopravy </w:t>
            </w:r>
          </w:p>
          <w:p w14:paraId="59CD6A23"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 xml:space="preserve">Obmedzenie až úplné znemožnenie prejazdnosti žel. trate </w:t>
            </w:r>
          </w:p>
          <w:p w14:paraId="386D95E9" w14:textId="77777777" w:rsidR="00BE690A" w:rsidRPr="00373904" w:rsidRDefault="00BE690A" w:rsidP="00931169">
            <w:pPr>
              <w:ind w:left="34"/>
              <w:contextualSpacing/>
              <w:rPr>
                <w:rFonts w:cs="Calibri"/>
                <w:sz w:val="16"/>
                <w:szCs w:val="16"/>
              </w:rPr>
            </w:pPr>
          </w:p>
        </w:tc>
        <w:tc>
          <w:tcPr>
            <w:tcW w:w="284" w:type="dxa"/>
            <w:shd w:val="clear" w:color="auto" w:fill="D6E3BC"/>
          </w:tcPr>
          <w:p w14:paraId="5F1CD346" w14:textId="77777777" w:rsidR="00BE690A" w:rsidRPr="00C92614" w:rsidRDefault="00BE690A" w:rsidP="00931169">
            <w:pPr>
              <w:rPr>
                <w:rFonts w:cs="Calibri"/>
                <w:color w:val="FF0000"/>
                <w:sz w:val="16"/>
                <w:szCs w:val="16"/>
              </w:rPr>
            </w:pPr>
            <w:r w:rsidRPr="00373904">
              <w:rPr>
                <w:rFonts w:cs="Calibri"/>
                <w:sz w:val="16"/>
                <w:szCs w:val="16"/>
              </w:rPr>
              <w:t>1</w:t>
            </w:r>
          </w:p>
        </w:tc>
      </w:tr>
      <w:tr w:rsidR="00BE690A" w:rsidRPr="00C92614" w14:paraId="0FCBDF08" w14:textId="77777777" w:rsidTr="00BE690A">
        <w:trPr>
          <w:trHeight w:val="585"/>
          <w:jc w:val="center"/>
        </w:trPr>
        <w:tc>
          <w:tcPr>
            <w:tcW w:w="1274" w:type="dxa"/>
            <w:shd w:val="clear" w:color="auto" w:fill="auto"/>
          </w:tcPr>
          <w:p w14:paraId="4F9EC3CD" w14:textId="77777777" w:rsidR="00BE690A" w:rsidRPr="00C92614" w:rsidRDefault="00BE690A" w:rsidP="00931169">
            <w:pPr>
              <w:rPr>
                <w:rFonts w:cs="Calibri"/>
                <w:sz w:val="16"/>
                <w:szCs w:val="16"/>
              </w:rPr>
            </w:pPr>
            <w:r w:rsidRPr="00C92614">
              <w:rPr>
                <w:rFonts w:cs="Calibri"/>
                <w:sz w:val="16"/>
                <w:szCs w:val="16"/>
              </w:rPr>
              <w:t>Zosuvy</w:t>
            </w:r>
          </w:p>
        </w:tc>
        <w:tc>
          <w:tcPr>
            <w:tcW w:w="2694" w:type="dxa"/>
          </w:tcPr>
          <w:p w14:paraId="18CA75E7"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Narušenie stability svahov</w:t>
            </w:r>
          </w:p>
          <w:p w14:paraId="2A19DE02"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Zavalenie resp. zrútenie dopravnej cesty</w:t>
            </w:r>
          </w:p>
        </w:tc>
        <w:tc>
          <w:tcPr>
            <w:tcW w:w="2378" w:type="dxa"/>
            <w:shd w:val="clear" w:color="auto" w:fill="auto"/>
          </w:tcPr>
          <w:p w14:paraId="3D66CA51"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 xml:space="preserve">Zmena geometrickej polohy koľaje vplyvom gravitačných pohybov </w:t>
            </w:r>
          </w:p>
          <w:p w14:paraId="2B6C6C3B"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Poškodenie trakčného vedenia a napájacieho systému</w:t>
            </w:r>
          </w:p>
          <w:p w14:paraId="7980CF00"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Zrútenie žel. násypu</w:t>
            </w:r>
          </w:p>
          <w:p w14:paraId="5D921C59"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Zavalenie žel. trate</w:t>
            </w:r>
          </w:p>
        </w:tc>
        <w:tc>
          <w:tcPr>
            <w:tcW w:w="315" w:type="dxa"/>
            <w:shd w:val="clear" w:color="auto" w:fill="FFA48F"/>
          </w:tcPr>
          <w:p w14:paraId="49566B28" w14:textId="77777777" w:rsidR="00BE690A" w:rsidRPr="00C92614" w:rsidRDefault="00BE690A" w:rsidP="00931169">
            <w:pPr>
              <w:rPr>
                <w:rFonts w:cs="Calibri"/>
                <w:color w:val="FF0000"/>
                <w:sz w:val="16"/>
                <w:szCs w:val="16"/>
              </w:rPr>
            </w:pPr>
            <w:r w:rsidRPr="00373904">
              <w:rPr>
                <w:rFonts w:cs="Calibri"/>
                <w:sz w:val="16"/>
                <w:szCs w:val="16"/>
              </w:rPr>
              <w:t>3</w:t>
            </w:r>
          </w:p>
        </w:tc>
        <w:tc>
          <w:tcPr>
            <w:tcW w:w="2406" w:type="dxa"/>
            <w:shd w:val="clear" w:color="auto" w:fill="auto"/>
          </w:tcPr>
          <w:p w14:paraId="1359BBCB"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Zníženie bezpečnosti dopravy</w:t>
            </w:r>
          </w:p>
          <w:p w14:paraId="7486218D" w14:textId="77777777" w:rsidR="00BE690A"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 xml:space="preserve">Obmedzenie rýchlosti prejazdov </w:t>
            </w:r>
          </w:p>
          <w:p w14:paraId="58C21103"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Pr>
                <w:rFonts w:ascii="Calibri" w:hAnsi="Calibri" w:cs="Calibri"/>
                <w:sz w:val="16"/>
                <w:szCs w:val="16"/>
              </w:rPr>
              <w:t>Dočasné p</w:t>
            </w:r>
            <w:r w:rsidRPr="00373904">
              <w:rPr>
                <w:rFonts w:ascii="Calibri" w:hAnsi="Calibri" w:cs="Calibri"/>
                <w:sz w:val="16"/>
                <w:szCs w:val="16"/>
              </w:rPr>
              <w:t>rerušenie žel. prevádzky</w:t>
            </w:r>
          </w:p>
        </w:tc>
        <w:tc>
          <w:tcPr>
            <w:tcW w:w="284" w:type="dxa"/>
            <w:shd w:val="clear" w:color="auto" w:fill="FFFF97"/>
          </w:tcPr>
          <w:p w14:paraId="2813846C" w14:textId="77777777" w:rsidR="00BE690A" w:rsidRPr="00C92614" w:rsidRDefault="00BE690A" w:rsidP="00931169">
            <w:pPr>
              <w:rPr>
                <w:rFonts w:cs="Calibri"/>
                <w:color w:val="FF0000"/>
                <w:sz w:val="16"/>
                <w:szCs w:val="16"/>
              </w:rPr>
            </w:pPr>
            <w:r w:rsidRPr="00373904">
              <w:rPr>
                <w:rFonts w:cs="Calibri"/>
                <w:sz w:val="16"/>
                <w:szCs w:val="16"/>
              </w:rPr>
              <w:t>2</w:t>
            </w:r>
          </w:p>
        </w:tc>
      </w:tr>
      <w:tr w:rsidR="00BE690A" w:rsidRPr="00C92614" w14:paraId="79EEF243" w14:textId="77777777" w:rsidTr="00BE690A">
        <w:trPr>
          <w:jc w:val="center"/>
        </w:trPr>
        <w:tc>
          <w:tcPr>
            <w:tcW w:w="1274" w:type="dxa"/>
            <w:tcBorders>
              <w:bottom w:val="single" w:sz="4" w:space="0" w:color="auto"/>
            </w:tcBorders>
            <w:shd w:val="clear" w:color="auto" w:fill="auto"/>
          </w:tcPr>
          <w:p w14:paraId="1B37E770" w14:textId="77777777" w:rsidR="00BE690A" w:rsidRPr="00C92614" w:rsidRDefault="00BE690A" w:rsidP="00931169">
            <w:pPr>
              <w:rPr>
                <w:rFonts w:cs="Calibri"/>
                <w:sz w:val="16"/>
                <w:szCs w:val="16"/>
              </w:rPr>
            </w:pPr>
            <w:r w:rsidRPr="00C92614">
              <w:rPr>
                <w:rFonts w:cs="Calibri"/>
                <w:sz w:val="16"/>
                <w:szCs w:val="16"/>
              </w:rPr>
              <w:t>Sucho</w:t>
            </w:r>
          </w:p>
        </w:tc>
        <w:tc>
          <w:tcPr>
            <w:tcW w:w="2694" w:type="dxa"/>
            <w:tcBorders>
              <w:bottom w:val="single" w:sz="4" w:space="0" w:color="auto"/>
            </w:tcBorders>
          </w:tcPr>
          <w:p w14:paraId="4AB669A3"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 xml:space="preserve">Deformácie a poškodenia žel. infraštruktúry </w:t>
            </w:r>
          </w:p>
          <w:p w14:paraId="52FF63A9"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Pokles hladiny podzemnej vody</w:t>
            </w:r>
          </w:p>
          <w:p w14:paraId="2A9F353E"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Vznik požiarov</w:t>
            </w:r>
          </w:p>
          <w:p w14:paraId="38CA661D" w14:textId="77777777" w:rsidR="00BE690A" w:rsidRPr="00C92614" w:rsidRDefault="00BE690A" w:rsidP="00931169">
            <w:pPr>
              <w:pStyle w:val="Odsekzoznamu"/>
              <w:spacing w:after="0" w:line="240" w:lineRule="auto"/>
              <w:ind w:left="212"/>
              <w:jc w:val="both"/>
              <w:rPr>
                <w:rFonts w:ascii="Calibri" w:hAnsi="Calibri" w:cs="Calibri"/>
                <w:sz w:val="16"/>
                <w:szCs w:val="16"/>
              </w:rPr>
            </w:pPr>
          </w:p>
        </w:tc>
        <w:tc>
          <w:tcPr>
            <w:tcW w:w="2378" w:type="dxa"/>
            <w:tcBorders>
              <w:bottom w:val="single" w:sz="4" w:space="0" w:color="auto"/>
            </w:tcBorders>
            <w:shd w:val="clear" w:color="auto" w:fill="auto"/>
          </w:tcPr>
          <w:p w14:paraId="47BC312A"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Poškodenie trakčného vedenia a napájacieho systému</w:t>
            </w:r>
          </w:p>
          <w:p w14:paraId="19B6EECD"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Zníženie stability žel. násypu</w:t>
            </w:r>
          </w:p>
        </w:tc>
        <w:tc>
          <w:tcPr>
            <w:tcW w:w="315" w:type="dxa"/>
            <w:tcBorders>
              <w:bottom w:val="single" w:sz="4" w:space="0" w:color="auto"/>
            </w:tcBorders>
            <w:shd w:val="clear" w:color="auto" w:fill="D6E3BC"/>
          </w:tcPr>
          <w:p w14:paraId="19F40072" w14:textId="77777777" w:rsidR="00BE690A" w:rsidRPr="00373904" w:rsidRDefault="00BE690A" w:rsidP="00931169">
            <w:pPr>
              <w:rPr>
                <w:rFonts w:cs="Calibri"/>
                <w:sz w:val="16"/>
                <w:szCs w:val="16"/>
              </w:rPr>
            </w:pPr>
            <w:r w:rsidRPr="00373904">
              <w:rPr>
                <w:rFonts w:cs="Calibri"/>
                <w:sz w:val="16"/>
                <w:szCs w:val="16"/>
              </w:rPr>
              <w:t>1</w:t>
            </w:r>
          </w:p>
        </w:tc>
        <w:tc>
          <w:tcPr>
            <w:tcW w:w="2406" w:type="dxa"/>
            <w:tcBorders>
              <w:bottom w:val="single" w:sz="4" w:space="0" w:color="auto"/>
            </w:tcBorders>
            <w:shd w:val="clear" w:color="auto" w:fill="auto"/>
          </w:tcPr>
          <w:p w14:paraId="40C1E450"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Zníženie bezpečnosti dopravy</w:t>
            </w:r>
          </w:p>
          <w:p w14:paraId="6960B52A"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Obmedzenie prejazdnosti žel. trate</w:t>
            </w:r>
          </w:p>
        </w:tc>
        <w:tc>
          <w:tcPr>
            <w:tcW w:w="284" w:type="dxa"/>
            <w:tcBorders>
              <w:bottom w:val="single" w:sz="4" w:space="0" w:color="auto"/>
            </w:tcBorders>
            <w:shd w:val="clear" w:color="auto" w:fill="D6E3BC" w:themeFill="accent3" w:themeFillTint="66"/>
          </w:tcPr>
          <w:p w14:paraId="3E12FFDF" w14:textId="77777777" w:rsidR="00BE690A" w:rsidRPr="00373904" w:rsidRDefault="00BE690A" w:rsidP="00931169">
            <w:pPr>
              <w:rPr>
                <w:rFonts w:cs="Calibri"/>
                <w:sz w:val="16"/>
                <w:szCs w:val="16"/>
              </w:rPr>
            </w:pPr>
            <w:r w:rsidRPr="00373904">
              <w:rPr>
                <w:rFonts w:cs="Calibri"/>
                <w:sz w:val="16"/>
                <w:szCs w:val="16"/>
              </w:rPr>
              <w:t>1</w:t>
            </w:r>
          </w:p>
        </w:tc>
      </w:tr>
      <w:tr w:rsidR="00BE690A" w:rsidRPr="00C92614" w14:paraId="55616E37" w14:textId="77777777" w:rsidTr="00BE690A">
        <w:trPr>
          <w:jc w:val="center"/>
        </w:trPr>
        <w:tc>
          <w:tcPr>
            <w:tcW w:w="1274" w:type="dxa"/>
            <w:tcBorders>
              <w:bottom w:val="single" w:sz="4" w:space="0" w:color="auto"/>
            </w:tcBorders>
            <w:shd w:val="clear" w:color="auto" w:fill="auto"/>
          </w:tcPr>
          <w:p w14:paraId="5ED0F5E4" w14:textId="77777777" w:rsidR="00BE690A" w:rsidRPr="00C92614" w:rsidRDefault="00BE690A" w:rsidP="00931169">
            <w:pPr>
              <w:rPr>
                <w:rFonts w:cs="Calibri"/>
                <w:sz w:val="16"/>
                <w:szCs w:val="16"/>
              </w:rPr>
            </w:pPr>
            <w:r w:rsidRPr="00C92614">
              <w:rPr>
                <w:rFonts w:cs="Calibri"/>
                <w:sz w:val="16"/>
                <w:szCs w:val="16"/>
              </w:rPr>
              <w:t>Hmly</w:t>
            </w:r>
          </w:p>
        </w:tc>
        <w:tc>
          <w:tcPr>
            <w:tcW w:w="2694" w:type="dxa"/>
            <w:tcBorders>
              <w:bottom w:val="single" w:sz="4" w:space="0" w:color="auto"/>
            </w:tcBorders>
          </w:tcPr>
          <w:p w14:paraId="117607EB"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Zníženie dohľadnosti</w:t>
            </w:r>
          </w:p>
          <w:p w14:paraId="781A7EE9"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Tvorba poľadovice v zimných mesiacoch</w:t>
            </w:r>
          </w:p>
          <w:p w14:paraId="2B83A7DB" w14:textId="77777777" w:rsidR="00BE690A" w:rsidRPr="00C92614" w:rsidRDefault="00BE690A" w:rsidP="00931169">
            <w:pPr>
              <w:pStyle w:val="Odsekzoznamu"/>
              <w:numPr>
                <w:ilvl w:val="0"/>
                <w:numId w:val="37"/>
              </w:numPr>
              <w:spacing w:after="0" w:line="240" w:lineRule="auto"/>
              <w:ind w:left="212" w:hanging="142"/>
              <w:jc w:val="both"/>
              <w:rPr>
                <w:rFonts w:ascii="Calibri" w:hAnsi="Calibri" w:cs="Calibri"/>
                <w:sz w:val="16"/>
                <w:szCs w:val="16"/>
              </w:rPr>
            </w:pPr>
            <w:r w:rsidRPr="00C92614">
              <w:rPr>
                <w:rFonts w:ascii="Calibri" w:hAnsi="Calibri" w:cs="Calibri"/>
                <w:sz w:val="16"/>
                <w:szCs w:val="16"/>
              </w:rPr>
              <w:t>Tvorba smogu</w:t>
            </w:r>
          </w:p>
        </w:tc>
        <w:tc>
          <w:tcPr>
            <w:tcW w:w="2378" w:type="dxa"/>
            <w:tcBorders>
              <w:bottom w:val="single" w:sz="4" w:space="0" w:color="auto"/>
            </w:tcBorders>
            <w:shd w:val="clear" w:color="auto" w:fill="auto"/>
          </w:tcPr>
          <w:p w14:paraId="74CB5618" w14:textId="77777777" w:rsidR="00BE690A" w:rsidRPr="00373904" w:rsidRDefault="00BE690A" w:rsidP="00931169">
            <w:pPr>
              <w:pStyle w:val="Odsekzoznamu"/>
              <w:numPr>
                <w:ilvl w:val="0"/>
                <w:numId w:val="37"/>
              </w:numPr>
              <w:spacing w:after="0" w:line="240" w:lineRule="auto"/>
              <w:ind w:left="175" w:hanging="142"/>
              <w:jc w:val="both"/>
              <w:rPr>
                <w:rFonts w:ascii="Calibri" w:hAnsi="Calibri" w:cs="Calibri"/>
                <w:sz w:val="16"/>
                <w:szCs w:val="16"/>
              </w:rPr>
            </w:pPr>
            <w:r w:rsidRPr="00373904">
              <w:rPr>
                <w:rFonts w:ascii="Calibri" w:hAnsi="Calibri" w:cs="Calibri"/>
                <w:sz w:val="16"/>
                <w:szCs w:val="16"/>
              </w:rPr>
              <w:t>Nepredpokladá sa ovplyvnenie</w:t>
            </w:r>
          </w:p>
        </w:tc>
        <w:tc>
          <w:tcPr>
            <w:tcW w:w="315" w:type="dxa"/>
            <w:tcBorders>
              <w:bottom w:val="single" w:sz="4" w:space="0" w:color="auto"/>
            </w:tcBorders>
            <w:shd w:val="clear" w:color="auto" w:fill="D6E3BC" w:themeFill="accent3" w:themeFillTint="66"/>
          </w:tcPr>
          <w:p w14:paraId="37B2D93F" w14:textId="77777777" w:rsidR="00BE690A" w:rsidRPr="00373904" w:rsidRDefault="00BE690A" w:rsidP="00931169">
            <w:pPr>
              <w:rPr>
                <w:rFonts w:cs="Calibri"/>
                <w:sz w:val="16"/>
                <w:szCs w:val="16"/>
              </w:rPr>
            </w:pPr>
            <w:r w:rsidRPr="00373904">
              <w:rPr>
                <w:rFonts w:cs="Calibri"/>
                <w:sz w:val="16"/>
                <w:szCs w:val="16"/>
              </w:rPr>
              <w:t>1</w:t>
            </w:r>
          </w:p>
        </w:tc>
        <w:tc>
          <w:tcPr>
            <w:tcW w:w="2406" w:type="dxa"/>
            <w:tcBorders>
              <w:bottom w:val="single" w:sz="4" w:space="0" w:color="auto"/>
            </w:tcBorders>
            <w:shd w:val="clear" w:color="auto" w:fill="auto"/>
          </w:tcPr>
          <w:p w14:paraId="6345098C"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Vyššie riziko vzniku dopravných nehôd</w:t>
            </w:r>
          </w:p>
          <w:p w14:paraId="6A8C1A85" w14:textId="77777777" w:rsidR="00BE690A" w:rsidRPr="00373904" w:rsidRDefault="00BE690A" w:rsidP="00931169">
            <w:pPr>
              <w:pStyle w:val="Odsekzoznamu"/>
              <w:numPr>
                <w:ilvl w:val="0"/>
                <w:numId w:val="37"/>
              </w:numPr>
              <w:spacing w:after="0" w:line="240" w:lineRule="auto"/>
              <w:ind w:left="175" w:hanging="141"/>
              <w:jc w:val="both"/>
              <w:rPr>
                <w:rFonts w:ascii="Calibri" w:hAnsi="Calibri" w:cs="Calibri"/>
                <w:sz w:val="16"/>
                <w:szCs w:val="16"/>
              </w:rPr>
            </w:pPr>
            <w:r w:rsidRPr="00373904">
              <w:rPr>
                <w:rFonts w:ascii="Calibri" w:hAnsi="Calibri" w:cs="Calibri"/>
                <w:sz w:val="16"/>
                <w:szCs w:val="16"/>
              </w:rPr>
              <w:t>Obmedzenie prejazdnosti žel. trate</w:t>
            </w:r>
          </w:p>
        </w:tc>
        <w:tc>
          <w:tcPr>
            <w:tcW w:w="284" w:type="dxa"/>
            <w:tcBorders>
              <w:bottom w:val="single" w:sz="4" w:space="0" w:color="auto"/>
            </w:tcBorders>
            <w:shd w:val="clear" w:color="auto" w:fill="D6E3BC" w:themeFill="accent3" w:themeFillTint="66"/>
          </w:tcPr>
          <w:p w14:paraId="1BE25847" w14:textId="77777777" w:rsidR="00BE690A" w:rsidRPr="00373904" w:rsidRDefault="00BE690A" w:rsidP="00931169">
            <w:pPr>
              <w:rPr>
                <w:rFonts w:cs="Calibri"/>
                <w:sz w:val="16"/>
                <w:szCs w:val="16"/>
              </w:rPr>
            </w:pPr>
            <w:r w:rsidRPr="00373904">
              <w:rPr>
                <w:rFonts w:cs="Calibri"/>
                <w:sz w:val="16"/>
                <w:szCs w:val="16"/>
              </w:rPr>
              <w:t>1</w:t>
            </w:r>
          </w:p>
        </w:tc>
      </w:tr>
    </w:tbl>
    <w:p w14:paraId="15CE0654" w14:textId="77777777" w:rsidR="00BE690A" w:rsidRDefault="00BE690A" w:rsidP="00931169">
      <w:pPr>
        <w:ind w:firstLine="708"/>
      </w:pPr>
      <w:r w:rsidRPr="000A1982">
        <w:t xml:space="preserve">Na základe vykonanej analýzy pravdepodobných dopadov hodnotených rizikových klimatických javov </w:t>
      </w:r>
      <w:r w:rsidRPr="00D83B0F">
        <w:t xml:space="preserve">možno konštatovať, že </w:t>
      </w:r>
      <w:r w:rsidRPr="00D83B0F">
        <w:rPr>
          <w:b/>
        </w:rPr>
        <w:t xml:space="preserve">bola identifikovaná významná miera citlivosti žel. infraštruktúry </w:t>
      </w:r>
      <w:r>
        <w:rPr>
          <w:b/>
        </w:rPr>
        <w:t>na vznik zosuvov</w:t>
      </w:r>
      <w:r>
        <w:t xml:space="preserve">, ktoré môžu vyvolať významné poškodenia žel. trate a súvisiacej infraštruktúry a spomaliť až úplne znemožniť dopravu na zasiahnutom úseku trate. Mierna citlivosť bola vyhodnotená pre klimatické faktory silný vietor, vysoké teploty, snehové a námrazové javy, búrkové javy a povodne, ktoré majú dopad na stav a funkčnosť žel. infraštruktúry, mnohokrát s </w:t>
      </w:r>
      <w:r w:rsidRPr="00D83B0F">
        <w:t xml:space="preserve">následkami spomalenia </w:t>
      </w:r>
      <w:r>
        <w:t xml:space="preserve">či dočasného prerušenia </w:t>
      </w:r>
      <w:r w:rsidRPr="00D83B0F">
        <w:t>prevádzky</w:t>
      </w:r>
      <w:r>
        <w:t xml:space="preserve">, avšak náprava a odstránenie porúch si nevyžaduje náročné technické zásahy a mnohé sú zvládnuteľné v rámci bežnej prevádzky. </w:t>
      </w:r>
    </w:p>
    <w:p w14:paraId="1BD58FE5" w14:textId="18A061DD" w:rsidR="00BE690A" w:rsidRDefault="00BE690A" w:rsidP="00931169">
      <w:pPr>
        <w:ind w:firstLine="708"/>
      </w:pPr>
      <w:r>
        <w:t>V ŽST Čadca (II. etapa) a v</w:t>
      </w:r>
      <w:r w:rsidR="00501F79">
        <w:t xml:space="preserve"> medzistaničnom </w:t>
      </w:r>
      <w:r>
        <w:t xml:space="preserve">úseku </w:t>
      </w:r>
      <w:r w:rsidR="00501F79">
        <w:t xml:space="preserve">ŽST </w:t>
      </w:r>
      <w:r>
        <w:t>Čadca</w:t>
      </w:r>
      <w:r w:rsidR="00501F79">
        <w:t xml:space="preserve"> (mimo)</w:t>
      </w:r>
      <w:r>
        <w:t xml:space="preserve"> – štátna hranica</w:t>
      </w:r>
      <w:r w:rsidR="00501F79">
        <w:t xml:space="preserve"> SR/ČR</w:t>
      </w:r>
      <w:r>
        <w:t xml:space="preserve"> (III. etapa) nevykazujú hodnotené varianty žiadne významné rozdiely v citlivosti voči pôsobeniu klimatických javov. Rozdiely</w:t>
      </w:r>
      <w:r w:rsidRPr="004C1703">
        <w:t xml:space="preserve"> </w:t>
      </w:r>
      <w:r>
        <w:t xml:space="preserve">sú pozorované </w:t>
      </w:r>
      <w:r w:rsidRPr="004C1703">
        <w:t>len v</w:t>
      </w:r>
      <w:r w:rsidR="00501F79">
        <w:t xml:space="preserve"> medzistaničnom</w:t>
      </w:r>
      <w:r w:rsidRPr="004C1703">
        <w:t xml:space="preserve"> úseku Krásno </w:t>
      </w:r>
      <w:r w:rsidRPr="00501F79">
        <w:t xml:space="preserve">nad Kysucou – Čadca (I. etapa), v ktorom sa varianty značne líšia návrhom trasovania -  variant </w:t>
      </w:r>
      <w:r w:rsidR="00501F79" w:rsidRPr="00501F79">
        <w:t xml:space="preserve">B </w:t>
      </w:r>
      <w:r w:rsidRPr="00501F79">
        <w:t>uvažuj</w:t>
      </w:r>
      <w:r w:rsidR="00DD442A">
        <w:t>e</w:t>
      </w:r>
      <w:r w:rsidRPr="00501F79">
        <w:t xml:space="preserve"> s vedením trate vo veľkej časti v tuneloch, ktoré priame pôsobenie</w:t>
      </w:r>
      <w:r>
        <w:t xml:space="preserve"> väčšiny klimatických faktorov na trať eliminujú a súčasne sa zníži počet technických objektov na trati (mostov, priepustov, oporných a zárubných múrov a pod.), ktoré bude potrebné dimenzovať na očakávané udalosti. Z uvedených dôvodov je citlivosť voči pôsobeniu negatívnych dopadov klimatických javov týchto variantov v porovnaní s variantom </w:t>
      </w:r>
      <w:r w:rsidR="00501F79">
        <w:t>A</w:t>
      </w:r>
      <w:r w:rsidR="00DD442A">
        <w:t> a C</w:t>
      </w:r>
      <w:r>
        <w:t xml:space="preserve"> vedeným z väčšej časti v pôvodnom telese minimálna. Okrem samotnej výstavby, sú tu citlivými najmä miesta vstupov/výstupov z tunelových rúr a ich odvodňovacie systémy.  </w:t>
      </w:r>
    </w:p>
    <w:p w14:paraId="6AFE13B0" w14:textId="77777777" w:rsidR="00BE690A" w:rsidRDefault="00BE690A" w:rsidP="00931169">
      <w:pPr>
        <w:pStyle w:val="Nadpis2"/>
      </w:pPr>
      <w:bookmarkStart w:id="56" w:name="_Toc24659585"/>
      <w:bookmarkStart w:id="57" w:name="_Toc24660431"/>
      <w:bookmarkStart w:id="58" w:name="_Toc24661441"/>
      <w:bookmarkStart w:id="59" w:name="_Toc88652930"/>
      <w:r>
        <w:t>Analýza expozície a vývoja rizikových klimatických javov:</w:t>
      </w:r>
      <w:bookmarkEnd w:id="56"/>
      <w:bookmarkEnd w:id="57"/>
      <w:bookmarkEnd w:id="58"/>
      <w:bookmarkEnd w:id="59"/>
    </w:p>
    <w:p w14:paraId="30463C6D" w14:textId="77777777" w:rsidR="00BE690A" w:rsidRDefault="00BE690A" w:rsidP="00931169">
      <w:pPr>
        <w:keepNext/>
        <w:ind w:firstLine="708"/>
        <w:rPr>
          <w:rFonts w:cs="Calibri"/>
        </w:rPr>
      </w:pPr>
      <w:r>
        <w:t xml:space="preserve">Pre rizikové klimatické javy bola spracovaná podrobná </w:t>
      </w:r>
      <w:r w:rsidRPr="00F77FAC">
        <w:t xml:space="preserve">analýza </w:t>
      </w:r>
      <w:r>
        <w:t xml:space="preserve">ich </w:t>
      </w:r>
      <w:r w:rsidRPr="00F77FAC">
        <w:t>stavu</w:t>
      </w:r>
      <w:r>
        <w:t xml:space="preserve"> </w:t>
      </w:r>
      <w:r w:rsidRPr="00F77FAC">
        <w:t xml:space="preserve">a trendov vývoja </w:t>
      </w:r>
      <w:r>
        <w:t xml:space="preserve">v riešenom </w:t>
      </w:r>
      <w:r w:rsidRPr="00757146">
        <w:t xml:space="preserve">území </w:t>
      </w:r>
      <w:r>
        <w:t>okresu</w:t>
      </w:r>
      <w:r w:rsidRPr="00757146">
        <w:t xml:space="preserve"> </w:t>
      </w:r>
      <w:r>
        <w:t>Čadca</w:t>
      </w:r>
      <w:r w:rsidRPr="00757146">
        <w:t xml:space="preserve">, boli identifikované úseky žel. trate vystavené ich </w:t>
      </w:r>
      <w:r w:rsidRPr="00757146">
        <w:lastRenderedPageBreak/>
        <w:t>pôsobeniu a stanovená</w:t>
      </w:r>
      <w:r w:rsidRPr="00F77FAC">
        <w:t xml:space="preserve"> miera </w:t>
      </w:r>
      <w:r>
        <w:t>expozície</w:t>
      </w:r>
      <w:r w:rsidRPr="00F77FAC">
        <w:t xml:space="preserve"> projektu</w:t>
      </w:r>
      <w:r>
        <w:t xml:space="preserve"> osobitne v kontexte </w:t>
      </w:r>
      <w:r>
        <w:rPr>
          <w:rFonts w:cs="Calibri"/>
        </w:rPr>
        <w:t>žel. infraštruktúry a žel. prevádzky.</w:t>
      </w:r>
    </w:p>
    <w:p w14:paraId="1188F43F" w14:textId="77777777" w:rsidR="00BE690A" w:rsidRDefault="00BE690A" w:rsidP="00931169">
      <w:pPr>
        <w:ind w:firstLine="708"/>
      </w:pPr>
      <w:r w:rsidRPr="0012779D">
        <w:t xml:space="preserve">Podkladom pre analýzu </w:t>
      </w:r>
      <w:r>
        <w:t xml:space="preserve">doterajších prejavov klimatických charakteristík v území </w:t>
      </w:r>
      <w:r w:rsidRPr="0012779D">
        <w:t>boli dostupné údaje charakterizujúce</w:t>
      </w:r>
      <w:r>
        <w:t xml:space="preserve"> </w:t>
      </w:r>
      <w:r w:rsidRPr="0012779D">
        <w:t xml:space="preserve">hlavné meteorologické a hydrologické charakteristiky dotknutého územia </w:t>
      </w:r>
      <w:r>
        <w:t xml:space="preserve">– dáta </w:t>
      </w:r>
      <w:r w:rsidRPr="0012779D">
        <w:t>z informačných systémov životného prostredia odborných organizácií SHMÚ (www.shmu.sk, www.klimat.shmu.sk), VÚVH (www.vuvh.sk), MŽP SR (www.minzp.sk) a ŠGÚDŠ (</w:t>
      </w:r>
      <w:r w:rsidRPr="00C41AE6">
        <w:t>www.geology.sk</w:t>
      </w:r>
      <w:r w:rsidRPr="0012779D">
        <w:t>)</w:t>
      </w:r>
      <w:r>
        <w:t>, údaje z vykonaných IGP prieskumov (CAD-ECO a.s., 2012) a</w:t>
      </w:r>
      <w:r w:rsidRPr="0012779D">
        <w:t xml:space="preserve"> údaje</w:t>
      </w:r>
      <w:r>
        <w:t xml:space="preserve"> z </w:t>
      </w:r>
      <w:r w:rsidRPr="00757146">
        <w:t xml:space="preserve">evidencie </w:t>
      </w:r>
      <w:r>
        <w:t>mimoriadnych udalos</w:t>
      </w:r>
      <w:r w:rsidRPr="00B85311">
        <w:t xml:space="preserve">tí ŽSR GR, Odboru oznamovacej a zabezpečovacej techniky a elektrotechniky a ŽSR OR Žilina. Pre </w:t>
      </w:r>
      <w:r w:rsidRPr="0012779D">
        <w:t>opis budúceho vývoja klimatických charakteristík boli využité prognózy uvedené Stratégii adaptácie Slovenskej republiky na nepriaznivé dôsledky zmen</w:t>
      </w:r>
      <w:r>
        <w:t>y klímy - aktualizácia (2018).</w:t>
      </w:r>
    </w:p>
    <w:p w14:paraId="2F235044" w14:textId="77777777" w:rsidR="00BE690A" w:rsidRDefault="00BE690A" w:rsidP="00931169">
      <w:pPr>
        <w:keepNext/>
      </w:pPr>
    </w:p>
    <w:p w14:paraId="4E0ED5C6" w14:textId="7F991764" w:rsidR="00BE690A" w:rsidRPr="00377566" w:rsidRDefault="00BE690A" w:rsidP="00931169">
      <w:pPr>
        <w:keepNext/>
      </w:pPr>
      <w:r w:rsidRPr="00377566">
        <w:t xml:space="preserve">Využitá bola trojstupňová hodnotiaca škála pravdepodobnosti ovplyvnenia projektu: </w:t>
      </w:r>
    </w:p>
    <w:tbl>
      <w:tblPr>
        <w:tblW w:w="928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07"/>
        <w:gridCol w:w="1843"/>
        <w:gridCol w:w="6736"/>
      </w:tblGrid>
      <w:tr w:rsidR="00BE690A" w:rsidRPr="002B14A0" w14:paraId="3802E1B6" w14:textId="77777777" w:rsidTr="00BE690A">
        <w:trPr>
          <w:jc w:val="center"/>
        </w:trPr>
        <w:tc>
          <w:tcPr>
            <w:tcW w:w="2550" w:type="dxa"/>
            <w:gridSpan w:val="2"/>
            <w:shd w:val="clear" w:color="auto" w:fill="auto"/>
          </w:tcPr>
          <w:p w14:paraId="2A2BF24F" w14:textId="77777777" w:rsidR="00BE690A" w:rsidRPr="00F659C0" w:rsidRDefault="00BE690A" w:rsidP="00931169">
            <w:pPr>
              <w:keepNext/>
              <w:rPr>
                <w:rFonts w:eastAsia="Calibri"/>
                <w:b/>
                <w:sz w:val="18"/>
              </w:rPr>
            </w:pPr>
            <w:r w:rsidRPr="00F659C0">
              <w:rPr>
                <w:rFonts w:eastAsia="Calibri"/>
                <w:b/>
                <w:sz w:val="18"/>
              </w:rPr>
              <w:t xml:space="preserve">Miera </w:t>
            </w:r>
            <w:r>
              <w:rPr>
                <w:rFonts w:eastAsia="Calibri"/>
                <w:b/>
                <w:sz w:val="18"/>
              </w:rPr>
              <w:t>expozície</w:t>
            </w:r>
          </w:p>
        </w:tc>
        <w:tc>
          <w:tcPr>
            <w:tcW w:w="6736" w:type="dxa"/>
            <w:shd w:val="clear" w:color="auto" w:fill="auto"/>
            <w:vAlign w:val="center"/>
          </w:tcPr>
          <w:p w14:paraId="72FB9152" w14:textId="77777777" w:rsidR="00BE690A" w:rsidRPr="00F659C0" w:rsidRDefault="00BE690A" w:rsidP="00931169">
            <w:pPr>
              <w:keepNext/>
              <w:rPr>
                <w:rFonts w:eastAsia="Calibri"/>
                <w:b/>
                <w:sz w:val="18"/>
              </w:rPr>
            </w:pPr>
            <w:r w:rsidRPr="00F659C0">
              <w:rPr>
                <w:rFonts w:eastAsia="Calibri"/>
                <w:b/>
                <w:sz w:val="18"/>
              </w:rPr>
              <w:t>Popis</w:t>
            </w:r>
          </w:p>
        </w:tc>
      </w:tr>
      <w:tr w:rsidR="00BE690A" w:rsidRPr="002B14A0" w14:paraId="63BD8979" w14:textId="77777777" w:rsidTr="00BE690A">
        <w:trPr>
          <w:jc w:val="center"/>
        </w:trPr>
        <w:tc>
          <w:tcPr>
            <w:tcW w:w="707" w:type="dxa"/>
            <w:shd w:val="clear" w:color="auto" w:fill="D6E3BC" w:themeFill="accent3" w:themeFillTint="66"/>
            <w:vAlign w:val="center"/>
          </w:tcPr>
          <w:p w14:paraId="6199E4BF" w14:textId="77777777" w:rsidR="00BE690A" w:rsidRPr="00F659C0" w:rsidRDefault="00BE690A" w:rsidP="00931169">
            <w:pPr>
              <w:keepNext/>
              <w:rPr>
                <w:rFonts w:eastAsia="Calibri"/>
                <w:sz w:val="18"/>
              </w:rPr>
            </w:pPr>
            <w:r w:rsidRPr="00F659C0">
              <w:rPr>
                <w:rFonts w:eastAsia="Calibri"/>
                <w:sz w:val="18"/>
              </w:rPr>
              <w:t>1</w:t>
            </w:r>
          </w:p>
        </w:tc>
        <w:tc>
          <w:tcPr>
            <w:tcW w:w="1843" w:type="dxa"/>
            <w:shd w:val="clear" w:color="auto" w:fill="D6E3BC" w:themeFill="accent3" w:themeFillTint="66"/>
            <w:vAlign w:val="center"/>
          </w:tcPr>
          <w:p w14:paraId="67E96739" w14:textId="77777777" w:rsidR="00BE690A" w:rsidRPr="00F659C0" w:rsidRDefault="00BE690A" w:rsidP="00931169">
            <w:pPr>
              <w:keepNext/>
              <w:rPr>
                <w:rFonts w:eastAsia="Calibri"/>
                <w:sz w:val="18"/>
              </w:rPr>
            </w:pPr>
            <w:r w:rsidRPr="00F659C0">
              <w:rPr>
                <w:rFonts w:eastAsia="Calibri"/>
                <w:sz w:val="18"/>
              </w:rPr>
              <w:t xml:space="preserve">žiadna až nízka </w:t>
            </w:r>
          </w:p>
        </w:tc>
        <w:tc>
          <w:tcPr>
            <w:tcW w:w="6736" w:type="dxa"/>
            <w:shd w:val="clear" w:color="auto" w:fill="auto"/>
          </w:tcPr>
          <w:p w14:paraId="0029EEDF" w14:textId="77777777" w:rsidR="00BE690A" w:rsidRPr="00F659C0" w:rsidRDefault="00BE690A" w:rsidP="00931169">
            <w:pPr>
              <w:keepNext/>
              <w:rPr>
                <w:rFonts w:eastAsia="Calibri"/>
                <w:sz w:val="18"/>
              </w:rPr>
            </w:pPr>
            <w:r w:rsidRPr="00F659C0">
              <w:rPr>
                <w:rFonts w:eastAsia="Calibri"/>
                <w:sz w:val="18"/>
              </w:rPr>
              <w:t>Nepredpokladá sa expozícia dotknutého územia daným klimatickým javom resp. v prípade jeho výskyt je minimálny alebo bude územie nie je takmer vôbec ovplyvnené.</w:t>
            </w:r>
          </w:p>
        </w:tc>
      </w:tr>
      <w:tr w:rsidR="00BE690A" w:rsidRPr="002B14A0" w14:paraId="41725341" w14:textId="77777777" w:rsidTr="00BE690A">
        <w:trPr>
          <w:jc w:val="center"/>
        </w:trPr>
        <w:tc>
          <w:tcPr>
            <w:tcW w:w="707" w:type="dxa"/>
            <w:shd w:val="clear" w:color="auto" w:fill="FFFF97"/>
            <w:vAlign w:val="center"/>
          </w:tcPr>
          <w:p w14:paraId="794FC417" w14:textId="77777777" w:rsidR="00BE690A" w:rsidRPr="00F659C0" w:rsidRDefault="00BE690A" w:rsidP="00931169">
            <w:pPr>
              <w:rPr>
                <w:rFonts w:eastAsia="Calibri"/>
                <w:sz w:val="18"/>
              </w:rPr>
            </w:pPr>
            <w:r w:rsidRPr="00F659C0">
              <w:rPr>
                <w:rFonts w:eastAsia="Calibri"/>
                <w:sz w:val="18"/>
              </w:rPr>
              <w:t>2</w:t>
            </w:r>
          </w:p>
        </w:tc>
        <w:tc>
          <w:tcPr>
            <w:tcW w:w="1843" w:type="dxa"/>
            <w:shd w:val="clear" w:color="auto" w:fill="FFFF97"/>
            <w:vAlign w:val="center"/>
          </w:tcPr>
          <w:p w14:paraId="0422AC7B" w14:textId="77777777" w:rsidR="00BE690A" w:rsidRPr="00F659C0" w:rsidRDefault="00BE690A" w:rsidP="00931169">
            <w:pPr>
              <w:rPr>
                <w:rFonts w:eastAsia="Calibri"/>
                <w:sz w:val="18"/>
              </w:rPr>
            </w:pPr>
            <w:r w:rsidRPr="00F659C0">
              <w:rPr>
                <w:rFonts w:eastAsia="Calibri"/>
                <w:sz w:val="18"/>
              </w:rPr>
              <w:t xml:space="preserve">mierna </w:t>
            </w:r>
          </w:p>
        </w:tc>
        <w:tc>
          <w:tcPr>
            <w:tcW w:w="6736" w:type="dxa"/>
            <w:shd w:val="clear" w:color="auto" w:fill="auto"/>
          </w:tcPr>
          <w:p w14:paraId="413FA38E" w14:textId="77777777" w:rsidR="00BE690A" w:rsidRPr="00F659C0" w:rsidRDefault="00BE690A" w:rsidP="00931169">
            <w:pPr>
              <w:rPr>
                <w:rFonts w:eastAsia="Calibri"/>
                <w:sz w:val="18"/>
              </w:rPr>
            </w:pPr>
            <w:r w:rsidRPr="00F659C0">
              <w:rPr>
                <w:rFonts w:eastAsia="Calibri"/>
                <w:sz w:val="18"/>
              </w:rPr>
              <w:t>Predpokladá sa len občasný výskyt javu príp. minimálna disturbancia dotknutého územia spôsobená daným klimatickým faktorom.</w:t>
            </w:r>
          </w:p>
        </w:tc>
      </w:tr>
      <w:tr w:rsidR="00BE690A" w:rsidRPr="002B14A0" w14:paraId="43084E3A" w14:textId="77777777" w:rsidTr="00BE690A">
        <w:trPr>
          <w:jc w:val="center"/>
        </w:trPr>
        <w:tc>
          <w:tcPr>
            <w:tcW w:w="707" w:type="dxa"/>
            <w:shd w:val="clear" w:color="auto" w:fill="FFA48F"/>
            <w:vAlign w:val="center"/>
          </w:tcPr>
          <w:p w14:paraId="59F0C831" w14:textId="77777777" w:rsidR="00BE690A" w:rsidRPr="00F659C0" w:rsidRDefault="00BE690A" w:rsidP="00931169">
            <w:pPr>
              <w:rPr>
                <w:rFonts w:eastAsia="Calibri"/>
                <w:sz w:val="18"/>
              </w:rPr>
            </w:pPr>
            <w:r w:rsidRPr="00F659C0">
              <w:rPr>
                <w:rFonts w:eastAsia="Calibri"/>
                <w:sz w:val="18"/>
              </w:rPr>
              <w:t>3</w:t>
            </w:r>
          </w:p>
        </w:tc>
        <w:tc>
          <w:tcPr>
            <w:tcW w:w="1843" w:type="dxa"/>
            <w:shd w:val="clear" w:color="auto" w:fill="FFA48F"/>
            <w:vAlign w:val="center"/>
          </w:tcPr>
          <w:p w14:paraId="053CE901" w14:textId="77777777" w:rsidR="00BE690A" w:rsidRPr="00F659C0" w:rsidRDefault="00BE690A" w:rsidP="00931169">
            <w:pPr>
              <w:rPr>
                <w:rFonts w:eastAsia="Calibri"/>
                <w:sz w:val="18"/>
              </w:rPr>
            </w:pPr>
            <w:r w:rsidRPr="00F659C0">
              <w:rPr>
                <w:rFonts w:eastAsia="Calibri"/>
                <w:sz w:val="18"/>
              </w:rPr>
              <w:t xml:space="preserve">významná </w:t>
            </w:r>
          </w:p>
        </w:tc>
        <w:tc>
          <w:tcPr>
            <w:tcW w:w="6736" w:type="dxa"/>
            <w:shd w:val="clear" w:color="auto" w:fill="auto"/>
          </w:tcPr>
          <w:p w14:paraId="0CC37FBE" w14:textId="77777777" w:rsidR="00BE690A" w:rsidRPr="00F659C0" w:rsidRDefault="00BE690A" w:rsidP="00931169">
            <w:pPr>
              <w:rPr>
                <w:rFonts w:eastAsia="Calibri"/>
                <w:sz w:val="18"/>
              </w:rPr>
            </w:pPr>
            <w:r w:rsidRPr="00F659C0">
              <w:rPr>
                <w:rFonts w:eastAsia="Calibri"/>
                <w:sz w:val="18"/>
              </w:rPr>
              <w:t>Predpokladá sa častý výskyt javu resp. významná degradácia dotknutého územia vplyvom daného klimatického javu.</w:t>
            </w:r>
          </w:p>
        </w:tc>
      </w:tr>
    </w:tbl>
    <w:p w14:paraId="74D819A2" w14:textId="77777777" w:rsidR="005940CA" w:rsidRDefault="005940CA" w:rsidP="00931169"/>
    <w:p w14:paraId="30ADD55F" w14:textId="3A6CA968" w:rsidR="00BE690A" w:rsidRPr="00377566" w:rsidRDefault="00BE690A" w:rsidP="00931169">
      <w:r w:rsidRPr="00377566">
        <w:t>Výsledná tabuľka</w:t>
      </w:r>
      <w:r w:rsidR="005940CA">
        <w:t xml:space="preserve"> 7</w:t>
      </w:r>
      <w:r w:rsidRPr="00377566">
        <w:t xml:space="preserve"> expozície:</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8"/>
        <w:gridCol w:w="7088"/>
      </w:tblGrid>
      <w:tr w:rsidR="00BE690A" w:rsidRPr="00C92614" w14:paraId="71E175A6" w14:textId="77777777" w:rsidTr="00BE690A">
        <w:trPr>
          <w:tblHeader/>
        </w:trPr>
        <w:tc>
          <w:tcPr>
            <w:tcW w:w="9356" w:type="dxa"/>
            <w:gridSpan w:val="2"/>
            <w:shd w:val="clear" w:color="auto" w:fill="auto"/>
          </w:tcPr>
          <w:p w14:paraId="17DF703C" w14:textId="77777777" w:rsidR="00BE690A" w:rsidRPr="00C92614" w:rsidRDefault="00BE690A" w:rsidP="00931169">
            <w:pPr>
              <w:rPr>
                <w:b/>
                <w:sz w:val="18"/>
                <w:szCs w:val="16"/>
              </w:rPr>
            </w:pPr>
            <w:r w:rsidRPr="00C92614">
              <w:rPr>
                <w:b/>
                <w:sz w:val="18"/>
                <w:szCs w:val="16"/>
              </w:rPr>
              <w:t>Rizikové klimatické javy a expozícia projektu</w:t>
            </w:r>
          </w:p>
        </w:tc>
      </w:tr>
      <w:tr w:rsidR="00BE690A" w:rsidRPr="00C92614" w14:paraId="195FC8F0" w14:textId="77777777" w:rsidTr="00BE690A">
        <w:tc>
          <w:tcPr>
            <w:tcW w:w="2268" w:type="dxa"/>
            <w:shd w:val="clear" w:color="auto" w:fill="FFFFFF"/>
            <w:vAlign w:val="center"/>
          </w:tcPr>
          <w:p w14:paraId="716B68EC"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FFFFFF"/>
            <w:vAlign w:val="center"/>
          </w:tcPr>
          <w:p w14:paraId="40A51D3F" w14:textId="77777777" w:rsidR="00BE690A" w:rsidRPr="00C92614" w:rsidRDefault="00BE690A" w:rsidP="00931169">
            <w:pPr>
              <w:rPr>
                <w:b/>
                <w:sz w:val="16"/>
                <w:szCs w:val="16"/>
              </w:rPr>
            </w:pPr>
            <w:r w:rsidRPr="00C92614">
              <w:rPr>
                <w:b/>
                <w:sz w:val="16"/>
                <w:szCs w:val="16"/>
              </w:rPr>
              <w:t xml:space="preserve">Silný vietor </w:t>
            </w:r>
          </w:p>
        </w:tc>
      </w:tr>
      <w:tr w:rsidR="00BE690A" w:rsidRPr="00C92614" w14:paraId="2375EDAD" w14:textId="77777777" w:rsidTr="00BE690A">
        <w:tc>
          <w:tcPr>
            <w:tcW w:w="2268" w:type="dxa"/>
            <w:shd w:val="clear" w:color="auto" w:fill="FFFFFF"/>
          </w:tcPr>
          <w:p w14:paraId="0AAC6ADE"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138C8BA9" w14:textId="77777777" w:rsidR="00BE690A" w:rsidRDefault="00BE690A" w:rsidP="00931169">
            <w:pPr>
              <w:rPr>
                <w:sz w:val="16"/>
                <w:szCs w:val="16"/>
              </w:rPr>
            </w:pPr>
            <w:r w:rsidRPr="00641EFF">
              <w:rPr>
                <w:sz w:val="16"/>
                <w:szCs w:val="16"/>
              </w:rPr>
              <w:t>Určujúcim faktorom prevládajúcich smerov vetra sú orografické pomery územia</w:t>
            </w:r>
            <w:r>
              <w:rPr>
                <w:sz w:val="16"/>
                <w:szCs w:val="16"/>
              </w:rPr>
              <w:t>, ktoré je veľmi členité s kotlinovým aj vrchovinovým charakterom, a stret oceánskych a kontinentálnych vplyvov v danej oblasti. V ročnom priemere v oblasti Čadce prevládajú severné, juhozápadné až západné vetry, v Krásne nad Kysucou prevládajú severné až západné vetry a v doline rieky Kysuca severné a južné vetry.</w:t>
            </w:r>
          </w:p>
          <w:p w14:paraId="11D6910A" w14:textId="77777777" w:rsidR="00BE690A" w:rsidRDefault="00BE690A" w:rsidP="00931169">
            <w:pPr>
              <w:rPr>
                <w:sz w:val="16"/>
                <w:szCs w:val="16"/>
              </w:rPr>
            </w:pPr>
            <w:r w:rsidRPr="00C92614">
              <w:rPr>
                <w:sz w:val="16"/>
                <w:szCs w:val="16"/>
              </w:rPr>
              <w:t>Dlhodobá priemerná rýchlosť vetra za ob</w:t>
            </w:r>
            <w:r>
              <w:rPr>
                <w:sz w:val="16"/>
                <w:szCs w:val="16"/>
              </w:rPr>
              <w:t>dobie rokov 1961 - 2010 dosahuje</w:t>
            </w:r>
            <w:r w:rsidRPr="00C92614">
              <w:rPr>
                <w:sz w:val="16"/>
                <w:szCs w:val="16"/>
              </w:rPr>
              <w:t xml:space="preserve"> 2,7 – 2,9</w:t>
            </w:r>
            <w:r>
              <w:rPr>
                <w:sz w:val="16"/>
                <w:szCs w:val="16"/>
              </w:rPr>
              <w:t xml:space="preserve"> m/s v južnej časti územia (Krásno nad Kysucou – Čadca), smerom k štátnej hranici stúpa na 3,0 – 2,3 m/s. </w:t>
            </w:r>
          </w:p>
          <w:p w14:paraId="6F86DA69" w14:textId="77777777" w:rsidR="00BE690A" w:rsidRPr="00B7138F" w:rsidRDefault="00BE690A" w:rsidP="00931169">
            <w:pPr>
              <w:rPr>
                <w:sz w:val="16"/>
                <w:szCs w:val="16"/>
              </w:rPr>
            </w:pPr>
            <w:r>
              <w:rPr>
                <w:sz w:val="16"/>
                <w:szCs w:val="16"/>
              </w:rPr>
              <w:t>Najsilnejšie prúdenie vzduchu v území je typické pre jarné mesiace, najmenej veterným obdobím je koniec leta v auguste a v septembri, najviac bezveterných dní pripadá na koniec leta a jesenné obdobie.</w:t>
            </w:r>
          </w:p>
        </w:tc>
      </w:tr>
      <w:tr w:rsidR="00BE690A" w:rsidRPr="00C92614" w14:paraId="21188243" w14:textId="77777777" w:rsidTr="00BE690A">
        <w:tc>
          <w:tcPr>
            <w:tcW w:w="2268" w:type="dxa"/>
            <w:shd w:val="clear" w:color="auto" w:fill="FFFFFF"/>
          </w:tcPr>
          <w:p w14:paraId="7E2BBF50"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tcPr>
          <w:p w14:paraId="6F576C7A" w14:textId="77777777" w:rsidR="00BE690A" w:rsidRDefault="00BE690A" w:rsidP="00931169">
            <w:pPr>
              <w:rPr>
                <w:sz w:val="16"/>
                <w:szCs w:val="16"/>
              </w:rPr>
            </w:pPr>
            <w:r w:rsidRPr="00DA4D9D">
              <w:rPr>
                <w:sz w:val="16"/>
                <w:szCs w:val="16"/>
              </w:rPr>
              <w:t xml:space="preserve">Pre riešené územie boli v posledných rokoch vydané viaceré výstrahy SHMÚ pred pôsobením silného až nárazového vetra. </w:t>
            </w:r>
            <w:r>
              <w:rPr>
                <w:sz w:val="16"/>
                <w:szCs w:val="16"/>
              </w:rPr>
              <w:t xml:space="preserve">Nepriaznivé dôsledky silného vetra, najmä pády konárov a stromov, boli zaznamenané predovšetkým v jesennom období. Výraznými udalosťami spojenými s vyhlásením mimoriadnych stavov a spôsobením škôd boli udalosti z 19.7.2011, 27.3.2012, 29-30.10.2017, 2-3.6.2018, 24.9.2018, 24.10.2018, 30-31.10.2018 a 5.4.2019. V zimnom období je pôsobenie silného vetra často sprevádzané hustým snežením, dôsledkom je vznik snehových jazykov a závejov (napr. 01/2011, 2-4.1.2019, 14-15.1.2019). Silný vietor je tiež sprievodným javom búrkovej činnosti. </w:t>
            </w:r>
          </w:p>
          <w:p w14:paraId="07E96D73" w14:textId="77777777" w:rsidR="00BE690A" w:rsidRPr="00012EA2" w:rsidRDefault="00BE690A" w:rsidP="00931169">
            <w:pPr>
              <w:rPr>
                <w:sz w:val="16"/>
                <w:szCs w:val="16"/>
              </w:rPr>
            </w:pPr>
            <w:r>
              <w:rPr>
                <w:sz w:val="16"/>
                <w:szCs w:val="16"/>
              </w:rPr>
              <w:t xml:space="preserve">Na úseku štátna hranica ČR/SR – Čadca – Krásno nad Kysucou zaznamenáva ŽSR takmer každoročne pády stromov a konárov na trakčné vedenie vyvolané pôsobením silných vetrov alebo váhou mokrého snehu v zimnom období (1x 2015, 2x 2016, 1x2017, 2x2018). Najčastejšie sú poruchy spôsobené pádmi stromov a konárov na trať a jej súčasti s následkom obmedzenia dopravy zaznamenávané v úseku Čadca – Krásno nad Kysucou na 1. traťovej koľaji (napr. 29.10.2017, 24.10.2018). </w:t>
            </w:r>
          </w:p>
        </w:tc>
      </w:tr>
      <w:tr w:rsidR="00BE690A" w:rsidRPr="00012EA2" w14:paraId="77D49CA5" w14:textId="77777777" w:rsidTr="00BE690A">
        <w:tc>
          <w:tcPr>
            <w:tcW w:w="2268" w:type="dxa"/>
            <w:shd w:val="clear" w:color="auto" w:fill="FFFFFF"/>
          </w:tcPr>
          <w:p w14:paraId="444A01A2" w14:textId="77777777" w:rsidR="00BE690A" w:rsidRPr="00012EA2" w:rsidRDefault="00BE690A" w:rsidP="00931169">
            <w:pPr>
              <w:rPr>
                <w:sz w:val="16"/>
                <w:szCs w:val="16"/>
              </w:rPr>
            </w:pPr>
            <w:r w:rsidRPr="00012EA2">
              <w:rPr>
                <w:sz w:val="16"/>
                <w:szCs w:val="16"/>
              </w:rPr>
              <w:t>Relevantné dopady javu</w:t>
            </w:r>
          </w:p>
        </w:tc>
        <w:tc>
          <w:tcPr>
            <w:tcW w:w="7088" w:type="dxa"/>
            <w:shd w:val="clear" w:color="auto" w:fill="auto"/>
          </w:tcPr>
          <w:p w14:paraId="662D6DA7" w14:textId="77777777" w:rsidR="00BE690A" w:rsidRPr="00012EA2" w:rsidRDefault="00BE690A" w:rsidP="00931169">
            <w:pPr>
              <w:rPr>
                <w:sz w:val="16"/>
                <w:szCs w:val="16"/>
              </w:rPr>
            </w:pPr>
            <w:r w:rsidRPr="00012EA2">
              <w:rPr>
                <w:sz w:val="16"/>
                <w:szCs w:val="16"/>
              </w:rPr>
              <w:t>lámanie vetiev alebo vyvracanie stromov a ich pády na trolejové vedenie a žel. trať</w:t>
            </w:r>
          </w:p>
        </w:tc>
      </w:tr>
      <w:tr w:rsidR="00BE690A" w:rsidRPr="00C92614" w14:paraId="7538FA1B" w14:textId="77777777" w:rsidTr="00BE690A">
        <w:tc>
          <w:tcPr>
            <w:tcW w:w="2268" w:type="dxa"/>
            <w:shd w:val="clear" w:color="auto" w:fill="FFFFFF"/>
          </w:tcPr>
          <w:p w14:paraId="328A653F"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025AECBF" w14:textId="77777777" w:rsidR="00BE690A" w:rsidRPr="00C92614" w:rsidRDefault="00BE690A" w:rsidP="00931169">
            <w:pPr>
              <w:rPr>
                <w:sz w:val="16"/>
                <w:szCs w:val="16"/>
              </w:rPr>
            </w:pPr>
            <w:r w:rsidRPr="00C92614">
              <w:rPr>
                <w:sz w:val="16"/>
                <w:szCs w:val="16"/>
              </w:rPr>
              <w:t xml:space="preserve">V budúcnosti sa neočakávajú výrazné zmeny v rýchlosti prúdenia a v smere vetra, očakáva sa len mierny nárast priemernej rýchlosti a nárazovej rýchlosti vetra v území. Predpokladá sa tiež častejší výskyt silného vetra a víchric najmä zosilnením búrok v teplej časti roka. </w:t>
            </w:r>
          </w:p>
        </w:tc>
      </w:tr>
      <w:tr w:rsidR="00BE690A" w:rsidRPr="00C92614" w14:paraId="0160B91E" w14:textId="77777777" w:rsidTr="00BE690A">
        <w:tc>
          <w:tcPr>
            <w:tcW w:w="2268" w:type="dxa"/>
            <w:vMerge w:val="restart"/>
            <w:shd w:val="clear" w:color="auto" w:fill="FFFFFF"/>
          </w:tcPr>
          <w:p w14:paraId="25DFC9C9"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154CE4B0" w14:textId="77777777" w:rsidR="00BE690A" w:rsidRDefault="00BE690A" w:rsidP="00931169">
            <w:pPr>
              <w:rPr>
                <w:sz w:val="16"/>
                <w:szCs w:val="16"/>
              </w:rPr>
            </w:pPr>
            <w:r w:rsidRPr="00AD2652">
              <w:rPr>
                <w:sz w:val="16"/>
                <w:szCs w:val="16"/>
              </w:rPr>
              <w:t xml:space="preserve">Klimatický jav pôsobí na žel. infraštruktúru vedenú otvorenou krajinou, ktorá je plne vystavená poveternostným podmienkam. </w:t>
            </w:r>
          </w:p>
          <w:p w14:paraId="41EDDE0C" w14:textId="77777777" w:rsidR="00BE690A" w:rsidRDefault="00BE690A" w:rsidP="00931169">
            <w:pPr>
              <w:rPr>
                <w:sz w:val="16"/>
                <w:szCs w:val="16"/>
              </w:rPr>
            </w:pPr>
            <w:r>
              <w:rPr>
                <w:sz w:val="16"/>
                <w:szCs w:val="16"/>
              </w:rPr>
              <w:t>Vzhľadom na bohatú členitosť lokálneho reliéfu pôsobia v území vetry rôznych smerov s nízkou priemernou rýchlosťou. O to intenzívnejšie v </w:t>
            </w:r>
            <w:r w:rsidRPr="00AD2652">
              <w:rPr>
                <w:sz w:val="16"/>
                <w:szCs w:val="16"/>
              </w:rPr>
              <w:t>území pôsobia občasné, silné nárazové vetry, ktorých výskyt má v posledných rokoch stúpajúcu tendenciu.</w:t>
            </w:r>
          </w:p>
          <w:p w14:paraId="5D6C4F58" w14:textId="77777777" w:rsidR="00BE690A" w:rsidRDefault="00BE690A" w:rsidP="00931169">
            <w:pPr>
              <w:rPr>
                <w:sz w:val="16"/>
                <w:szCs w:val="16"/>
              </w:rPr>
            </w:pPr>
            <w:r w:rsidRPr="008349DB">
              <w:rPr>
                <w:b/>
                <w:sz w:val="16"/>
                <w:szCs w:val="16"/>
              </w:rPr>
              <w:t>Exponovanými úsekmi žel. trate sú úseky vedené na vysokých násypoch a na mostných objektoch</w:t>
            </w:r>
            <w:r>
              <w:rPr>
                <w:sz w:val="16"/>
                <w:szCs w:val="16"/>
              </w:rPr>
              <w:t>, v</w:t>
            </w:r>
            <w:r w:rsidRPr="00AD2652">
              <w:rPr>
                <w:sz w:val="16"/>
                <w:szCs w:val="16"/>
              </w:rPr>
              <w:t xml:space="preserve">o variantoch vedenia trate v tuneli v úseku Krásno nad Kysucou – Čadca </w:t>
            </w:r>
            <w:r>
              <w:rPr>
                <w:sz w:val="16"/>
                <w:szCs w:val="16"/>
              </w:rPr>
              <w:t>nebude žel. trať priamo exponovaná</w:t>
            </w:r>
            <w:r w:rsidRPr="00AD2652">
              <w:rPr>
                <w:sz w:val="16"/>
                <w:szCs w:val="16"/>
              </w:rPr>
              <w:t xml:space="preserve"> pôsoben</w:t>
            </w:r>
            <w:r>
              <w:rPr>
                <w:sz w:val="16"/>
                <w:szCs w:val="16"/>
              </w:rPr>
              <w:t>ím</w:t>
            </w:r>
            <w:r w:rsidRPr="00AD2652">
              <w:rPr>
                <w:sz w:val="16"/>
                <w:szCs w:val="16"/>
              </w:rPr>
              <w:t xml:space="preserve"> silných vetrov.</w:t>
            </w:r>
          </w:p>
          <w:p w14:paraId="1F2CCCC5" w14:textId="77777777" w:rsidR="00BE690A" w:rsidRPr="00AD2652" w:rsidRDefault="00BE690A" w:rsidP="00931169">
            <w:pPr>
              <w:rPr>
                <w:sz w:val="16"/>
                <w:szCs w:val="16"/>
              </w:rPr>
            </w:pPr>
            <w:r w:rsidRPr="008349DB">
              <w:rPr>
                <w:b/>
                <w:sz w:val="16"/>
                <w:szCs w:val="16"/>
              </w:rPr>
              <w:t>Z pohľadu možných negatívnych dopadov silných vetrov</w:t>
            </w:r>
            <w:r>
              <w:rPr>
                <w:sz w:val="16"/>
                <w:szCs w:val="16"/>
              </w:rPr>
              <w:t xml:space="preserve"> </w:t>
            </w:r>
            <w:r w:rsidRPr="008349DB">
              <w:rPr>
                <w:b/>
                <w:sz w:val="16"/>
                <w:szCs w:val="16"/>
              </w:rPr>
              <w:t>sú exponovanými najmä úseky trate, pozdĺž ktorých sa nachádza súvislá vzrastlá drevinová vegetácia,</w:t>
            </w:r>
            <w:r>
              <w:rPr>
                <w:sz w:val="16"/>
                <w:szCs w:val="16"/>
              </w:rPr>
              <w:t xml:space="preserve"> ktorá môže byť pôsobením vetrov poškodená </w:t>
            </w:r>
            <w:r>
              <w:rPr>
                <w:sz w:val="16"/>
                <w:szCs w:val="16"/>
              </w:rPr>
              <w:lastRenderedPageBreak/>
              <w:t xml:space="preserve">a hrozí tak pád zlomených konárov alebo vyvrátených stromov na trakčné vedenie alebo iné súčasti žel. infraštruktúry príp. priamo na trať. Z tohto pohľadu sú najexponovanejšími úsekmi trate úsek Krásno nad Kysucou – Čadca (predovšetkým koľaj č. 1) a úsek Svrčinovec – štátna hranica SR/ČR vedené najbližšie k lesným porastom. </w:t>
            </w:r>
          </w:p>
          <w:p w14:paraId="14B86754" w14:textId="77777777" w:rsidR="00BE690A" w:rsidRPr="009F4D39" w:rsidRDefault="00BE690A" w:rsidP="00931169">
            <w:pPr>
              <w:rPr>
                <w:sz w:val="16"/>
                <w:szCs w:val="16"/>
              </w:rPr>
            </w:pPr>
            <w:r w:rsidRPr="009F4D39">
              <w:rPr>
                <w:sz w:val="16"/>
                <w:szCs w:val="16"/>
              </w:rPr>
              <w:t xml:space="preserve">V budúcnosti sa predpokladá častejší výskyt búrkových javov spojených s výskytom silného vetra, </w:t>
            </w:r>
            <w:r>
              <w:rPr>
                <w:sz w:val="16"/>
                <w:szCs w:val="16"/>
              </w:rPr>
              <w:t xml:space="preserve">preto je predpoklad </w:t>
            </w:r>
            <w:r w:rsidRPr="00E41D4B">
              <w:rPr>
                <w:sz w:val="16"/>
                <w:szCs w:val="16"/>
              </w:rPr>
              <w:t>vyššieho rizika ohrozenia žel. infraštruktúry pádmi stromov na žel. trať alebo na trakčné vedenie.</w:t>
            </w:r>
            <w:r w:rsidRPr="00C92614">
              <w:rPr>
                <w:color w:val="FF0000"/>
                <w:sz w:val="16"/>
                <w:szCs w:val="16"/>
              </w:rPr>
              <w:t xml:space="preserve"> </w:t>
            </w:r>
          </w:p>
        </w:tc>
      </w:tr>
      <w:tr w:rsidR="00BE690A" w:rsidRPr="00C92614" w14:paraId="35367B41" w14:textId="77777777" w:rsidTr="00BE690A">
        <w:tc>
          <w:tcPr>
            <w:tcW w:w="2268" w:type="dxa"/>
            <w:vMerge/>
            <w:shd w:val="clear" w:color="auto" w:fill="FFFFFF"/>
          </w:tcPr>
          <w:p w14:paraId="76AA5ED4" w14:textId="77777777" w:rsidR="00BE690A" w:rsidRPr="00C92614" w:rsidRDefault="00BE690A" w:rsidP="00931169">
            <w:pPr>
              <w:rPr>
                <w:sz w:val="16"/>
                <w:szCs w:val="16"/>
              </w:rPr>
            </w:pPr>
          </w:p>
        </w:tc>
        <w:tc>
          <w:tcPr>
            <w:tcW w:w="7088" w:type="dxa"/>
            <w:shd w:val="clear" w:color="auto" w:fill="FFFF97"/>
          </w:tcPr>
          <w:p w14:paraId="0104EE4C" w14:textId="77777777" w:rsidR="00BE690A" w:rsidRPr="005172E3" w:rsidRDefault="00BE690A" w:rsidP="00931169">
            <w:pPr>
              <w:rPr>
                <w:sz w:val="16"/>
                <w:szCs w:val="16"/>
              </w:rPr>
            </w:pPr>
            <w:r w:rsidRPr="005172E3">
              <w:rPr>
                <w:sz w:val="16"/>
                <w:szCs w:val="16"/>
              </w:rPr>
              <w:t>Miera pravdepodobnosti ovplyvnenia žel. infr</w:t>
            </w:r>
            <w:r>
              <w:rPr>
                <w:sz w:val="16"/>
                <w:szCs w:val="16"/>
              </w:rPr>
              <w:t>aštruktúry: 2</w:t>
            </w:r>
          </w:p>
        </w:tc>
      </w:tr>
      <w:tr w:rsidR="00BE690A" w:rsidRPr="00C92614" w14:paraId="405FD8EC" w14:textId="77777777" w:rsidTr="00BE690A">
        <w:tc>
          <w:tcPr>
            <w:tcW w:w="2268" w:type="dxa"/>
            <w:vMerge/>
            <w:shd w:val="clear" w:color="auto" w:fill="FFFFFF"/>
          </w:tcPr>
          <w:p w14:paraId="06233573" w14:textId="77777777" w:rsidR="00BE690A" w:rsidRPr="00C92614" w:rsidRDefault="00BE690A" w:rsidP="00931169">
            <w:pPr>
              <w:rPr>
                <w:sz w:val="16"/>
                <w:szCs w:val="16"/>
              </w:rPr>
            </w:pPr>
          </w:p>
        </w:tc>
        <w:tc>
          <w:tcPr>
            <w:tcW w:w="7088" w:type="dxa"/>
            <w:shd w:val="clear" w:color="auto" w:fill="FFFF97"/>
          </w:tcPr>
          <w:p w14:paraId="0FC62AAD" w14:textId="77777777" w:rsidR="00BE690A" w:rsidRPr="005172E3" w:rsidRDefault="00BE690A" w:rsidP="00931169">
            <w:pPr>
              <w:rPr>
                <w:sz w:val="16"/>
                <w:szCs w:val="16"/>
              </w:rPr>
            </w:pPr>
            <w:r w:rsidRPr="005172E3">
              <w:rPr>
                <w:sz w:val="16"/>
                <w:szCs w:val="16"/>
              </w:rPr>
              <w:t>Miera pravdepodobnos</w:t>
            </w:r>
            <w:r>
              <w:rPr>
                <w:sz w:val="16"/>
                <w:szCs w:val="16"/>
              </w:rPr>
              <w:t>ti ovplyvnenia žel. prevádzky: 2</w:t>
            </w:r>
          </w:p>
        </w:tc>
      </w:tr>
      <w:tr w:rsidR="00BE690A" w:rsidRPr="00C92614" w14:paraId="115E9DB6" w14:textId="77777777" w:rsidTr="00BE690A">
        <w:trPr>
          <w:trHeight w:val="70"/>
        </w:trPr>
        <w:tc>
          <w:tcPr>
            <w:tcW w:w="2268" w:type="dxa"/>
            <w:shd w:val="clear" w:color="auto" w:fill="FFFFFF"/>
            <w:vAlign w:val="center"/>
          </w:tcPr>
          <w:p w14:paraId="38119C0E"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FFFFFF"/>
            <w:vAlign w:val="center"/>
          </w:tcPr>
          <w:p w14:paraId="169C9DCE" w14:textId="77777777" w:rsidR="00BE690A" w:rsidRPr="00C92614" w:rsidRDefault="00BE690A" w:rsidP="00931169">
            <w:pPr>
              <w:rPr>
                <w:b/>
                <w:sz w:val="16"/>
                <w:szCs w:val="16"/>
              </w:rPr>
            </w:pPr>
            <w:r w:rsidRPr="00C92614">
              <w:rPr>
                <w:b/>
                <w:sz w:val="16"/>
                <w:szCs w:val="16"/>
              </w:rPr>
              <w:t>Silné dažde</w:t>
            </w:r>
          </w:p>
        </w:tc>
      </w:tr>
      <w:tr w:rsidR="00BE690A" w:rsidRPr="00C92614" w14:paraId="12B58835" w14:textId="77777777" w:rsidTr="00BE690A">
        <w:tc>
          <w:tcPr>
            <w:tcW w:w="2268" w:type="dxa"/>
            <w:shd w:val="clear" w:color="auto" w:fill="FFFFFF"/>
          </w:tcPr>
          <w:p w14:paraId="75D51998"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0B43CB31" w14:textId="77777777" w:rsidR="00BE690A" w:rsidRPr="00C92614" w:rsidRDefault="00BE690A" w:rsidP="00931169">
            <w:pPr>
              <w:rPr>
                <w:color w:val="FF0000"/>
                <w:sz w:val="16"/>
                <w:szCs w:val="16"/>
              </w:rPr>
            </w:pPr>
            <w:r w:rsidRPr="00C52FBA">
              <w:rPr>
                <w:sz w:val="16"/>
                <w:szCs w:val="16"/>
              </w:rPr>
              <w:t xml:space="preserve">Riešené územie leží na Kysuciach, ktoré sú pre svoju náveternú polohu zaraďované k tzv. mokrým oblastiam Slovenska. </w:t>
            </w:r>
            <w:r>
              <w:rPr>
                <w:sz w:val="16"/>
                <w:szCs w:val="16"/>
              </w:rPr>
              <w:t xml:space="preserve">Vysokú kladnú zrážkovú anomáliu majú najmä západné a severozápadné svahy pohorí, ktoré tvoria bariéru prevládajúcim západným a severozápadným dažďonosným vetrom. </w:t>
            </w:r>
          </w:p>
          <w:p w14:paraId="42D6CABA" w14:textId="77777777" w:rsidR="00BE690A" w:rsidRDefault="00BE690A" w:rsidP="00931169">
            <w:pPr>
              <w:rPr>
                <w:sz w:val="16"/>
                <w:szCs w:val="16"/>
              </w:rPr>
            </w:pPr>
            <w:r w:rsidRPr="00C92614">
              <w:rPr>
                <w:sz w:val="16"/>
                <w:szCs w:val="16"/>
              </w:rPr>
              <w:t xml:space="preserve">Priemerné ročné úhrny zrážok v území sa v období rokov 1981 – 2010 pohybovali </w:t>
            </w:r>
            <w:r>
              <w:rPr>
                <w:sz w:val="16"/>
                <w:szCs w:val="16"/>
              </w:rPr>
              <w:t xml:space="preserve">na úrovni 927 – 980 mm s najnižšími úhrnmi v Čadci a jej severnej časti a naopak, s najvyššími úhrnmi na severe riešeného územia pri štátnej hranici. </w:t>
            </w:r>
          </w:p>
          <w:p w14:paraId="452C16B0" w14:textId="77777777" w:rsidR="00BE690A" w:rsidRDefault="00BE690A" w:rsidP="00931169">
            <w:pPr>
              <w:rPr>
                <w:sz w:val="16"/>
                <w:szCs w:val="16"/>
              </w:rPr>
            </w:pPr>
            <w:r>
              <w:rPr>
                <w:sz w:val="16"/>
                <w:szCs w:val="16"/>
              </w:rPr>
              <w:t xml:space="preserve">Najviac zrážok spadne v letnom období (cca 320 mm), najmenej v zime (priemerne 190 mm, zrážky sú prevažne vo forme snehu). Len v letnom polroku v území spadne okolo 550 – 570 mm zrážok, v júni a v auguste sú zrážky častým sprievodným javom búrkovej činnosti. Viac ako 60% zrážok v území spadne vo vegetačnom období v mesiacoch apríl – september. </w:t>
            </w:r>
          </w:p>
          <w:p w14:paraId="476F44F7" w14:textId="77777777" w:rsidR="00BE690A" w:rsidRPr="00641EFF" w:rsidRDefault="00BE690A" w:rsidP="00931169">
            <w:pPr>
              <w:rPr>
                <w:sz w:val="16"/>
                <w:szCs w:val="16"/>
              </w:rPr>
            </w:pPr>
            <w:r>
              <w:rPr>
                <w:sz w:val="16"/>
                <w:szCs w:val="16"/>
              </w:rPr>
              <w:t>Priemerný ročný počet dní so zrážkami nad 1mm sa pohybuje v rozsahu 114 – 130 dní, v zimných mesiacoch v rozsahu priemerne 56 - 62 dní.</w:t>
            </w:r>
          </w:p>
        </w:tc>
      </w:tr>
      <w:tr w:rsidR="00BE690A" w:rsidRPr="00C92614" w14:paraId="6F19BCFE" w14:textId="77777777" w:rsidTr="00BE690A">
        <w:tc>
          <w:tcPr>
            <w:tcW w:w="2268" w:type="dxa"/>
            <w:shd w:val="clear" w:color="auto" w:fill="FFFFFF"/>
          </w:tcPr>
          <w:p w14:paraId="59370FE0"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tcPr>
          <w:p w14:paraId="3068EE2D" w14:textId="77777777" w:rsidR="00BE690A" w:rsidRPr="00F66A10" w:rsidRDefault="00BE690A" w:rsidP="00931169">
            <w:pPr>
              <w:rPr>
                <w:sz w:val="16"/>
                <w:szCs w:val="16"/>
              </w:rPr>
            </w:pPr>
            <w:r w:rsidRPr="00F66A10">
              <w:rPr>
                <w:sz w:val="16"/>
                <w:szCs w:val="16"/>
              </w:rPr>
              <w:t xml:space="preserve">Nárast priemerných zrážkových úhrnov v riešenom území v posledných rokoch kopíruje celoslovenskú situáciu - častejšie sa vyskytujú náhle, intenzívne až prívalová dažde striedajúce sa s obdobiami sucha. Silné dažde, ktoré boli zaznamenané v riešenom území v posledných rokoch, boli často sprievodným javom búrkovej činnosti, ktorá má tak isto stúpajúcu početnosť. </w:t>
            </w:r>
          </w:p>
          <w:p w14:paraId="4485FA1B" w14:textId="77777777" w:rsidR="00BE690A" w:rsidRDefault="00BE690A" w:rsidP="00931169">
            <w:pPr>
              <w:rPr>
                <w:sz w:val="16"/>
                <w:szCs w:val="16"/>
              </w:rPr>
            </w:pPr>
            <w:r w:rsidRPr="00F66A10">
              <w:rPr>
                <w:sz w:val="16"/>
                <w:szCs w:val="16"/>
              </w:rPr>
              <w:t>Z hľadiska intenzity a úhrnu zrážok</w:t>
            </w:r>
            <w:r>
              <w:rPr>
                <w:sz w:val="16"/>
                <w:szCs w:val="16"/>
              </w:rPr>
              <w:t xml:space="preserve"> a spôsobených škôd </w:t>
            </w:r>
            <w:r w:rsidRPr="00F66A10">
              <w:rPr>
                <w:sz w:val="16"/>
                <w:szCs w:val="16"/>
              </w:rPr>
              <w:t>boli významnými silné dažde</w:t>
            </w:r>
            <w:r>
              <w:rPr>
                <w:sz w:val="16"/>
                <w:szCs w:val="16"/>
              </w:rPr>
              <w:t xml:space="preserve"> z 29.6.2009 (búrky a silné dažde vyvolali vyliatie vody z potokov a spôsobenie škôd na majetku v okrese Čadca), 28.4.2017 (intenzívny dážď vyvolal vyliate vody z tokov a zaplavenie pivníc rodinných domov a miestnych komunikácií), 2-3.6.2018 (intenzívne dažde a silné búrky s následkom vybreženia tokov a zaplavením trate), 5-7.8.2018 (prívalové dažde počas búrky spolu so zapchatím mostov a priepustov spôsobili vybreženie korýt miestnych tokov a zaplavenie pivníc rodinných domov, záhrad, ciest), 22.5.2019 (intenzívne dažde vyvolali vyliatie vody z korýt potokov a zaplavenie pivníc). </w:t>
            </w:r>
          </w:p>
          <w:p w14:paraId="62D8BBC4" w14:textId="77777777" w:rsidR="00BE690A" w:rsidRDefault="00BE690A" w:rsidP="00931169">
            <w:pPr>
              <w:rPr>
                <w:sz w:val="16"/>
                <w:szCs w:val="16"/>
              </w:rPr>
            </w:pPr>
            <w:r>
              <w:rPr>
                <w:sz w:val="16"/>
                <w:szCs w:val="16"/>
              </w:rPr>
              <w:t xml:space="preserve">Pôsobenie intenzívnych alebo trvalých dažďov vyvoláva tiež nárast hladín riek a potokov. Výstraha pred intenzívnymi zrážkami a stupeň povodňovej aktivity boli vyhlásené SHMÚ na území okresu predovšetkým 22.7.2011, 17.9.2017, 21.9.2017, 18.7.2018 a 22.5.2019. </w:t>
            </w:r>
          </w:p>
          <w:p w14:paraId="2FA845DD" w14:textId="77777777" w:rsidR="00BE690A" w:rsidRDefault="00BE690A" w:rsidP="00931169">
            <w:pPr>
              <w:rPr>
                <w:sz w:val="16"/>
                <w:szCs w:val="16"/>
              </w:rPr>
            </w:pPr>
            <w:r w:rsidRPr="00F503A9">
              <w:rPr>
                <w:sz w:val="16"/>
                <w:szCs w:val="16"/>
              </w:rPr>
              <w:t xml:space="preserve">Podľa evidencie ŽSR </w:t>
            </w:r>
            <w:r w:rsidRPr="0067520C">
              <w:rPr>
                <w:sz w:val="16"/>
                <w:szCs w:val="16"/>
              </w:rPr>
              <w:t>v úseku Čadca – Krásno nad Kysucou bola v 03/2015 zaznamenaná mimoriadna udalosť po silných dažďoch – bol podmytý základ trakčnej podpery trakčného vedenia a následne došlo k vybočeniu smeru trolejového drôtu zo správnej polohy a k poškodeniu zberača na prechádzajúcom HKV a k obmedzeniu dopravy.</w:t>
            </w:r>
          </w:p>
          <w:p w14:paraId="658D0C32" w14:textId="77777777" w:rsidR="00BE690A" w:rsidRPr="00C92614" w:rsidRDefault="00BE690A" w:rsidP="00931169">
            <w:pPr>
              <w:rPr>
                <w:color w:val="FF0000"/>
                <w:sz w:val="16"/>
                <w:szCs w:val="16"/>
              </w:rPr>
            </w:pPr>
            <w:r>
              <w:rPr>
                <w:sz w:val="16"/>
                <w:szCs w:val="16"/>
              </w:rPr>
              <w:t xml:space="preserve">V r. 1997 boli pri koľaji č. 2 v žkm 274,000; 275,100; 277,100 zriadené zábrany zo starých podvalov z dôvodu ochrany zemného telesa pred zaplavením.  </w:t>
            </w:r>
          </w:p>
        </w:tc>
      </w:tr>
      <w:tr w:rsidR="00BE690A" w:rsidRPr="00C92614" w14:paraId="0AECDFB2" w14:textId="77777777" w:rsidTr="00BE690A">
        <w:tc>
          <w:tcPr>
            <w:tcW w:w="2268" w:type="dxa"/>
            <w:shd w:val="clear" w:color="auto" w:fill="FFFFFF"/>
          </w:tcPr>
          <w:p w14:paraId="49744C84" w14:textId="77777777" w:rsidR="00BE690A" w:rsidRPr="00C92614" w:rsidRDefault="00BE690A" w:rsidP="00931169">
            <w:pPr>
              <w:rPr>
                <w:sz w:val="16"/>
                <w:szCs w:val="16"/>
              </w:rPr>
            </w:pPr>
            <w:r w:rsidRPr="00C92614">
              <w:rPr>
                <w:sz w:val="16"/>
                <w:szCs w:val="16"/>
              </w:rPr>
              <w:t>Relevantné dopady javu</w:t>
            </w:r>
          </w:p>
        </w:tc>
        <w:tc>
          <w:tcPr>
            <w:tcW w:w="7088" w:type="dxa"/>
            <w:shd w:val="clear" w:color="auto" w:fill="auto"/>
          </w:tcPr>
          <w:p w14:paraId="0DA841B1" w14:textId="77777777" w:rsidR="00BE690A" w:rsidRPr="00C92614" w:rsidRDefault="00BE690A" w:rsidP="00931169">
            <w:pPr>
              <w:rPr>
                <w:color w:val="FF0000"/>
                <w:sz w:val="16"/>
                <w:szCs w:val="16"/>
              </w:rPr>
            </w:pPr>
            <w:r w:rsidRPr="00F503A9">
              <w:rPr>
                <w:sz w:val="16"/>
                <w:szCs w:val="16"/>
              </w:rPr>
              <w:t>zaplavenie žel. trate, zníženie stability zemného telesa, zaťaženie až znefun</w:t>
            </w:r>
            <w:r>
              <w:rPr>
                <w:sz w:val="16"/>
                <w:szCs w:val="16"/>
              </w:rPr>
              <w:t>kčnenie odvodňovacích systémov</w:t>
            </w:r>
          </w:p>
        </w:tc>
      </w:tr>
      <w:tr w:rsidR="00BE690A" w:rsidRPr="00C92614" w14:paraId="4F3DD513" w14:textId="77777777" w:rsidTr="00BE690A">
        <w:tc>
          <w:tcPr>
            <w:tcW w:w="2268" w:type="dxa"/>
            <w:shd w:val="clear" w:color="auto" w:fill="FFFFFF"/>
          </w:tcPr>
          <w:p w14:paraId="3C4E7293"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288E531C" w14:textId="77777777" w:rsidR="00BE690A" w:rsidRDefault="00BE690A" w:rsidP="00931169">
            <w:pPr>
              <w:rPr>
                <w:sz w:val="16"/>
                <w:szCs w:val="16"/>
              </w:rPr>
            </w:pPr>
            <w:r w:rsidRPr="00C92614">
              <w:rPr>
                <w:sz w:val="16"/>
                <w:szCs w:val="16"/>
              </w:rPr>
              <w:t xml:space="preserve">V budúcnosti sa predpokladá mierna nárast úhrnov zrážok v území </w:t>
            </w:r>
            <w:r>
              <w:rPr>
                <w:sz w:val="16"/>
                <w:szCs w:val="16"/>
              </w:rPr>
              <w:t>(</w:t>
            </w:r>
            <w:r w:rsidRPr="00C92614">
              <w:rPr>
                <w:sz w:val="16"/>
                <w:szCs w:val="16"/>
              </w:rPr>
              <w:t>okolo 10%</w:t>
            </w:r>
            <w:r>
              <w:rPr>
                <w:sz w:val="16"/>
                <w:szCs w:val="16"/>
              </w:rPr>
              <w:t>)</w:t>
            </w:r>
            <w:r w:rsidRPr="00C92614">
              <w:rPr>
                <w:sz w:val="16"/>
                <w:szCs w:val="16"/>
              </w:rPr>
              <w:t xml:space="preserve"> a výraznejšie zmeny v ročnom chode a v časovom režime zrážok (slabý pokles úhrnov zrážok v lete a naopak, mierny nárast úhrnov vo zvyšnej časti roka </w:t>
            </w:r>
            <w:r>
              <w:rPr>
                <w:sz w:val="16"/>
                <w:szCs w:val="16"/>
              </w:rPr>
              <w:t xml:space="preserve">a predovšetkým </w:t>
            </w:r>
            <w:r w:rsidRPr="00C92614">
              <w:rPr>
                <w:sz w:val="16"/>
                <w:szCs w:val="16"/>
              </w:rPr>
              <w:t>v zimnom období).</w:t>
            </w:r>
          </w:p>
          <w:p w14:paraId="77172D9D" w14:textId="77777777" w:rsidR="00BE690A" w:rsidRPr="00C92614" w:rsidRDefault="00BE690A" w:rsidP="00931169">
            <w:pPr>
              <w:rPr>
                <w:color w:val="FF0000"/>
                <w:sz w:val="16"/>
                <w:szCs w:val="16"/>
              </w:rPr>
            </w:pPr>
            <w:r w:rsidRPr="00C92614">
              <w:rPr>
                <w:sz w:val="16"/>
                <w:szCs w:val="16"/>
              </w:rPr>
              <w:t xml:space="preserve">Predpokladá sa tiež zvýšenie premenlivosti úhrnov zrážok počas roka, najmä v teplej časti roka sa častejšie vyskytnú dlhšie suché obdobia a zrážkovo výdatnejšie krátke daždivé obdobia. </w:t>
            </w:r>
          </w:p>
        </w:tc>
      </w:tr>
      <w:tr w:rsidR="00BE690A" w:rsidRPr="00C92614" w14:paraId="39709C80" w14:textId="77777777" w:rsidTr="00BE690A">
        <w:trPr>
          <w:trHeight w:val="252"/>
        </w:trPr>
        <w:tc>
          <w:tcPr>
            <w:tcW w:w="2268" w:type="dxa"/>
            <w:vMerge w:val="restart"/>
            <w:shd w:val="clear" w:color="auto" w:fill="FFFFFF"/>
          </w:tcPr>
          <w:p w14:paraId="12240941"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0B83C3CE" w14:textId="77777777" w:rsidR="00BE690A" w:rsidRPr="009F4D39" w:rsidRDefault="00BE690A" w:rsidP="00931169">
            <w:pPr>
              <w:rPr>
                <w:sz w:val="16"/>
                <w:szCs w:val="16"/>
              </w:rPr>
            </w:pPr>
            <w:r w:rsidRPr="009F4D39">
              <w:rPr>
                <w:sz w:val="16"/>
                <w:szCs w:val="16"/>
              </w:rPr>
              <w:t>Predmetný klimatický jav a jeho prejavy pôsobia na celú infraštruktúru exponovanú vonkajším poveternostným podmienkam</w:t>
            </w:r>
            <w:r>
              <w:rPr>
                <w:sz w:val="16"/>
                <w:szCs w:val="16"/>
              </w:rPr>
              <w:t>, t.j. mimo variantov vedených v tuneloch v úseku Krásno nad Kysucou - Čadca</w:t>
            </w:r>
            <w:r w:rsidRPr="009F4D39">
              <w:rPr>
                <w:sz w:val="16"/>
                <w:szCs w:val="16"/>
              </w:rPr>
              <w:t xml:space="preserve">.  </w:t>
            </w:r>
          </w:p>
          <w:p w14:paraId="58FB6A5C" w14:textId="77777777" w:rsidR="00BE690A" w:rsidRPr="009F4D39" w:rsidRDefault="00BE690A" w:rsidP="00931169">
            <w:pPr>
              <w:rPr>
                <w:sz w:val="16"/>
                <w:szCs w:val="16"/>
              </w:rPr>
            </w:pPr>
            <w:r w:rsidRPr="009F4D39">
              <w:rPr>
                <w:sz w:val="16"/>
                <w:szCs w:val="16"/>
              </w:rPr>
              <w:t xml:space="preserve">Silné dažde atakujúce žel. teleso môžu vyvolať zaplavenie štrkového lôžka príp. jeho zaliatie nahromadenými nánosmi blata, čím môžu dočasne znížiť rýchlosť prejazdov a zároveň z dlhodobého hľadiska znižujú stabilitu žel. spodku. </w:t>
            </w:r>
            <w:r w:rsidRPr="008349DB">
              <w:rPr>
                <w:b/>
                <w:sz w:val="16"/>
                <w:szCs w:val="16"/>
              </w:rPr>
              <w:t xml:space="preserve">Z tohto pohľadu sú exponovanými najmä úseky s otvoreným štrkovým lôžkom vedené </w:t>
            </w:r>
            <w:r>
              <w:rPr>
                <w:b/>
                <w:sz w:val="16"/>
                <w:szCs w:val="16"/>
              </w:rPr>
              <w:t>v hlbokých zárezoch v III. etape úseku ŽST Čadca – št. hranica SR/ČR.</w:t>
            </w:r>
            <w:r w:rsidRPr="009F4D39">
              <w:rPr>
                <w:sz w:val="16"/>
                <w:szCs w:val="16"/>
              </w:rPr>
              <w:t xml:space="preserve"> </w:t>
            </w:r>
          </w:p>
          <w:p w14:paraId="402C31ED" w14:textId="77777777" w:rsidR="00BE690A" w:rsidRPr="00B24CEE" w:rsidRDefault="00BE690A" w:rsidP="00931169">
            <w:pPr>
              <w:rPr>
                <w:sz w:val="16"/>
                <w:szCs w:val="16"/>
              </w:rPr>
            </w:pPr>
            <w:r w:rsidRPr="008349DB">
              <w:rPr>
                <w:b/>
                <w:sz w:val="16"/>
                <w:szCs w:val="16"/>
              </w:rPr>
              <w:t>Silnými dažďami sú ohrozené tiež úseky pri vodných tokoch</w:t>
            </w:r>
            <w:r w:rsidRPr="009F4D39">
              <w:rPr>
                <w:sz w:val="16"/>
                <w:szCs w:val="16"/>
              </w:rPr>
              <w:t xml:space="preserve"> bez náležitých protipovodňových opatrení </w:t>
            </w:r>
            <w:r w:rsidRPr="008349DB">
              <w:rPr>
                <w:b/>
                <w:sz w:val="16"/>
                <w:szCs w:val="16"/>
              </w:rPr>
              <w:t>a úseky vedené inundačným územím rieky Kysuca</w:t>
            </w:r>
            <w:r w:rsidRPr="009F4D39">
              <w:rPr>
                <w:sz w:val="16"/>
                <w:szCs w:val="16"/>
              </w:rPr>
              <w:t xml:space="preserve"> s potenciálnym rizikom vzniku povodní, ktoré v prípade vzostupu vodných hladín predstavujú riziko </w:t>
            </w:r>
            <w:r w:rsidRPr="00B24CEE">
              <w:rPr>
                <w:sz w:val="16"/>
                <w:szCs w:val="16"/>
              </w:rPr>
              <w:t>vybreženia na okolité pozemky.</w:t>
            </w:r>
          </w:p>
          <w:p w14:paraId="7A841727" w14:textId="77777777" w:rsidR="00BE690A" w:rsidRDefault="00BE690A" w:rsidP="00931169">
            <w:pPr>
              <w:rPr>
                <w:sz w:val="16"/>
                <w:szCs w:val="16"/>
              </w:rPr>
            </w:pPr>
            <w:r w:rsidRPr="008349DB">
              <w:rPr>
                <w:b/>
                <w:sz w:val="16"/>
                <w:szCs w:val="16"/>
              </w:rPr>
              <w:t>Exponovanými sú tiež objekty situované pod úrovňou terénu</w:t>
            </w:r>
            <w:r w:rsidRPr="00B24CEE">
              <w:rPr>
                <w:sz w:val="16"/>
                <w:szCs w:val="16"/>
              </w:rPr>
              <w:t xml:space="preserve">, ktorých priechodnosť závisí v prípade silných dažďov </w:t>
            </w:r>
            <w:r>
              <w:rPr>
                <w:sz w:val="16"/>
                <w:szCs w:val="16"/>
              </w:rPr>
              <w:t xml:space="preserve">predovšetkým </w:t>
            </w:r>
            <w:r w:rsidRPr="00B24CEE">
              <w:rPr>
                <w:sz w:val="16"/>
                <w:szCs w:val="16"/>
              </w:rPr>
              <w:t xml:space="preserve">na funkčnosti odvodňovacích systémov. Ide predovšetkým o navrhované tunely v úseku Krásno nad Kysucou </w:t>
            </w:r>
            <w:r>
              <w:rPr>
                <w:sz w:val="16"/>
                <w:szCs w:val="16"/>
              </w:rPr>
              <w:t>–</w:t>
            </w:r>
            <w:r w:rsidRPr="00B24CEE">
              <w:rPr>
                <w:sz w:val="16"/>
                <w:szCs w:val="16"/>
              </w:rPr>
              <w:t xml:space="preserve"> Čadca</w:t>
            </w:r>
            <w:r>
              <w:rPr>
                <w:sz w:val="16"/>
                <w:szCs w:val="16"/>
              </w:rPr>
              <w:t xml:space="preserve"> a podchody v žel. zastávkach a v ŽST.</w:t>
            </w:r>
          </w:p>
          <w:p w14:paraId="38792D01" w14:textId="77777777" w:rsidR="00BE690A" w:rsidRPr="008349DB" w:rsidRDefault="00BE690A" w:rsidP="00931169">
            <w:pPr>
              <w:rPr>
                <w:b/>
                <w:sz w:val="16"/>
                <w:szCs w:val="16"/>
              </w:rPr>
            </w:pPr>
            <w:r>
              <w:rPr>
                <w:sz w:val="16"/>
                <w:szCs w:val="16"/>
              </w:rPr>
              <w:t xml:space="preserve">Celý hodnotený úsek žel. trate je vedený územím so zložitou geologickou stavbou a značne členitým reliéfom, ktoré je náchylné na vznik svahových deformácií rozličného charakteru. Intenzívne, silné dažde môžu vyvolať podomletie a eróziu svahov, podporiť zvetrávanie hornín a aktivizovať zosuvy. </w:t>
            </w:r>
            <w:r w:rsidRPr="008349DB">
              <w:rPr>
                <w:b/>
                <w:sz w:val="16"/>
                <w:szCs w:val="16"/>
              </w:rPr>
              <w:t xml:space="preserve">Z tohto </w:t>
            </w:r>
            <w:r w:rsidRPr="008349DB">
              <w:rPr>
                <w:b/>
                <w:sz w:val="16"/>
                <w:szCs w:val="16"/>
              </w:rPr>
              <w:lastRenderedPageBreak/>
              <w:t>hľadiska sú najviac exponovanými predovšetkým úsek Krásno nad Kysucou – Čadca v úseku navrhovaných tunelových objektov a úsek Svrčinovec – štátna hranica SR/ČR, kde je evidovaných viacero potenciálnych aj aktívnych zosuvov.</w:t>
            </w:r>
          </w:p>
          <w:p w14:paraId="1BC04054" w14:textId="77777777" w:rsidR="00BE690A" w:rsidRPr="00B24CEE" w:rsidRDefault="00BE690A" w:rsidP="00931169">
            <w:pPr>
              <w:rPr>
                <w:sz w:val="16"/>
                <w:szCs w:val="16"/>
              </w:rPr>
            </w:pPr>
            <w:r w:rsidRPr="00B24CEE">
              <w:rPr>
                <w:sz w:val="16"/>
                <w:szCs w:val="16"/>
              </w:rPr>
              <w:t>V posledných rokoch počet výskytov silných prívalových dažďov stúpa, do budúcnosti sa predpokladá ich častejší výskyt, preto riziko vzniku negatívnych následkov bude v porovnaní so súčasným stavom vyššie.</w:t>
            </w:r>
          </w:p>
        </w:tc>
      </w:tr>
      <w:tr w:rsidR="00BE690A" w:rsidRPr="00C92614" w14:paraId="3429BFA5" w14:textId="77777777" w:rsidTr="00BE690A">
        <w:tc>
          <w:tcPr>
            <w:tcW w:w="2268" w:type="dxa"/>
            <w:vMerge/>
            <w:shd w:val="clear" w:color="auto" w:fill="FFFFFF"/>
          </w:tcPr>
          <w:p w14:paraId="3030A701" w14:textId="77777777" w:rsidR="00BE690A" w:rsidRPr="00C92614" w:rsidRDefault="00BE690A" w:rsidP="00931169">
            <w:pPr>
              <w:rPr>
                <w:sz w:val="16"/>
                <w:szCs w:val="16"/>
              </w:rPr>
            </w:pPr>
          </w:p>
        </w:tc>
        <w:tc>
          <w:tcPr>
            <w:tcW w:w="7088" w:type="dxa"/>
            <w:shd w:val="clear" w:color="auto" w:fill="FFFF97"/>
          </w:tcPr>
          <w:p w14:paraId="5583964C" w14:textId="77777777" w:rsidR="00BE690A" w:rsidRPr="005172E3" w:rsidRDefault="00BE690A" w:rsidP="00931169">
            <w:pPr>
              <w:rPr>
                <w:sz w:val="16"/>
                <w:szCs w:val="16"/>
              </w:rPr>
            </w:pPr>
            <w:r w:rsidRPr="005172E3">
              <w:rPr>
                <w:sz w:val="16"/>
                <w:szCs w:val="16"/>
              </w:rPr>
              <w:t xml:space="preserve">Miera pravdepodobnosti ovplyvnenia žel. </w:t>
            </w:r>
            <w:r w:rsidRPr="00FD632E">
              <w:rPr>
                <w:sz w:val="16"/>
                <w:szCs w:val="16"/>
                <w:shd w:val="clear" w:color="auto" w:fill="FFFF97"/>
              </w:rPr>
              <w:t>infraštruktúry: 2</w:t>
            </w:r>
          </w:p>
        </w:tc>
      </w:tr>
      <w:tr w:rsidR="00BE690A" w:rsidRPr="00C92614" w14:paraId="11EA4834" w14:textId="77777777" w:rsidTr="00BE690A">
        <w:tc>
          <w:tcPr>
            <w:tcW w:w="2268" w:type="dxa"/>
            <w:vMerge/>
            <w:shd w:val="clear" w:color="auto" w:fill="FFFFFF"/>
          </w:tcPr>
          <w:p w14:paraId="40A9F535" w14:textId="77777777" w:rsidR="00BE690A" w:rsidRPr="00C92614" w:rsidRDefault="00BE690A" w:rsidP="00931169">
            <w:pPr>
              <w:rPr>
                <w:sz w:val="16"/>
                <w:szCs w:val="16"/>
              </w:rPr>
            </w:pPr>
          </w:p>
        </w:tc>
        <w:tc>
          <w:tcPr>
            <w:tcW w:w="7088" w:type="dxa"/>
            <w:shd w:val="clear" w:color="auto" w:fill="D6E3BC"/>
          </w:tcPr>
          <w:p w14:paraId="5330CB0B" w14:textId="77777777" w:rsidR="00BE690A" w:rsidRPr="005172E3" w:rsidRDefault="00BE690A" w:rsidP="00931169">
            <w:pPr>
              <w:rPr>
                <w:sz w:val="16"/>
                <w:szCs w:val="16"/>
              </w:rPr>
            </w:pPr>
            <w:r w:rsidRPr="005172E3">
              <w:rPr>
                <w:sz w:val="16"/>
                <w:szCs w:val="16"/>
              </w:rPr>
              <w:t>Miera pravdepodobnosti ovplyvnenia žel. prevádzky: 1</w:t>
            </w:r>
          </w:p>
        </w:tc>
      </w:tr>
      <w:tr w:rsidR="00BE690A" w:rsidRPr="00C92614" w14:paraId="1F7CCF21" w14:textId="77777777" w:rsidTr="00BE690A">
        <w:tc>
          <w:tcPr>
            <w:tcW w:w="2268" w:type="dxa"/>
            <w:shd w:val="clear" w:color="auto" w:fill="FFFFFF"/>
            <w:vAlign w:val="center"/>
          </w:tcPr>
          <w:p w14:paraId="63E0B93F"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3F2F953B" w14:textId="77777777" w:rsidR="00BE690A" w:rsidRPr="00C92614" w:rsidRDefault="00BE690A" w:rsidP="00931169">
            <w:pPr>
              <w:rPr>
                <w:b/>
                <w:sz w:val="16"/>
                <w:szCs w:val="16"/>
              </w:rPr>
            </w:pPr>
            <w:r w:rsidRPr="00C92614">
              <w:rPr>
                <w:b/>
                <w:sz w:val="16"/>
                <w:szCs w:val="16"/>
              </w:rPr>
              <w:t xml:space="preserve">Vysoké teploty </w:t>
            </w:r>
          </w:p>
        </w:tc>
      </w:tr>
      <w:tr w:rsidR="00BE690A" w:rsidRPr="00C92614" w14:paraId="22113EE3" w14:textId="77777777" w:rsidTr="00BE690A">
        <w:tc>
          <w:tcPr>
            <w:tcW w:w="2268" w:type="dxa"/>
            <w:shd w:val="clear" w:color="auto" w:fill="FFFFFF"/>
          </w:tcPr>
          <w:p w14:paraId="1222DE89"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5EBFF46D" w14:textId="77777777" w:rsidR="00BE690A" w:rsidRDefault="00BE690A" w:rsidP="00931169">
            <w:pPr>
              <w:rPr>
                <w:sz w:val="16"/>
                <w:szCs w:val="16"/>
              </w:rPr>
            </w:pPr>
            <w:r>
              <w:rPr>
                <w:sz w:val="16"/>
                <w:szCs w:val="16"/>
              </w:rPr>
              <w:t xml:space="preserve">Južná časť územia leží v pohorí Javorníky (Rakovská hornatina), mesto Čadca a severná časť územia ležia v Turzovskej vrchovine a najsevernejší cíp trate leží v Jablunovskom medzihorí. Súvislejšie zastavané územia v riešenom území sú vybudované v dolinách a kotlinách. Samotná členitosť územia, jeho kotlinový aj vrchovinový charakter, ovplyvňuje klimatické podmienky lokality. Zároveň ide o oblasť ležiacu na rozhraní pôsobenia oceánskych aj kontinentálnych vplyvov: oceánske vplyvy zmierňujú rozdiely medzi letom a zimou, prinášajú oblačnosť, zrážky a častejší výskyt hmiel; kontinentálne vzduchov hmoty sa prejavujú najmä nárastom letných teplôt a poklesom teplôt v zimnom období. </w:t>
            </w:r>
          </w:p>
          <w:p w14:paraId="0510DE74" w14:textId="77777777" w:rsidR="00BE690A" w:rsidRDefault="00BE690A" w:rsidP="00931169">
            <w:pPr>
              <w:rPr>
                <w:sz w:val="16"/>
                <w:szCs w:val="16"/>
              </w:rPr>
            </w:pPr>
            <w:r w:rsidRPr="00C92614">
              <w:rPr>
                <w:sz w:val="16"/>
                <w:szCs w:val="16"/>
              </w:rPr>
              <w:t>Riešené územie patrí do</w:t>
            </w:r>
            <w:r>
              <w:rPr>
                <w:sz w:val="16"/>
                <w:szCs w:val="16"/>
              </w:rPr>
              <w:t xml:space="preserve"> mierne teplej </w:t>
            </w:r>
            <w:r w:rsidRPr="00C92614">
              <w:rPr>
                <w:sz w:val="16"/>
                <w:szCs w:val="16"/>
              </w:rPr>
              <w:t>klimatickej oblasti s priemerným počtom letných dní s teplotou viac ako 25 °C pod</w:t>
            </w:r>
            <w:r>
              <w:rPr>
                <w:sz w:val="16"/>
                <w:szCs w:val="16"/>
              </w:rPr>
              <w:t xml:space="preserve"> 50, konkrétne do mierne teplého, veľmi vlhkého, vrchovinového okrsku M7 s chladnou až studenou zimou. </w:t>
            </w:r>
          </w:p>
          <w:p w14:paraId="7332CE58" w14:textId="77777777" w:rsidR="00BE690A" w:rsidRDefault="00BE690A" w:rsidP="00931169">
            <w:pPr>
              <w:rPr>
                <w:sz w:val="16"/>
                <w:szCs w:val="16"/>
              </w:rPr>
            </w:pPr>
            <w:r w:rsidRPr="00C92614">
              <w:rPr>
                <w:sz w:val="16"/>
                <w:szCs w:val="16"/>
              </w:rPr>
              <w:t xml:space="preserve">Podľa dlhodobého priemeru sledovaných mesačných a ročných teplôt vzduchu za obdobie rokov 1961 – 2010 </w:t>
            </w:r>
            <w:r>
              <w:rPr>
                <w:sz w:val="16"/>
                <w:szCs w:val="16"/>
              </w:rPr>
              <w:t>sa</w:t>
            </w:r>
            <w:r w:rsidRPr="00C92614">
              <w:rPr>
                <w:sz w:val="16"/>
                <w:szCs w:val="16"/>
              </w:rPr>
              <w:t xml:space="preserve"> priemerná ročná teplota</w:t>
            </w:r>
            <w:r>
              <w:rPr>
                <w:sz w:val="16"/>
                <w:szCs w:val="16"/>
              </w:rPr>
              <w:t xml:space="preserve"> v území pohybovala na úrovni 6,8°C až 7,3 °C v oblastiach kotlín (Krásno nad Kysucou, Čadca, Svrčinovec). Ročný gradient teploty v území je približne 0,5°C na každých 100m nadmorskej výšky, pričom v zimných mesiacoch počas teplotných inverzií je nižší. </w:t>
            </w:r>
          </w:p>
          <w:p w14:paraId="7F230DBC" w14:textId="77777777" w:rsidR="00BE690A" w:rsidRDefault="00BE690A" w:rsidP="00931169">
            <w:pPr>
              <w:rPr>
                <w:sz w:val="16"/>
                <w:szCs w:val="16"/>
              </w:rPr>
            </w:pPr>
            <w:r>
              <w:rPr>
                <w:sz w:val="16"/>
                <w:szCs w:val="16"/>
              </w:rPr>
              <w:t>Najchladnejším mesiacom je január s priemernou teplotou vzduchu -3,1 – -3,4 °C a najteplejším mesiacom je júl s priemernou teplotou vzduchu 16,3 – 16,9°C s vyššími hodnotami v zastavaných územiach.</w:t>
            </w:r>
          </w:p>
          <w:p w14:paraId="7ED2EA97" w14:textId="77777777" w:rsidR="00BE690A" w:rsidRDefault="00BE690A" w:rsidP="00931169">
            <w:pPr>
              <w:rPr>
                <w:sz w:val="16"/>
                <w:szCs w:val="16"/>
              </w:rPr>
            </w:pPr>
            <w:r>
              <w:rPr>
                <w:sz w:val="16"/>
                <w:szCs w:val="16"/>
              </w:rPr>
              <w:t>Oblasť sa vyznačuje nižším výskytom počtu letných dní a vyšším výskytom počtu mrazových dní: v území sa vyskytuje priemerne 37 - 42 letných dní s teplotou vzduchu nad 25°C a len 6 tropických dní s teplotou nad 30 °C. Priemerný ročný počet dusných dní je 45.</w:t>
            </w:r>
          </w:p>
          <w:p w14:paraId="7C7EA873" w14:textId="77777777" w:rsidR="00BE690A" w:rsidRPr="00C92614" w:rsidRDefault="00BE690A" w:rsidP="00931169">
            <w:pPr>
              <w:rPr>
                <w:color w:val="FF0000"/>
                <w:sz w:val="16"/>
                <w:szCs w:val="16"/>
              </w:rPr>
            </w:pPr>
            <w:r w:rsidRPr="006E264E">
              <w:rPr>
                <w:sz w:val="16"/>
                <w:szCs w:val="16"/>
              </w:rPr>
              <w:t xml:space="preserve">Priemerná ročná suma globálneho žiarenia dosahuje v riešenej oblasti 3 988 - 3995 hod, priemerná ročná suma doby trvania slnečného svitu 1627 - 1633 hod. </w:t>
            </w:r>
          </w:p>
        </w:tc>
      </w:tr>
      <w:tr w:rsidR="00BE690A" w:rsidRPr="00C92614" w14:paraId="50554A1B" w14:textId="77777777" w:rsidTr="00BE690A">
        <w:tc>
          <w:tcPr>
            <w:tcW w:w="2268" w:type="dxa"/>
            <w:shd w:val="clear" w:color="auto" w:fill="FFFFFF"/>
          </w:tcPr>
          <w:p w14:paraId="0AA64EBA"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tcPr>
          <w:p w14:paraId="2926FB41" w14:textId="77777777" w:rsidR="00BE690A" w:rsidRDefault="00BE690A" w:rsidP="00931169">
            <w:pPr>
              <w:rPr>
                <w:sz w:val="16"/>
                <w:szCs w:val="16"/>
              </w:rPr>
            </w:pPr>
            <w:r>
              <w:rPr>
                <w:sz w:val="16"/>
                <w:szCs w:val="16"/>
              </w:rPr>
              <w:t xml:space="preserve">Riešené územie je situované vo vrchovinovej až hornatinovej oblasti, kde priemerná ročná teplota je nižšia ako je celoslovenský priemer, pohybuje sa na úrovni 6,8 – 7,3 °C. </w:t>
            </w:r>
          </w:p>
          <w:p w14:paraId="5781C39B" w14:textId="77777777" w:rsidR="00BE690A" w:rsidRDefault="00BE690A" w:rsidP="00931169">
            <w:pPr>
              <w:rPr>
                <w:sz w:val="16"/>
                <w:szCs w:val="16"/>
              </w:rPr>
            </w:pPr>
            <w:r>
              <w:rPr>
                <w:sz w:val="16"/>
                <w:szCs w:val="16"/>
              </w:rPr>
              <w:t xml:space="preserve">Postupný nárast priemernej teploty  vzduchu sa však nevyhol ani tejto oblasti, pozorovaný je mierny nárast priemerných teplôt vzduchu: priemerná ročná teplota vzduchu za roky 1951-1980 bola 6,7°C a za roky 1961-2010 stúpla na 6,8-7,3°C. Pozorovaný je tiež nárast teplôt vzduchu </w:t>
            </w:r>
            <w:r w:rsidRPr="00A61FA6">
              <w:rPr>
                <w:sz w:val="16"/>
                <w:szCs w:val="16"/>
              </w:rPr>
              <w:t xml:space="preserve">v letnom období, najmä v júli a auguste. Oblasti Kysúc sa nevyhli ani letné horúčavy (min. 5 dní s denným maximom teploty </w:t>
            </w:r>
            <w:r w:rsidRPr="00A61FA6">
              <w:rPr>
                <w:rFonts w:cs="Calibri"/>
                <w:sz w:val="16"/>
                <w:szCs w:val="16"/>
              </w:rPr>
              <w:t xml:space="preserve">≥ </w:t>
            </w:r>
            <w:r w:rsidRPr="00A61FA6">
              <w:rPr>
                <w:sz w:val="16"/>
                <w:szCs w:val="16"/>
              </w:rPr>
              <w:t xml:space="preserve">30°C a s maximom teploty </w:t>
            </w:r>
            <w:r w:rsidRPr="00A61FA6">
              <w:rPr>
                <w:rFonts w:cs="Calibri"/>
                <w:sz w:val="16"/>
                <w:szCs w:val="16"/>
              </w:rPr>
              <w:t xml:space="preserve">≥ </w:t>
            </w:r>
            <w:r w:rsidRPr="00A61FA6">
              <w:rPr>
                <w:sz w:val="16"/>
                <w:szCs w:val="16"/>
              </w:rPr>
              <w:t>35°C (supertropický deň) aspoň v jednom z týchto dní), a to predovšetkým v auguste 2018 a počas mimoriadne teplého júna 2019.</w:t>
            </w:r>
          </w:p>
          <w:p w14:paraId="2839E6BB" w14:textId="77777777" w:rsidR="00BE690A" w:rsidRPr="00C92614" w:rsidRDefault="00BE690A" w:rsidP="00931169">
            <w:pPr>
              <w:rPr>
                <w:color w:val="FF0000"/>
                <w:sz w:val="16"/>
                <w:szCs w:val="16"/>
              </w:rPr>
            </w:pPr>
            <w:r>
              <w:rPr>
                <w:sz w:val="16"/>
                <w:szCs w:val="16"/>
              </w:rPr>
              <w:t>Podľa evidencie ŽSR neboli doposiaľ zaznamenané mimoriadne poškodenia žel. infraštruktúry v dôsledku pôsobenia vysokých teplôt, správca neeviduje deformácie koľají, lomy koľajníc, poškodenia výhybiek, poruchy elektronických (najmä zabezpečovacích a oznamovacích) zariadení alebo poruchy trakčného vedenia s vplyvom na dopravu v riešenom úseku, prípadné poruchy sú kategorizované ako bežné prevádzkové záležitosti.</w:t>
            </w:r>
          </w:p>
        </w:tc>
      </w:tr>
      <w:tr w:rsidR="00BE690A" w:rsidRPr="00B16E30" w14:paraId="45E7F007" w14:textId="77777777" w:rsidTr="00BE690A">
        <w:tc>
          <w:tcPr>
            <w:tcW w:w="2268" w:type="dxa"/>
            <w:shd w:val="clear" w:color="auto" w:fill="FFFFFF"/>
          </w:tcPr>
          <w:p w14:paraId="7308D428" w14:textId="77777777" w:rsidR="00BE690A" w:rsidRPr="00B16E30" w:rsidRDefault="00BE690A" w:rsidP="00931169">
            <w:pPr>
              <w:rPr>
                <w:sz w:val="16"/>
                <w:szCs w:val="16"/>
              </w:rPr>
            </w:pPr>
            <w:r w:rsidRPr="00B16E30">
              <w:rPr>
                <w:sz w:val="16"/>
                <w:szCs w:val="16"/>
              </w:rPr>
              <w:t>Relevantné dopady javu</w:t>
            </w:r>
          </w:p>
        </w:tc>
        <w:tc>
          <w:tcPr>
            <w:tcW w:w="7088" w:type="dxa"/>
            <w:shd w:val="clear" w:color="auto" w:fill="auto"/>
          </w:tcPr>
          <w:p w14:paraId="34C00761" w14:textId="77777777" w:rsidR="00BE690A" w:rsidRPr="00B16E30" w:rsidRDefault="00BE690A" w:rsidP="00931169">
            <w:pPr>
              <w:rPr>
                <w:sz w:val="16"/>
                <w:szCs w:val="16"/>
              </w:rPr>
            </w:pPr>
            <w:r>
              <w:rPr>
                <w:sz w:val="16"/>
                <w:szCs w:val="16"/>
              </w:rPr>
              <w:t>p</w:t>
            </w:r>
            <w:r w:rsidRPr="00B16E30">
              <w:rPr>
                <w:sz w:val="16"/>
                <w:szCs w:val="16"/>
              </w:rPr>
              <w:t>oruchy elektronických (zabezpečovacích a oznamovacích) zariadení</w:t>
            </w:r>
          </w:p>
        </w:tc>
      </w:tr>
      <w:tr w:rsidR="00BE690A" w:rsidRPr="00C92614" w14:paraId="5C50787D" w14:textId="77777777" w:rsidTr="00BE690A">
        <w:tc>
          <w:tcPr>
            <w:tcW w:w="2268" w:type="dxa"/>
            <w:shd w:val="clear" w:color="auto" w:fill="FFFFFF"/>
          </w:tcPr>
          <w:p w14:paraId="6DF00393"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2BC5FFBC" w14:textId="77777777" w:rsidR="00BE690A" w:rsidRDefault="00BE690A" w:rsidP="00931169">
            <w:pPr>
              <w:rPr>
                <w:sz w:val="16"/>
                <w:szCs w:val="16"/>
              </w:rPr>
            </w:pPr>
            <w:r w:rsidRPr="00C92614">
              <w:rPr>
                <w:sz w:val="16"/>
                <w:szCs w:val="16"/>
              </w:rPr>
              <w:t>V budúcnosti sa očakáva postupný rast priemerných ročných teplôt vzduchu so zachovaním doterajšej medziročnej a medzisezónnej časovej premenlivosti</w:t>
            </w:r>
            <w:r>
              <w:rPr>
                <w:sz w:val="16"/>
                <w:szCs w:val="16"/>
              </w:rPr>
              <w:t xml:space="preserve">. Predpokladaný je </w:t>
            </w:r>
            <w:r w:rsidRPr="00C92614">
              <w:rPr>
                <w:sz w:val="16"/>
                <w:szCs w:val="16"/>
              </w:rPr>
              <w:t>nárast</w:t>
            </w:r>
            <w:r>
              <w:rPr>
                <w:sz w:val="16"/>
                <w:szCs w:val="16"/>
              </w:rPr>
              <w:t xml:space="preserve"> teploty vzduchu </w:t>
            </w:r>
            <w:r w:rsidRPr="00C92614">
              <w:rPr>
                <w:sz w:val="16"/>
                <w:szCs w:val="16"/>
              </w:rPr>
              <w:t>o 2 - 4°C v porovnaní s priemermi obdobia rokov 1951 – 1980</w:t>
            </w:r>
            <w:r>
              <w:rPr>
                <w:sz w:val="16"/>
                <w:szCs w:val="16"/>
              </w:rPr>
              <w:t xml:space="preserve">, pričom v riešenom území na severnom okraji SR je predpoklad nárastu na úrovni dolnej hranice daného pásma a zároveň </w:t>
            </w:r>
            <w:r w:rsidRPr="00C92614">
              <w:rPr>
                <w:sz w:val="16"/>
                <w:szCs w:val="16"/>
              </w:rPr>
              <w:t>v jesenných mesiacoch sa očakáva rast teploty menší ako vo zvyšnej časti roka.</w:t>
            </w:r>
          </w:p>
          <w:p w14:paraId="65F0A756" w14:textId="77777777" w:rsidR="00BE690A" w:rsidRPr="00C92614" w:rsidRDefault="00BE690A" w:rsidP="00931169">
            <w:pPr>
              <w:rPr>
                <w:sz w:val="16"/>
                <w:szCs w:val="16"/>
              </w:rPr>
            </w:pPr>
            <w:r w:rsidRPr="00C92614">
              <w:rPr>
                <w:sz w:val="16"/>
                <w:szCs w:val="16"/>
              </w:rPr>
              <w:t>Nie je predpoklad výraznejších zmien v ročnom chode teploty vzduchu, avšak v jesenných mesiacoch sa očakáva rast teploty menší ako vo zvyšnej časti roka. Očakáva sa tiež rýchlejší nárast denných maxím a miním teplôt, častejší výskyt a dlhšie trvanie vĺn horúčav</w:t>
            </w:r>
            <w:r>
              <w:rPr>
                <w:sz w:val="16"/>
                <w:szCs w:val="16"/>
              </w:rPr>
              <w:t xml:space="preserve"> a</w:t>
            </w:r>
            <w:r w:rsidRPr="00C92614">
              <w:rPr>
                <w:sz w:val="16"/>
                <w:szCs w:val="16"/>
              </w:rPr>
              <w:t xml:space="preserve"> zníženie výskytu chladných dní nárastom teplôt vzduchu v chladnom období roka. </w:t>
            </w:r>
          </w:p>
        </w:tc>
      </w:tr>
      <w:tr w:rsidR="00BE690A" w:rsidRPr="00C92614" w14:paraId="1DE7A420" w14:textId="77777777" w:rsidTr="00BE690A">
        <w:trPr>
          <w:trHeight w:val="252"/>
        </w:trPr>
        <w:tc>
          <w:tcPr>
            <w:tcW w:w="2268" w:type="dxa"/>
            <w:vMerge w:val="restart"/>
            <w:shd w:val="clear" w:color="auto" w:fill="FFFFFF"/>
          </w:tcPr>
          <w:p w14:paraId="162B42FB"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14B55C6C" w14:textId="77777777" w:rsidR="00BE690A" w:rsidRPr="006C52E3" w:rsidRDefault="00BE690A" w:rsidP="00931169">
            <w:pPr>
              <w:rPr>
                <w:sz w:val="16"/>
                <w:szCs w:val="16"/>
              </w:rPr>
            </w:pPr>
            <w:r w:rsidRPr="006C52E3">
              <w:rPr>
                <w:sz w:val="16"/>
                <w:szCs w:val="16"/>
              </w:rPr>
              <w:t xml:space="preserve">Klimatický jav pôsobí na žel. infraštruktúru vedenú otvorenou krajinou a vystavenú poveternostným podmienkam. </w:t>
            </w:r>
            <w:r w:rsidRPr="00E41D4B">
              <w:rPr>
                <w:sz w:val="16"/>
                <w:szCs w:val="16"/>
              </w:rPr>
              <w:t xml:space="preserve">V menšej miere jav pôsobí na </w:t>
            </w:r>
            <w:r>
              <w:rPr>
                <w:sz w:val="16"/>
                <w:szCs w:val="16"/>
              </w:rPr>
              <w:t>samotnú prevádzku na žel. trati</w:t>
            </w:r>
            <w:r w:rsidRPr="00E41D4B">
              <w:rPr>
                <w:sz w:val="16"/>
                <w:szCs w:val="16"/>
              </w:rPr>
              <w:t>.</w:t>
            </w:r>
          </w:p>
          <w:p w14:paraId="0CA7486B" w14:textId="77777777" w:rsidR="00BE690A" w:rsidRDefault="00BE690A" w:rsidP="00931169">
            <w:pPr>
              <w:rPr>
                <w:sz w:val="16"/>
                <w:szCs w:val="16"/>
              </w:rPr>
            </w:pPr>
            <w:r w:rsidRPr="006C52E3">
              <w:rPr>
                <w:sz w:val="16"/>
                <w:szCs w:val="16"/>
              </w:rPr>
              <w:t>Na teplotné zmeny sú náchylné predovšetkým oblasti narušenej stability koľaje p</w:t>
            </w:r>
            <w:r>
              <w:rPr>
                <w:sz w:val="16"/>
                <w:szCs w:val="16"/>
              </w:rPr>
              <w:t xml:space="preserve">o vykonaných opravných prácach. </w:t>
            </w:r>
            <w:r w:rsidRPr="008349DB">
              <w:rPr>
                <w:b/>
                <w:sz w:val="16"/>
                <w:szCs w:val="16"/>
              </w:rPr>
              <w:t>Všetky hodnotené varianty uvažujú s výstavbou nového žel. zvršku v celom úseku trate, pre ktoré je z tohto pohľadu riziko poškodení v počiatočných rokoch fungovania projektu nízke.</w:t>
            </w:r>
            <w:r w:rsidRPr="006C52E3">
              <w:rPr>
                <w:sz w:val="16"/>
                <w:szCs w:val="16"/>
              </w:rPr>
              <w:t xml:space="preserve"> </w:t>
            </w:r>
          </w:p>
          <w:p w14:paraId="0891F8A8" w14:textId="77777777" w:rsidR="00BE690A" w:rsidRDefault="00BE690A" w:rsidP="00931169">
            <w:pPr>
              <w:rPr>
                <w:sz w:val="16"/>
                <w:szCs w:val="16"/>
              </w:rPr>
            </w:pPr>
            <w:r>
              <w:rPr>
                <w:sz w:val="16"/>
                <w:szCs w:val="16"/>
              </w:rPr>
              <w:t xml:space="preserve">Priemerná teplota v dotknutom území sa pohybuje na úrovni 7°C, čo je značne nižšia hodnota ako je celoslovenský priemer, ide o pomerne chladnú oblasť Slovenska. </w:t>
            </w:r>
            <w:r w:rsidRPr="006C52E3">
              <w:rPr>
                <w:sz w:val="16"/>
                <w:szCs w:val="16"/>
              </w:rPr>
              <w:t>Podľa evidencie ŽSR nebolo na danom úseku</w:t>
            </w:r>
            <w:r>
              <w:rPr>
                <w:sz w:val="16"/>
                <w:szCs w:val="16"/>
              </w:rPr>
              <w:t xml:space="preserve"> trate</w:t>
            </w:r>
            <w:r w:rsidRPr="006C52E3">
              <w:rPr>
                <w:sz w:val="16"/>
                <w:szCs w:val="16"/>
              </w:rPr>
              <w:t xml:space="preserve"> zaznamenané poškodenie žel. infraštruktúry následkom pôsobenia vysokých teplôt, </w:t>
            </w:r>
            <w:r w:rsidRPr="008349DB">
              <w:rPr>
                <w:b/>
                <w:sz w:val="16"/>
                <w:szCs w:val="16"/>
              </w:rPr>
              <w:t>expozícia žel. trate týmto faktorom v území je malá.</w:t>
            </w:r>
            <w:r w:rsidRPr="006C52E3">
              <w:rPr>
                <w:sz w:val="16"/>
                <w:szCs w:val="16"/>
              </w:rPr>
              <w:t xml:space="preserve"> </w:t>
            </w:r>
          </w:p>
          <w:p w14:paraId="62FCF8F4" w14:textId="77777777" w:rsidR="00BE690A" w:rsidRPr="005E640B" w:rsidRDefault="00BE690A" w:rsidP="00931169">
            <w:pPr>
              <w:rPr>
                <w:sz w:val="16"/>
                <w:szCs w:val="16"/>
              </w:rPr>
            </w:pPr>
            <w:r>
              <w:rPr>
                <w:sz w:val="16"/>
                <w:szCs w:val="16"/>
              </w:rPr>
              <w:t xml:space="preserve">Aj napriek uvedenému je </w:t>
            </w:r>
            <w:r w:rsidRPr="005E640B">
              <w:rPr>
                <w:sz w:val="16"/>
                <w:szCs w:val="16"/>
              </w:rPr>
              <w:t>však zrejmý postupný nárast priemernej teploty vzduchu a čoraz častejší výskyt období letných horúčav. A</w:t>
            </w:r>
            <w:r>
              <w:rPr>
                <w:sz w:val="16"/>
                <w:szCs w:val="16"/>
              </w:rPr>
              <w:t>však a</w:t>
            </w:r>
            <w:r w:rsidRPr="005E640B">
              <w:rPr>
                <w:sz w:val="16"/>
                <w:szCs w:val="16"/>
              </w:rPr>
              <w:t xml:space="preserve">j napriek očakávanému ďalšiemu otepleniu a nárastu letných a tropických dní sa </w:t>
            </w:r>
            <w:r>
              <w:rPr>
                <w:sz w:val="16"/>
                <w:szCs w:val="16"/>
              </w:rPr>
              <w:t xml:space="preserve">vzhľadom na vrchovinový charakter oblasti </w:t>
            </w:r>
            <w:r w:rsidRPr="005E640B">
              <w:rPr>
                <w:sz w:val="16"/>
                <w:szCs w:val="16"/>
              </w:rPr>
              <w:t>neočakáva vysoké riziko ohrozenia žel. infraštruktúry alebo prevádzky.</w:t>
            </w:r>
          </w:p>
        </w:tc>
      </w:tr>
      <w:tr w:rsidR="00BE690A" w:rsidRPr="00C92614" w14:paraId="61DC8B0B" w14:textId="77777777" w:rsidTr="00BE690A">
        <w:tc>
          <w:tcPr>
            <w:tcW w:w="2268" w:type="dxa"/>
            <w:vMerge/>
            <w:shd w:val="clear" w:color="auto" w:fill="FFFFFF"/>
          </w:tcPr>
          <w:p w14:paraId="5A902049" w14:textId="77777777" w:rsidR="00BE690A" w:rsidRPr="00C92614" w:rsidRDefault="00BE690A" w:rsidP="00931169">
            <w:pPr>
              <w:rPr>
                <w:color w:val="FF0000"/>
                <w:sz w:val="16"/>
                <w:szCs w:val="16"/>
              </w:rPr>
            </w:pPr>
          </w:p>
        </w:tc>
        <w:tc>
          <w:tcPr>
            <w:tcW w:w="7088" w:type="dxa"/>
            <w:shd w:val="clear" w:color="auto" w:fill="D6E3BC"/>
          </w:tcPr>
          <w:p w14:paraId="6633875B" w14:textId="77777777" w:rsidR="00BE690A" w:rsidRPr="005172E3" w:rsidRDefault="00BE690A" w:rsidP="00931169">
            <w:pPr>
              <w:rPr>
                <w:sz w:val="16"/>
                <w:szCs w:val="16"/>
              </w:rPr>
            </w:pPr>
            <w:r w:rsidRPr="005172E3">
              <w:rPr>
                <w:sz w:val="16"/>
                <w:szCs w:val="16"/>
              </w:rPr>
              <w:t>Miera pravdepodobnosti ovplyvnenia žel. infraštruktúry: 1</w:t>
            </w:r>
          </w:p>
        </w:tc>
      </w:tr>
      <w:tr w:rsidR="00BE690A" w:rsidRPr="00C92614" w14:paraId="5EBEBB9B" w14:textId="77777777" w:rsidTr="00BE690A">
        <w:tc>
          <w:tcPr>
            <w:tcW w:w="2268" w:type="dxa"/>
            <w:vMerge/>
            <w:shd w:val="clear" w:color="auto" w:fill="FFFFFF"/>
          </w:tcPr>
          <w:p w14:paraId="64CF0ECB" w14:textId="77777777" w:rsidR="00BE690A" w:rsidRPr="00C92614" w:rsidRDefault="00BE690A" w:rsidP="00931169">
            <w:pPr>
              <w:rPr>
                <w:color w:val="FF0000"/>
                <w:sz w:val="16"/>
                <w:szCs w:val="16"/>
              </w:rPr>
            </w:pPr>
          </w:p>
        </w:tc>
        <w:tc>
          <w:tcPr>
            <w:tcW w:w="7088" w:type="dxa"/>
            <w:shd w:val="clear" w:color="auto" w:fill="D6E3BC"/>
          </w:tcPr>
          <w:p w14:paraId="76776DDD" w14:textId="77777777" w:rsidR="00BE690A" w:rsidRPr="005172E3" w:rsidRDefault="00BE690A" w:rsidP="00931169">
            <w:pPr>
              <w:rPr>
                <w:sz w:val="16"/>
                <w:szCs w:val="16"/>
              </w:rPr>
            </w:pPr>
            <w:r w:rsidRPr="005172E3">
              <w:rPr>
                <w:sz w:val="16"/>
                <w:szCs w:val="16"/>
              </w:rPr>
              <w:t>Miera pravdepodobnosti ovplyvnenia žel. prevádzky: 1</w:t>
            </w:r>
          </w:p>
        </w:tc>
      </w:tr>
      <w:tr w:rsidR="00BE690A" w:rsidRPr="00C92614" w14:paraId="593987F9" w14:textId="77777777" w:rsidTr="00BE690A">
        <w:tc>
          <w:tcPr>
            <w:tcW w:w="2268" w:type="dxa"/>
            <w:shd w:val="clear" w:color="auto" w:fill="FFFFFF"/>
            <w:vAlign w:val="center"/>
          </w:tcPr>
          <w:p w14:paraId="5630211E"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0F7366C0" w14:textId="77777777" w:rsidR="00BE690A" w:rsidRPr="00C92614" w:rsidRDefault="00BE690A" w:rsidP="00931169">
            <w:pPr>
              <w:rPr>
                <w:b/>
                <w:sz w:val="16"/>
                <w:szCs w:val="16"/>
              </w:rPr>
            </w:pPr>
            <w:r w:rsidRPr="00C92614">
              <w:rPr>
                <w:b/>
                <w:sz w:val="16"/>
                <w:szCs w:val="16"/>
              </w:rPr>
              <w:t xml:space="preserve">Snehové javy </w:t>
            </w:r>
          </w:p>
        </w:tc>
      </w:tr>
      <w:tr w:rsidR="00BE690A" w:rsidRPr="00C92614" w14:paraId="2E575AC4" w14:textId="77777777" w:rsidTr="00BE690A">
        <w:tc>
          <w:tcPr>
            <w:tcW w:w="2268" w:type="dxa"/>
            <w:shd w:val="clear" w:color="auto" w:fill="FFFFFF"/>
          </w:tcPr>
          <w:p w14:paraId="0F224C74"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31DBAE52" w14:textId="77777777" w:rsidR="00BE690A" w:rsidRDefault="00BE690A" w:rsidP="00931169">
            <w:pPr>
              <w:rPr>
                <w:sz w:val="16"/>
                <w:szCs w:val="16"/>
              </w:rPr>
            </w:pPr>
            <w:r>
              <w:rPr>
                <w:sz w:val="16"/>
                <w:szCs w:val="16"/>
              </w:rPr>
              <w:t xml:space="preserve">Riešené územie sa nachádza v kopcovitej oblasti Kysúc, kde sa priemerné ročné úhrny zrážok za obdobie rokov 1981 – 2010 pohybujú na úrovni 927 – 980 mm. Priemerný ročný počet dní so zrážkami nad 1mm sa pohybuje v rozsahu 114 – 130 dní, v zimných mesiacoch v rozsahu priemerne 56 - 62 dní. Najmenej zrážok spadne práve v zimných mesiacoch – priemerne 190 mm, pričom zrážky sú prevažne vo forme snehu. </w:t>
            </w:r>
          </w:p>
          <w:p w14:paraId="53BB51C2" w14:textId="77777777" w:rsidR="00BE690A" w:rsidRDefault="00BE690A" w:rsidP="00931169">
            <w:pPr>
              <w:rPr>
                <w:sz w:val="16"/>
                <w:szCs w:val="16"/>
              </w:rPr>
            </w:pPr>
            <w:r w:rsidRPr="005F4613">
              <w:rPr>
                <w:sz w:val="16"/>
                <w:szCs w:val="16"/>
              </w:rPr>
              <w:t xml:space="preserve">Podľa pozorovaní za </w:t>
            </w:r>
            <w:r>
              <w:rPr>
                <w:sz w:val="16"/>
                <w:szCs w:val="16"/>
              </w:rPr>
              <w:t xml:space="preserve">dané </w:t>
            </w:r>
            <w:r w:rsidRPr="005F4613">
              <w:rPr>
                <w:sz w:val="16"/>
                <w:szCs w:val="16"/>
              </w:rPr>
              <w:t xml:space="preserve">obdobie sa v území vyskytuje </w:t>
            </w:r>
            <w:r>
              <w:rPr>
                <w:sz w:val="16"/>
                <w:szCs w:val="16"/>
              </w:rPr>
              <w:t xml:space="preserve">priemerne 124 - 130 mrazových dní s denným minimom nižším ako 0°C a priemerne 33 - 43 ľadových dní s denným maximom teploty vzduchu 0°C a menej.  </w:t>
            </w:r>
          </w:p>
          <w:p w14:paraId="543C74BD" w14:textId="77777777" w:rsidR="00BE690A" w:rsidRPr="00641EFF" w:rsidRDefault="00BE690A" w:rsidP="00931169">
            <w:pPr>
              <w:rPr>
                <w:sz w:val="16"/>
                <w:szCs w:val="16"/>
              </w:rPr>
            </w:pPr>
            <w:r w:rsidRPr="003A0AC2">
              <w:rPr>
                <w:sz w:val="16"/>
                <w:szCs w:val="16"/>
              </w:rPr>
              <w:t xml:space="preserve">Za </w:t>
            </w:r>
            <w:r>
              <w:rPr>
                <w:sz w:val="16"/>
                <w:szCs w:val="16"/>
              </w:rPr>
              <w:t xml:space="preserve">sledované </w:t>
            </w:r>
            <w:r w:rsidRPr="003A0AC2">
              <w:rPr>
                <w:sz w:val="16"/>
                <w:szCs w:val="16"/>
              </w:rPr>
              <w:t>obdobie sa v</w:t>
            </w:r>
            <w:r>
              <w:rPr>
                <w:sz w:val="16"/>
                <w:szCs w:val="16"/>
              </w:rPr>
              <w:t> </w:t>
            </w:r>
            <w:r w:rsidRPr="003A0AC2">
              <w:rPr>
                <w:sz w:val="16"/>
                <w:szCs w:val="16"/>
              </w:rPr>
              <w:t>území</w:t>
            </w:r>
            <w:r>
              <w:rPr>
                <w:sz w:val="16"/>
                <w:szCs w:val="16"/>
              </w:rPr>
              <w:t xml:space="preserve"> počas </w:t>
            </w:r>
            <w:r w:rsidRPr="005976D2">
              <w:rPr>
                <w:sz w:val="16"/>
                <w:szCs w:val="16"/>
              </w:rPr>
              <w:t>sezóny vyskytovalo priemerne 54 dní so snežením a 83 dní so snehovou pokrývkou. Obdobia s výskytom snehovej pokrývky bývajú často prerušované a nesúvislé, najvyšší počet dní so snehovou pokrývkou je viazaných na január</w:t>
            </w:r>
            <w:r>
              <w:rPr>
                <w:sz w:val="16"/>
                <w:szCs w:val="16"/>
              </w:rPr>
              <w:t xml:space="preserve"> ako najchladnejší mesiac s priemernou teplotou vzduchu -3,1 - -3,4°C.</w:t>
            </w:r>
            <w:r w:rsidRPr="005976D2">
              <w:rPr>
                <w:sz w:val="16"/>
                <w:szCs w:val="16"/>
              </w:rPr>
              <w:t xml:space="preserve"> Priemer sezónnych maxím výšky snehovej pokrývky dosahoval 46 - 49 cm. Prvé dni so</w:t>
            </w:r>
            <w:r>
              <w:rPr>
                <w:sz w:val="16"/>
                <w:szCs w:val="16"/>
              </w:rPr>
              <w:t xml:space="preserve"> </w:t>
            </w:r>
            <w:r w:rsidRPr="005976D2">
              <w:rPr>
                <w:sz w:val="16"/>
                <w:szCs w:val="16"/>
              </w:rPr>
              <w:t xml:space="preserve">snežením </w:t>
            </w:r>
            <w:r>
              <w:rPr>
                <w:sz w:val="16"/>
                <w:szCs w:val="16"/>
              </w:rPr>
              <w:t xml:space="preserve">pripadajú na koniec októbra a začiatok novembra, posledné dni so snežením sa môžu vyskytnúť ešte koncom apríla a začiatkom mája. </w:t>
            </w:r>
          </w:p>
        </w:tc>
      </w:tr>
      <w:tr w:rsidR="00BE690A" w:rsidRPr="00C92614" w14:paraId="590949B0" w14:textId="77777777" w:rsidTr="00BE690A">
        <w:tc>
          <w:tcPr>
            <w:tcW w:w="2268" w:type="dxa"/>
            <w:shd w:val="clear" w:color="auto" w:fill="FFFFFF"/>
          </w:tcPr>
          <w:p w14:paraId="6841DE74"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tcPr>
          <w:p w14:paraId="41FFEC65" w14:textId="77777777" w:rsidR="00BE690A" w:rsidRDefault="00BE690A" w:rsidP="00931169">
            <w:pPr>
              <w:rPr>
                <w:sz w:val="16"/>
                <w:szCs w:val="16"/>
              </w:rPr>
            </w:pPr>
            <w:r w:rsidRPr="006952B4">
              <w:rPr>
                <w:sz w:val="16"/>
                <w:szCs w:val="16"/>
              </w:rPr>
              <w:t>Riešené územie sa nachádza v</w:t>
            </w:r>
            <w:r>
              <w:rPr>
                <w:sz w:val="16"/>
                <w:szCs w:val="16"/>
              </w:rPr>
              <w:t> hornatej chladnej</w:t>
            </w:r>
            <w:r w:rsidRPr="006952B4">
              <w:rPr>
                <w:sz w:val="16"/>
                <w:szCs w:val="16"/>
              </w:rPr>
              <w:t xml:space="preserve"> oblasti, pre ktorú sú v zimnom období charakteristické </w:t>
            </w:r>
            <w:r>
              <w:rPr>
                <w:sz w:val="16"/>
                <w:szCs w:val="16"/>
              </w:rPr>
              <w:t xml:space="preserve">výdatné </w:t>
            </w:r>
            <w:r w:rsidRPr="006952B4">
              <w:rPr>
                <w:sz w:val="16"/>
                <w:szCs w:val="16"/>
              </w:rPr>
              <w:t>snehové zrážky.</w:t>
            </w:r>
            <w:r>
              <w:rPr>
                <w:sz w:val="16"/>
                <w:szCs w:val="16"/>
              </w:rPr>
              <w:t xml:space="preserve"> V posledných rokoch sa vplyvom zmien klimatických ukazovateľov menia aj charakteristiky snehových zrážok oblasti, častejšie sa vyskytujú náhle intenzívne snehové zrážky vytvárajúce tzv. snehové kalamity alebo v spolupôsobení so silným vetrom aj snehové jazyky a záveje.</w:t>
            </w:r>
          </w:p>
          <w:p w14:paraId="121CB9E2" w14:textId="77777777" w:rsidR="00BE690A" w:rsidRDefault="00BE690A" w:rsidP="00931169">
            <w:pPr>
              <w:rPr>
                <w:sz w:val="16"/>
                <w:szCs w:val="16"/>
              </w:rPr>
            </w:pPr>
            <w:r>
              <w:rPr>
                <w:sz w:val="16"/>
                <w:szCs w:val="16"/>
              </w:rPr>
              <w:t>V zimnom období sa v tejto oblasti takmer každoročne vyskytujú dni so silným, hustým snežením. V ostatnom roku bola v januári 2019 vyhlásená mimoriadna situácia pre snehovú kalamitu v Čadci a pre silné sneženie a napadnutý sneh, ktorý uväznil ľudí v osadách nad mestom Krásno nad Kysucou.</w:t>
            </w:r>
          </w:p>
          <w:p w14:paraId="7313C8BF" w14:textId="77777777" w:rsidR="00BE690A" w:rsidRPr="00286F57" w:rsidRDefault="00BE690A" w:rsidP="00931169">
            <w:pPr>
              <w:rPr>
                <w:sz w:val="16"/>
                <w:szCs w:val="16"/>
              </w:rPr>
            </w:pPr>
            <w:r>
              <w:rPr>
                <w:sz w:val="16"/>
                <w:szCs w:val="16"/>
              </w:rPr>
              <w:t>Podľa evidencie ŽSR boli v uplynulom období vplyvy snehových zrážok významným činiteľom vyvolávajúcim zvýšené nároky na údržbu na dotknutom úseku žel. trate príp. v mimoriadnych prípadoch až prevádzkové obmedzenia. Častými udalosťami v zimnom období sú zaviatie výhybiek snehom, zníženie dohľadnosti hustým snežením, pády konárov a stromov na trať alebo na trakčné vedenie pod váhou ťažkého snehu. Od roku 2009 bolo v danom úseku trate zaznamenaných spolu 36 pádov stromov na trakčné vedenie (niektoré pod váhou snehu, iné pôsobením silných vetrov). Len v zimnom období roka 2019 bolo viac krát evidované zasneženie výhybiek v ŽST Čadca (2.1., 3.1.,5.1.,8.1.,7.2.) a v ŽST Krásno nad Kysucou (3.1.), v úseku Kysucké Nové Mesto – Krásno nad Kysucou (7.1.) a v úseku Kysucké Nové Mesto – Čadca (9.1). Vplyv snehových kalamít na žel. dopravu je však minimálny, keďže správca trate má k dispozícii kapacity, ktorými bežné snehové kalamity eliminuje.</w:t>
            </w:r>
          </w:p>
        </w:tc>
      </w:tr>
      <w:tr w:rsidR="00BE690A" w:rsidRPr="00286F57" w14:paraId="335DC91E" w14:textId="77777777" w:rsidTr="00BE690A">
        <w:tc>
          <w:tcPr>
            <w:tcW w:w="2268" w:type="dxa"/>
            <w:shd w:val="clear" w:color="auto" w:fill="FFFFFF"/>
          </w:tcPr>
          <w:p w14:paraId="545CB9FB" w14:textId="77777777" w:rsidR="00BE690A" w:rsidRPr="00286F57" w:rsidRDefault="00BE690A" w:rsidP="00931169">
            <w:pPr>
              <w:rPr>
                <w:sz w:val="16"/>
                <w:szCs w:val="16"/>
              </w:rPr>
            </w:pPr>
            <w:r w:rsidRPr="00286F57">
              <w:rPr>
                <w:sz w:val="16"/>
                <w:szCs w:val="16"/>
              </w:rPr>
              <w:t>Relevantné dopady javu</w:t>
            </w:r>
          </w:p>
        </w:tc>
        <w:tc>
          <w:tcPr>
            <w:tcW w:w="7088" w:type="dxa"/>
            <w:shd w:val="clear" w:color="auto" w:fill="auto"/>
          </w:tcPr>
          <w:p w14:paraId="0457B23F" w14:textId="77777777" w:rsidR="00BE690A" w:rsidRPr="00286F57" w:rsidRDefault="00BE690A" w:rsidP="00931169">
            <w:pPr>
              <w:rPr>
                <w:sz w:val="16"/>
                <w:szCs w:val="16"/>
              </w:rPr>
            </w:pPr>
            <w:r w:rsidRPr="00286F57">
              <w:rPr>
                <w:sz w:val="16"/>
                <w:szCs w:val="16"/>
              </w:rPr>
              <w:t xml:space="preserve">zvýšená potreba údržby žel. trate, zasneženie výhybiek, pády stromov a konárov </w:t>
            </w:r>
            <w:r>
              <w:rPr>
                <w:sz w:val="16"/>
                <w:szCs w:val="16"/>
              </w:rPr>
              <w:t xml:space="preserve">na trakčné vedenie alebo na trať </w:t>
            </w:r>
            <w:r w:rsidRPr="00286F57">
              <w:rPr>
                <w:sz w:val="16"/>
                <w:szCs w:val="16"/>
              </w:rPr>
              <w:t>pod váhou snehu, spomalenie jazdných časov znížením dohľadnosti hustým snežením</w:t>
            </w:r>
          </w:p>
        </w:tc>
      </w:tr>
      <w:tr w:rsidR="00BE690A" w:rsidRPr="00C92614" w14:paraId="30164FCC" w14:textId="77777777" w:rsidTr="00BE690A">
        <w:tc>
          <w:tcPr>
            <w:tcW w:w="2268" w:type="dxa"/>
            <w:shd w:val="clear" w:color="auto" w:fill="FFFFFF"/>
          </w:tcPr>
          <w:p w14:paraId="2FF96083"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0CF8488D" w14:textId="77777777" w:rsidR="00BE690A" w:rsidRDefault="00BE690A" w:rsidP="00931169">
            <w:pPr>
              <w:rPr>
                <w:sz w:val="16"/>
                <w:szCs w:val="16"/>
              </w:rPr>
            </w:pPr>
            <w:r w:rsidRPr="00C92614">
              <w:rPr>
                <w:sz w:val="16"/>
                <w:szCs w:val="16"/>
              </w:rPr>
              <w:t xml:space="preserve">V budúcnosti sa očakávajú zmeny v množstvách snehovej pokrývky v dôsledku nadchádzajúceho otepľovania atmosféry. Očakáva sa nepravidelný výskyt snehovej pokrývky, na väčšine územia jej úbytok a skracovanie obdobia s jej výskytom a tiež budú klesať absolútne maximá </w:t>
            </w:r>
            <w:r>
              <w:rPr>
                <w:sz w:val="16"/>
                <w:szCs w:val="16"/>
              </w:rPr>
              <w:t xml:space="preserve">výšky </w:t>
            </w:r>
            <w:r w:rsidRPr="00C92614">
              <w:rPr>
                <w:sz w:val="16"/>
                <w:szCs w:val="16"/>
              </w:rPr>
              <w:t>snehovej pokrývky.</w:t>
            </w:r>
          </w:p>
          <w:p w14:paraId="2C03FD39" w14:textId="77777777" w:rsidR="00BE690A" w:rsidRPr="00C92614" w:rsidRDefault="00BE690A" w:rsidP="00931169">
            <w:pPr>
              <w:rPr>
                <w:color w:val="FF0000"/>
                <w:sz w:val="16"/>
                <w:szCs w:val="16"/>
              </w:rPr>
            </w:pPr>
            <w:r>
              <w:rPr>
                <w:sz w:val="16"/>
                <w:szCs w:val="16"/>
              </w:rPr>
              <w:t xml:space="preserve">Z dôvodu zvýšených úhrnov zrážok sa zároveň predpokladá častejší výskyt epizodických snehových kalamít. Zároveň sa v dôsledku častejších zimných oteplení očakáva častejšie topenie snehu a výskyt zimných povodní. </w:t>
            </w:r>
          </w:p>
        </w:tc>
      </w:tr>
      <w:tr w:rsidR="00BE690A" w:rsidRPr="00C92614" w14:paraId="420EA50B" w14:textId="77777777" w:rsidTr="00BE690A">
        <w:trPr>
          <w:trHeight w:val="252"/>
        </w:trPr>
        <w:tc>
          <w:tcPr>
            <w:tcW w:w="2268" w:type="dxa"/>
            <w:vMerge w:val="restart"/>
            <w:shd w:val="clear" w:color="auto" w:fill="FFFFFF"/>
          </w:tcPr>
          <w:p w14:paraId="630001A6"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124C3485" w14:textId="77777777" w:rsidR="00BE690A" w:rsidRDefault="00BE690A" w:rsidP="00931169">
            <w:pPr>
              <w:rPr>
                <w:sz w:val="16"/>
                <w:szCs w:val="16"/>
              </w:rPr>
            </w:pPr>
            <w:r w:rsidRPr="005E640B">
              <w:rPr>
                <w:sz w:val="16"/>
                <w:szCs w:val="16"/>
              </w:rPr>
              <w:t>Klimatický jav pôsobí na dotknutú žel. infraštruktúru vystavenú poveternostným podmienkam v celom úseku mimo vedenia trate v tunelových objektoch</w:t>
            </w:r>
            <w:r>
              <w:rPr>
                <w:sz w:val="16"/>
                <w:szCs w:val="16"/>
              </w:rPr>
              <w:t xml:space="preserve"> v úseku Krásno nad Kysucou – Čadca.</w:t>
            </w:r>
          </w:p>
          <w:p w14:paraId="1087856C" w14:textId="77777777" w:rsidR="00BE690A" w:rsidRDefault="00BE690A" w:rsidP="00931169">
            <w:pPr>
              <w:rPr>
                <w:sz w:val="16"/>
                <w:szCs w:val="16"/>
              </w:rPr>
            </w:pPr>
            <w:r w:rsidRPr="004E65BB">
              <w:rPr>
                <w:b/>
                <w:sz w:val="16"/>
                <w:szCs w:val="16"/>
              </w:rPr>
              <w:t>Snehové zrážky nepredstavujú pre objekty žel. trate a pre žel. prevádzku vysoké riziko,</w:t>
            </w:r>
            <w:r>
              <w:rPr>
                <w:sz w:val="16"/>
                <w:szCs w:val="16"/>
              </w:rPr>
              <w:t xml:space="preserve"> </w:t>
            </w:r>
            <w:r w:rsidRPr="004E65BB">
              <w:rPr>
                <w:b/>
                <w:sz w:val="16"/>
                <w:szCs w:val="16"/>
              </w:rPr>
              <w:t>vyvolávajú predovšetkým zvýšené nároky na údržbu.</w:t>
            </w:r>
            <w:r>
              <w:rPr>
                <w:sz w:val="16"/>
                <w:szCs w:val="16"/>
              </w:rPr>
              <w:t xml:space="preserve"> </w:t>
            </w:r>
            <w:r w:rsidRPr="005E640B">
              <w:rPr>
                <w:sz w:val="16"/>
                <w:szCs w:val="16"/>
              </w:rPr>
              <w:t>Ojedinele môže intenzívne sneženie vyvolať krátkodobé lokálne prevádzkové obmedzenia</w:t>
            </w:r>
            <w:r>
              <w:rPr>
                <w:sz w:val="16"/>
                <w:szCs w:val="16"/>
              </w:rPr>
              <w:t xml:space="preserve"> predovšetkým v úsekoch vedených v zárezoch</w:t>
            </w:r>
            <w:r w:rsidRPr="005E640B">
              <w:rPr>
                <w:sz w:val="16"/>
                <w:szCs w:val="16"/>
              </w:rPr>
              <w:t xml:space="preserve"> prípadne príp. nánosy napadnutého snehu môžu zaťažiť vybrané konštrukcie.</w:t>
            </w:r>
          </w:p>
          <w:p w14:paraId="3A162F11" w14:textId="77777777" w:rsidR="00BE690A" w:rsidRDefault="00BE690A" w:rsidP="00931169">
            <w:pPr>
              <w:rPr>
                <w:sz w:val="16"/>
                <w:szCs w:val="16"/>
              </w:rPr>
            </w:pPr>
            <w:r>
              <w:rPr>
                <w:sz w:val="16"/>
                <w:szCs w:val="16"/>
              </w:rPr>
              <w:t>V budúcnosti sa očakáva nerovnomernejšie rozloženie zrážok, vrátane tých snehových, čím sa v spolupôsobení so silnými vetrami očakáva častejší výskyt snehových kalamít, jazykov a závejov.</w:t>
            </w:r>
            <w:r w:rsidRPr="00C92614">
              <w:rPr>
                <w:color w:val="FF0000"/>
                <w:sz w:val="16"/>
                <w:szCs w:val="16"/>
              </w:rPr>
              <w:t xml:space="preserve"> </w:t>
            </w:r>
            <w:r>
              <w:rPr>
                <w:sz w:val="16"/>
                <w:szCs w:val="16"/>
              </w:rPr>
              <w:t>Tieto však ohrozujú dopravu na žel. trati len minimálne, prípadné obmedzenia sú zvládnuteľné bežnými prevádzkovými úkonmi.</w:t>
            </w:r>
          </w:p>
          <w:p w14:paraId="001866D0" w14:textId="77777777" w:rsidR="00BE690A" w:rsidRDefault="00BE690A" w:rsidP="00931169">
            <w:pPr>
              <w:rPr>
                <w:sz w:val="16"/>
                <w:szCs w:val="16"/>
              </w:rPr>
            </w:pPr>
            <w:r w:rsidRPr="004E65BB">
              <w:rPr>
                <w:b/>
                <w:sz w:val="16"/>
                <w:szCs w:val="16"/>
              </w:rPr>
              <w:t>Exponovanými úsekmi sú predovšetkým</w:t>
            </w:r>
            <w:r>
              <w:rPr>
                <w:b/>
                <w:sz w:val="16"/>
                <w:szCs w:val="16"/>
              </w:rPr>
              <w:t xml:space="preserve"> úseky trate vedené v hlbokých zárezoch a súčasne</w:t>
            </w:r>
            <w:r w:rsidRPr="004E65BB">
              <w:rPr>
                <w:b/>
                <w:sz w:val="16"/>
                <w:szCs w:val="16"/>
              </w:rPr>
              <w:t xml:space="preserve"> časti trate vedené otvorenou krajinou, lepšie prevetrávanou, kde je výraznejšie aj pôsobenie vetrov.</w:t>
            </w:r>
            <w:r>
              <w:rPr>
                <w:sz w:val="16"/>
                <w:szCs w:val="16"/>
              </w:rPr>
              <w:t xml:space="preserve"> </w:t>
            </w:r>
            <w:r w:rsidRPr="004E65BB">
              <w:rPr>
                <w:b/>
                <w:sz w:val="16"/>
                <w:szCs w:val="16"/>
              </w:rPr>
              <w:t>Exponovanými sú tiež úseky vedené v blízkosti lesných porastov</w:t>
            </w:r>
            <w:r>
              <w:rPr>
                <w:sz w:val="16"/>
                <w:szCs w:val="16"/>
              </w:rPr>
              <w:t xml:space="preserve">, kde hrozí riziko zaťaženia stromov ťažkým snehom a ich </w:t>
            </w:r>
            <w:r w:rsidRPr="005E640B">
              <w:rPr>
                <w:sz w:val="16"/>
                <w:szCs w:val="16"/>
              </w:rPr>
              <w:t xml:space="preserve">pády na trať alebo </w:t>
            </w:r>
            <w:r>
              <w:rPr>
                <w:sz w:val="16"/>
                <w:szCs w:val="16"/>
              </w:rPr>
              <w:t xml:space="preserve">jej </w:t>
            </w:r>
            <w:r w:rsidRPr="005E640B">
              <w:rPr>
                <w:sz w:val="16"/>
                <w:szCs w:val="16"/>
              </w:rPr>
              <w:t xml:space="preserve">súčasti. </w:t>
            </w:r>
          </w:p>
          <w:p w14:paraId="432CDF8D" w14:textId="77777777" w:rsidR="00BE690A" w:rsidRPr="005E640B" w:rsidRDefault="00BE690A" w:rsidP="00931169">
            <w:pPr>
              <w:rPr>
                <w:sz w:val="16"/>
                <w:szCs w:val="16"/>
              </w:rPr>
            </w:pPr>
            <w:r w:rsidRPr="00517C7C">
              <w:rPr>
                <w:sz w:val="16"/>
                <w:szCs w:val="16"/>
              </w:rPr>
              <w:t>Očakávané častejšie topenie snehu v dôsledku náhlych oteplení vyvolá</w:t>
            </w:r>
            <w:r>
              <w:rPr>
                <w:sz w:val="16"/>
                <w:szCs w:val="16"/>
              </w:rPr>
              <w:t xml:space="preserve"> zvýšenie odtoku vody s následným zvýšením hladín vodných tokov. Pri súčasnom pôsobení intenzívnych zrážok sa tak zvyšuje riziko vyliatia tokov a vzniku záplav – </w:t>
            </w:r>
            <w:r w:rsidRPr="004E65BB">
              <w:rPr>
                <w:b/>
                <w:sz w:val="16"/>
                <w:szCs w:val="16"/>
              </w:rPr>
              <w:t>ohrozené sú najmä úseky trate križujúce otvorené vodné toky resp. prechádzajúce inundačným/záplavovým územím rieky Kysuca.</w:t>
            </w:r>
          </w:p>
          <w:p w14:paraId="2B890196" w14:textId="77777777" w:rsidR="00BE690A" w:rsidRPr="00C92614" w:rsidRDefault="00BE690A" w:rsidP="00931169">
            <w:pPr>
              <w:rPr>
                <w:color w:val="FF0000"/>
                <w:sz w:val="16"/>
                <w:szCs w:val="16"/>
              </w:rPr>
            </w:pPr>
            <w:r w:rsidRPr="005E640B">
              <w:rPr>
                <w:sz w:val="16"/>
                <w:szCs w:val="16"/>
              </w:rPr>
              <w:t>Nakoľko sa očakáva pokles výskytu aj výšky snehovej pokrývky vplyvom nárastu priemerných teplôt vzduchu, avšak nárast zrážkovo výdatnejších krátkych období, je predpoklad zachovania v súčasnosti miernej expozície trate pôsobeniu snehových javov.</w:t>
            </w:r>
          </w:p>
        </w:tc>
      </w:tr>
      <w:tr w:rsidR="00BE690A" w:rsidRPr="00C92614" w14:paraId="232CB902" w14:textId="77777777" w:rsidTr="00BE690A">
        <w:tc>
          <w:tcPr>
            <w:tcW w:w="2268" w:type="dxa"/>
            <w:vMerge/>
            <w:shd w:val="clear" w:color="auto" w:fill="FFFFFF"/>
          </w:tcPr>
          <w:p w14:paraId="46DE70C3" w14:textId="77777777" w:rsidR="00BE690A" w:rsidRPr="00C92614" w:rsidRDefault="00BE690A" w:rsidP="00931169">
            <w:pPr>
              <w:rPr>
                <w:sz w:val="16"/>
                <w:szCs w:val="16"/>
              </w:rPr>
            </w:pPr>
          </w:p>
        </w:tc>
        <w:tc>
          <w:tcPr>
            <w:tcW w:w="7088" w:type="dxa"/>
            <w:shd w:val="clear" w:color="auto" w:fill="FFFF97"/>
          </w:tcPr>
          <w:p w14:paraId="5E98B38B" w14:textId="77777777" w:rsidR="00BE690A" w:rsidRPr="005172E3" w:rsidRDefault="00BE690A" w:rsidP="00931169">
            <w:pPr>
              <w:rPr>
                <w:sz w:val="16"/>
                <w:szCs w:val="16"/>
              </w:rPr>
            </w:pPr>
            <w:r w:rsidRPr="005172E3">
              <w:rPr>
                <w:sz w:val="16"/>
                <w:szCs w:val="16"/>
              </w:rPr>
              <w:t>Miera pravdepodobnosti ovplyvnenia žel. infraštruktúry: 2</w:t>
            </w:r>
          </w:p>
        </w:tc>
      </w:tr>
      <w:tr w:rsidR="00BE690A" w:rsidRPr="00C92614" w14:paraId="13355038" w14:textId="77777777" w:rsidTr="00BE690A">
        <w:tc>
          <w:tcPr>
            <w:tcW w:w="2268" w:type="dxa"/>
            <w:vMerge/>
            <w:shd w:val="clear" w:color="auto" w:fill="FFFFFF"/>
          </w:tcPr>
          <w:p w14:paraId="05C24F95" w14:textId="77777777" w:rsidR="00BE690A" w:rsidRPr="00C92614" w:rsidRDefault="00BE690A" w:rsidP="00931169">
            <w:pPr>
              <w:rPr>
                <w:sz w:val="16"/>
                <w:szCs w:val="16"/>
              </w:rPr>
            </w:pPr>
          </w:p>
        </w:tc>
        <w:tc>
          <w:tcPr>
            <w:tcW w:w="7088" w:type="dxa"/>
            <w:shd w:val="clear" w:color="auto" w:fill="D6E3BC"/>
          </w:tcPr>
          <w:p w14:paraId="0A73B00B" w14:textId="77777777" w:rsidR="00BE690A" w:rsidRPr="005172E3" w:rsidRDefault="00BE690A" w:rsidP="00931169">
            <w:pPr>
              <w:rPr>
                <w:sz w:val="16"/>
                <w:szCs w:val="16"/>
              </w:rPr>
            </w:pPr>
            <w:r w:rsidRPr="005172E3">
              <w:rPr>
                <w:sz w:val="16"/>
                <w:szCs w:val="16"/>
              </w:rPr>
              <w:t>Miera pravdepodobnosti ovplyvnenia žel. prevádzky: 1</w:t>
            </w:r>
          </w:p>
        </w:tc>
      </w:tr>
      <w:tr w:rsidR="00BE690A" w:rsidRPr="00C92614" w14:paraId="3B2D654A" w14:textId="77777777" w:rsidTr="00BE690A">
        <w:trPr>
          <w:trHeight w:val="85"/>
        </w:trPr>
        <w:tc>
          <w:tcPr>
            <w:tcW w:w="2268" w:type="dxa"/>
            <w:shd w:val="clear" w:color="auto" w:fill="FFFFFF"/>
            <w:vAlign w:val="center"/>
          </w:tcPr>
          <w:p w14:paraId="7F532CFC"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34F1CC0A" w14:textId="77777777" w:rsidR="00BE690A" w:rsidRPr="00C92614" w:rsidRDefault="00BE690A" w:rsidP="00931169">
            <w:pPr>
              <w:rPr>
                <w:b/>
                <w:sz w:val="16"/>
                <w:szCs w:val="16"/>
              </w:rPr>
            </w:pPr>
            <w:r w:rsidRPr="00C92614">
              <w:rPr>
                <w:b/>
                <w:sz w:val="16"/>
                <w:szCs w:val="16"/>
              </w:rPr>
              <w:t xml:space="preserve">Námrazové javy </w:t>
            </w:r>
          </w:p>
        </w:tc>
      </w:tr>
      <w:tr w:rsidR="00BE690A" w:rsidRPr="00C92614" w14:paraId="7D10AFB2" w14:textId="77777777" w:rsidTr="00BE690A">
        <w:tc>
          <w:tcPr>
            <w:tcW w:w="2268" w:type="dxa"/>
            <w:shd w:val="clear" w:color="auto" w:fill="FFFFFF"/>
          </w:tcPr>
          <w:p w14:paraId="57939090" w14:textId="77777777" w:rsidR="00BE690A" w:rsidRPr="00C92614" w:rsidRDefault="00BE690A" w:rsidP="00931169">
            <w:pPr>
              <w:rPr>
                <w:sz w:val="16"/>
                <w:szCs w:val="16"/>
              </w:rPr>
            </w:pPr>
            <w:r w:rsidRPr="00C92614">
              <w:rPr>
                <w:sz w:val="16"/>
                <w:szCs w:val="16"/>
              </w:rPr>
              <w:lastRenderedPageBreak/>
              <w:t>Základné charakteristiky javu</w:t>
            </w:r>
          </w:p>
        </w:tc>
        <w:tc>
          <w:tcPr>
            <w:tcW w:w="7088" w:type="dxa"/>
            <w:shd w:val="clear" w:color="auto" w:fill="auto"/>
          </w:tcPr>
          <w:p w14:paraId="531DC57E" w14:textId="77777777" w:rsidR="00BE690A" w:rsidRPr="00AC7CD4" w:rsidRDefault="00BE690A" w:rsidP="00931169">
            <w:pPr>
              <w:rPr>
                <w:sz w:val="16"/>
                <w:szCs w:val="16"/>
              </w:rPr>
            </w:pPr>
            <w:r w:rsidRPr="00AC7CD4">
              <w:rPr>
                <w:sz w:val="16"/>
                <w:szCs w:val="16"/>
              </w:rPr>
              <w:t>Ročný priemer teploty vzduchu v záujmovom území dosahuje 6,8°C až 7,3 °C (1961 – 2010).</w:t>
            </w:r>
            <w:r>
              <w:rPr>
                <w:sz w:val="16"/>
                <w:szCs w:val="16"/>
              </w:rPr>
              <w:t xml:space="preserve"> </w:t>
            </w:r>
            <w:r w:rsidRPr="00AC7CD4">
              <w:rPr>
                <w:sz w:val="16"/>
                <w:szCs w:val="16"/>
              </w:rPr>
              <w:t xml:space="preserve">Najchladnejším mesiacom je január, teplota v zimných mesiacoch sa v území pohybuje okolo </w:t>
            </w:r>
            <w:r>
              <w:rPr>
                <w:sz w:val="16"/>
                <w:szCs w:val="16"/>
              </w:rPr>
              <w:t>-</w:t>
            </w:r>
            <w:r w:rsidRPr="00AC7CD4">
              <w:rPr>
                <w:sz w:val="16"/>
                <w:szCs w:val="16"/>
              </w:rPr>
              <w:t>3,2°C.</w:t>
            </w:r>
          </w:p>
          <w:p w14:paraId="382E632B" w14:textId="77777777" w:rsidR="00BE690A" w:rsidRDefault="00BE690A" w:rsidP="00931169">
            <w:pPr>
              <w:rPr>
                <w:sz w:val="16"/>
                <w:szCs w:val="16"/>
              </w:rPr>
            </w:pPr>
            <w:r w:rsidRPr="00AC7CD4">
              <w:rPr>
                <w:sz w:val="16"/>
                <w:szCs w:val="16"/>
              </w:rPr>
              <w:t xml:space="preserve">Za obdobie rokov 1961 – 2010 sa v území vyskytovalo ročne priemerne 124 - 130 mrazových dní (s denným minimom nižším ako 0°C) a 33 - 43 ľadových dní (s denným maximom 0°C a menej). </w:t>
            </w:r>
          </w:p>
          <w:p w14:paraId="669F2DC7" w14:textId="77777777" w:rsidR="00BE690A" w:rsidRDefault="00BE690A" w:rsidP="00931169">
            <w:pPr>
              <w:rPr>
                <w:sz w:val="16"/>
                <w:szCs w:val="16"/>
              </w:rPr>
            </w:pPr>
            <w:r>
              <w:rPr>
                <w:sz w:val="16"/>
                <w:szCs w:val="16"/>
              </w:rPr>
              <w:t>Priemerný ročný počet dní so zrážkami nad 1mm sa pohybuje v rozsahu 114 – 130 dní, v zimných mesiacoch v rozsahu priemerne 56 - 62 dní. Tento údaj je dôležitý najmä pre obdobia s výskytom teplôt 0°C.</w:t>
            </w:r>
          </w:p>
          <w:p w14:paraId="03AC1E3D" w14:textId="77777777" w:rsidR="00BE690A" w:rsidRPr="00C92614" w:rsidRDefault="00BE690A" w:rsidP="00931169">
            <w:pPr>
              <w:rPr>
                <w:color w:val="FF0000"/>
                <w:sz w:val="16"/>
                <w:szCs w:val="16"/>
              </w:rPr>
            </w:pPr>
            <w:r w:rsidRPr="00AC7CD4">
              <w:rPr>
                <w:sz w:val="16"/>
                <w:szCs w:val="16"/>
              </w:rPr>
              <w:t>Obdobie s nočnými prízemnými mrazmi sa v riešenej oblasti začína v prvej polovici októbra. Posledné mrazivé dni sa môžu vyskytovať ešte koncom apríla a začiatkom mája. Územie patrí k lokalitám s vyšším výskytom prízemných mrazov.</w:t>
            </w:r>
          </w:p>
        </w:tc>
      </w:tr>
      <w:tr w:rsidR="00BE690A" w:rsidRPr="00C92614" w14:paraId="1EA25C0D" w14:textId="77777777" w:rsidTr="00BE690A">
        <w:tc>
          <w:tcPr>
            <w:tcW w:w="2268" w:type="dxa"/>
            <w:shd w:val="clear" w:color="auto" w:fill="FFFFFF"/>
          </w:tcPr>
          <w:p w14:paraId="04313FF2"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tcPr>
          <w:p w14:paraId="706ED930" w14:textId="77777777" w:rsidR="00BE690A" w:rsidRDefault="00BE690A" w:rsidP="00931169">
            <w:pPr>
              <w:rPr>
                <w:sz w:val="16"/>
                <w:szCs w:val="16"/>
              </w:rPr>
            </w:pPr>
            <w:r w:rsidRPr="00286F57">
              <w:rPr>
                <w:sz w:val="16"/>
                <w:szCs w:val="16"/>
              </w:rPr>
              <w:t xml:space="preserve">V riešenom území situovanom na severozápadnom okraji Slovenska sú typické tuhé zimy s častým a trvajúcim poklesom teploty pod 0°C a súčasne s priemerne 60 dňami so zrážkami nad 1 mm. Ide o oblasť s častým </w:t>
            </w:r>
            <w:r>
              <w:rPr>
                <w:sz w:val="16"/>
                <w:szCs w:val="16"/>
              </w:rPr>
              <w:t>výskytom prízemných mrazov a poľadovice,</w:t>
            </w:r>
            <w:r w:rsidRPr="00286F57">
              <w:rPr>
                <w:sz w:val="16"/>
                <w:szCs w:val="16"/>
              </w:rPr>
              <w:t xml:space="preserve"> pričom tvorba námrazových javov (námraza, ľadovka, poľadovica) sa viaže prevažne na skoré ranné hodiny. </w:t>
            </w:r>
          </w:p>
          <w:p w14:paraId="678F0211" w14:textId="77777777" w:rsidR="00BE690A" w:rsidRDefault="00BE690A" w:rsidP="00931169">
            <w:pPr>
              <w:rPr>
                <w:sz w:val="16"/>
                <w:szCs w:val="16"/>
              </w:rPr>
            </w:pPr>
            <w:r>
              <w:rPr>
                <w:sz w:val="16"/>
                <w:szCs w:val="16"/>
              </w:rPr>
              <w:t>Počas každej zimy je v okrese vydaných niekoľko výstrah SHMÚ pre tvorbou poľadovice. Mimoriadne situácie v spojení s námrazovými javmi nastali napr. 8.1.2009, 26.2.2016, 27.12.2017, 7-15.12.2018, 1.1.2019, 14.1.2019, alebo 28.1.2019.</w:t>
            </w:r>
          </w:p>
          <w:p w14:paraId="744F3B49" w14:textId="77777777" w:rsidR="00BE690A" w:rsidRPr="00C92614" w:rsidRDefault="00BE690A" w:rsidP="00931169">
            <w:pPr>
              <w:rPr>
                <w:color w:val="FF0000"/>
                <w:sz w:val="16"/>
                <w:szCs w:val="16"/>
              </w:rPr>
            </w:pPr>
            <w:r>
              <w:rPr>
                <w:sz w:val="16"/>
                <w:szCs w:val="16"/>
              </w:rPr>
              <w:t>Podľa evidencie ŽSR boli na dotknutom úseku žel. trate zaznamenané viaceré udalosti vyžadujúce zvýšenú údržbu v dôsledku prítomnosti ľadu vo výhybkách. Občasnou udalosťou je tiež zamrznutie dverí na súpravách. ŽSR ako správca trate neeviduje v posledných rokoch žiadne defektoskopické chyby  resp. lomy koľajníc spôsobené námrazovými javmi.</w:t>
            </w:r>
          </w:p>
        </w:tc>
      </w:tr>
      <w:tr w:rsidR="00BE690A" w:rsidRPr="00FC598B" w14:paraId="168E1C10" w14:textId="77777777" w:rsidTr="00BE690A">
        <w:tc>
          <w:tcPr>
            <w:tcW w:w="2268" w:type="dxa"/>
            <w:shd w:val="clear" w:color="auto" w:fill="FFFFFF"/>
          </w:tcPr>
          <w:p w14:paraId="55B2345D" w14:textId="77777777" w:rsidR="00BE690A" w:rsidRPr="00FC598B" w:rsidRDefault="00BE690A" w:rsidP="00931169">
            <w:pPr>
              <w:rPr>
                <w:sz w:val="16"/>
                <w:szCs w:val="16"/>
              </w:rPr>
            </w:pPr>
            <w:r w:rsidRPr="00FC598B">
              <w:rPr>
                <w:sz w:val="16"/>
                <w:szCs w:val="16"/>
              </w:rPr>
              <w:t>Relevantné dopady javu</w:t>
            </w:r>
          </w:p>
        </w:tc>
        <w:tc>
          <w:tcPr>
            <w:tcW w:w="7088" w:type="dxa"/>
            <w:shd w:val="clear" w:color="auto" w:fill="auto"/>
          </w:tcPr>
          <w:p w14:paraId="308FC53A" w14:textId="77777777" w:rsidR="00BE690A" w:rsidRPr="00FC598B" w:rsidRDefault="00BE690A" w:rsidP="00931169">
            <w:pPr>
              <w:rPr>
                <w:sz w:val="16"/>
                <w:szCs w:val="16"/>
              </w:rPr>
            </w:pPr>
            <w:r w:rsidRPr="00FC598B">
              <w:rPr>
                <w:sz w:val="16"/>
                <w:szCs w:val="16"/>
              </w:rPr>
              <w:t>ľad vo výhybkách, vznik poľadovice a námrazy na trakčnom vedení, obmedzenia žel. prevádzky v dôsledku kolísania napätia na trolejovom vedení</w:t>
            </w:r>
          </w:p>
        </w:tc>
      </w:tr>
      <w:tr w:rsidR="00BE690A" w:rsidRPr="00C92614" w14:paraId="40656F8F" w14:textId="77777777" w:rsidTr="00BE690A">
        <w:tc>
          <w:tcPr>
            <w:tcW w:w="2268" w:type="dxa"/>
            <w:shd w:val="clear" w:color="auto" w:fill="FFFFFF"/>
          </w:tcPr>
          <w:p w14:paraId="64D74B0E"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32674F99" w14:textId="77777777" w:rsidR="00BE690A" w:rsidRPr="00C92614" w:rsidRDefault="00BE690A" w:rsidP="00931169">
            <w:pPr>
              <w:rPr>
                <w:sz w:val="16"/>
                <w:szCs w:val="16"/>
              </w:rPr>
            </w:pPr>
            <w:r w:rsidRPr="00C92614">
              <w:rPr>
                <w:sz w:val="16"/>
                <w:szCs w:val="16"/>
              </w:rPr>
              <w:t xml:space="preserve">Pri predpokladanom raste teplôt vzduchu o 2 – 4 °C v porovnaní s priemermi rokov 1951 – 1980 a miernom </w:t>
            </w:r>
            <w:r>
              <w:rPr>
                <w:sz w:val="16"/>
                <w:szCs w:val="16"/>
              </w:rPr>
              <w:t xml:space="preserve">raste úhrnov zrážok </w:t>
            </w:r>
            <w:r w:rsidRPr="00C92614">
              <w:rPr>
                <w:sz w:val="16"/>
                <w:szCs w:val="16"/>
              </w:rPr>
              <w:t>najmä v zimnom obdob</w:t>
            </w:r>
            <w:r>
              <w:rPr>
                <w:sz w:val="16"/>
                <w:szCs w:val="16"/>
              </w:rPr>
              <w:t xml:space="preserve">í </w:t>
            </w:r>
            <w:r w:rsidRPr="00C92614">
              <w:rPr>
                <w:sz w:val="16"/>
                <w:szCs w:val="16"/>
              </w:rPr>
              <w:t>sa predpokladá častejší výskyt oteplenia v zimných mesiacoch spojeného s odmäkom a </w:t>
            </w:r>
            <w:r>
              <w:rPr>
                <w:sz w:val="16"/>
                <w:szCs w:val="16"/>
              </w:rPr>
              <w:t>následne</w:t>
            </w:r>
            <w:r w:rsidRPr="00C92614">
              <w:rPr>
                <w:sz w:val="16"/>
                <w:szCs w:val="16"/>
              </w:rPr>
              <w:t xml:space="preserve"> častejší výskyt námrazových javov (ľadovky, poľadovice, námrazy). </w:t>
            </w:r>
          </w:p>
        </w:tc>
      </w:tr>
      <w:tr w:rsidR="00BE690A" w:rsidRPr="00C92614" w14:paraId="20B1B5B5" w14:textId="77777777" w:rsidTr="00BE690A">
        <w:trPr>
          <w:trHeight w:val="252"/>
        </w:trPr>
        <w:tc>
          <w:tcPr>
            <w:tcW w:w="2268" w:type="dxa"/>
            <w:vMerge w:val="restart"/>
            <w:shd w:val="clear" w:color="auto" w:fill="FFFFFF"/>
          </w:tcPr>
          <w:p w14:paraId="0E7585A9"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4D956D86" w14:textId="77777777" w:rsidR="00BE690A" w:rsidRPr="00AF0F21" w:rsidRDefault="00BE690A" w:rsidP="00931169">
            <w:pPr>
              <w:rPr>
                <w:sz w:val="16"/>
                <w:szCs w:val="16"/>
              </w:rPr>
            </w:pPr>
            <w:r w:rsidRPr="00AF0F21">
              <w:rPr>
                <w:sz w:val="16"/>
                <w:szCs w:val="16"/>
              </w:rPr>
              <w:t>Klimatický jav pôsobí na dotknutú žel</w:t>
            </w:r>
            <w:r>
              <w:rPr>
                <w:sz w:val="16"/>
                <w:szCs w:val="16"/>
              </w:rPr>
              <w:t>.</w:t>
            </w:r>
            <w:r w:rsidRPr="00AF0F21">
              <w:rPr>
                <w:sz w:val="16"/>
                <w:szCs w:val="16"/>
              </w:rPr>
              <w:t xml:space="preserve"> infraštruktúru vystavenú poveternostným podmienkam na celom hodnotenom území.</w:t>
            </w:r>
          </w:p>
          <w:p w14:paraId="7897924E" w14:textId="77777777" w:rsidR="00BE690A" w:rsidRPr="004E65BB" w:rsidRDefault="00BE690A" w:rsidP="00931169">
            <w:pPr>
              <w:rPr>
                <w:b/>
                <w:sz w:val="16"/>
                <w:szCs w:val="16"/>
              </w:rPr>
            </w:pPr>
            <w:r w:rsidRPr="004E65BB">
              <w:rPr>
                <w:b/>
                <w:sz w:val="16"/>
                <w:szCs w:val="16"/>
              </w:rPr>
              <w:t>Exponovanými úsekmi žel. trate z pohľadu vzniku námrazových javov sú úseky vedené nad úrovňou terénu na mostných objektoch, na vysokých násypoch a úseky vedené ponad otvorené korytá vodných tokov alebo v ich bezprostrednej blízkosti.</w:t>
            </w:r>
            <w:r w:rsidRPr="004E65BB">
              <w:rPr>
                <w:b/>
                <w:color w:val="FF0000"/>
                <w:sz w:val="16"/>
                <w:szCs w:val="16"/>
              </w:rPr>
              <w:t xml:space="preserve"> </w:t>
            </w:r>
          </w:p>
          <w:p w14:paraId="69D4B85D" w14:textId="77777777" w:rsidR="00BE690A" w:rsidRPr="00C92614" w:rsidRDefault="00BE690A" w:rsidP="00931169">
            <w:pPr>
              <w:rPr>
                <w:color w:val="FF0000"/>
                <w:sz w:val="16"/>
                <w:szCs w:val="16"/>
              </w:rPr>
            </w:pPr>
            <w:r w:rsidRPr="00AF0F21">
              <w:rPr>
                <w:sz w:val="16"/>
                <w:szCs w:val="16"/>
              </w:rPr>
              <w:t xml:space="preserve">Keďže sa očakáva častejší výskyt námrazových javov v riešenom území, zostáva miera expozície riešeného úseku žel. trate v porovnaní so súčasným stavom stále na strednej úrovni. </w:t>
            </w:r>
          </w:p>
        </w:tc>
      </w:tr>
      <w:tr w:rsidR="00BE690A" w:rsidRPr="00C92614" w14:paraId="6AAE5A10" w14:textId="77777777" w:rsidTr="00BE690A">
        <w:tc>
          <w:tcPr>
            <w:tcW w:w="2268" w:type="dxa"/>
            <w:vMerge/>
            <w:shd w:val="clear" w:color="auto" w:fill="FFFFFF"/>
          </w:tcPr>
          <w:p w14:paraId="5C94A623" w14:textId="77777777" w:rsidR="00BE690A" w:rsidRPr="00C92614" w:rsidRDefault="00BE690A" w:rsidP="00931169">
            <w:pPr>
              <w:rPr>
                <w:sz w:val="16"/>
                <w:szCs w:val="16"/>
              </w:rPr>
            </w:pPr>
          </w:p>
        </w:tc>
        <w:tc>
          <w:tcPr>
            <w:tcW w:w="7088" w:type="dxa"/>
            <w:shd w:val="clear" w:color="auto" w:fill="FFFF97"/>
          </w:tcPr>
          <w:p w14:paraId="4DB66E32" w14:textId="77777777" w:rsidR="00BE690A" w:rsidRPr="005172E3" w:rsidRDefault="00BE690A" w:rsidP="00931169">
            <w:pPr>
              <w:rPr>
                <w:sz w:val="16"/>
                <w:szCs w:val="16"/>
              </w:rPr>
            </w:pPr>
            <w:r w:rsidRPr="005172E3">
              <w:rPr>
                <w:sz w:val="16"/>
                <w:szCs w:val="16"/>
              </w:rPr>
              <w:t>Miera pravdepodobnosti ovplyvnenia žel. infraštruktúry: 2</w:t>
            </w:r>
          </w:p>
        </w:tc>
      </w:tr>
      <w:tr w:rsidR="00BE690A" w:rsidRPr="00C92614" w14:paraId="0256FA45" w14:textId="77777777" w:rsidTr="00BE690A">
        <w:tc>
          <w:tcPr>
            <w:tcW w:w="2268" w:type="dxa"/>
            <w:vMerge/>
            <w:shd w:val="clear" w:color="auto" w:fill="FFFFFF"/>
          </w:tcPr>
          <w:p w14:paraId="3DC21937" w14:textId="77777777" w:rsidR="00BE690A" w:rsidRPr="00C92614" w:rsidRDefault="00BE690A" w:rsidP="00931169">
            <w:pPr>
              <w:rPr>
                <w:sz w:val="16"/>
                <w:szCs w:val="16"/>
              </w:rPr>
            </w:pPr>
          </w:p>
        </w:tc>
        <w:tc>
          <w:tcPr>
            <w:tcW w:w="7088" w:type="dxa"/>
            <w:shd w:val="clear" w:color="auto" w:fill="D6E3BC"/>
          </w:tcPr>
          <w:p w14:paraId="5A4E210E" w14:textId="77777777" w:rsidR="00BE690A" w:rsidRPr="005172E3" w:rsidRDefault="00BE690A" w:rsidP="00931169">
            <w:pPr>
              <w:rPr>
                <w:sz w:val="16"/>
                <w:szCs w:val="16"/>
              </w:rPr>
            </w:pPr>
            <w:r w:rsidRPr="005172E3">
              <w:rPr>
                <w:sz w:val="16"/>
                <w:szCs w:val="16"/>
              </w:rPr>
              <w:t>Miera pravdepodobnosti ovplyvnenia žel. prevádzky: 1</w:t>
            </w:r>
          </w:p>
        </w:tc>
      </w:tr>
      <w:tr w:rsidR="00BE690A" w:rsidRPr="00C92614" w14:paraId="70CB6636" w14:textId="77777777" w:rsidTr="00BE690A">
        <w:tc>
          <w:tcPr>
            <w:tcW w:w="2268" w:type="dxa"/>
            <w:shd w:val="clear" w:color="auto" w:fill="FFFFFF"/>
            <w:vAlign w:val="center"/>
          </w:tcPr>
          <w:p w14:paraId="5DCBD6EC"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7000FBDE" w14:textId="77777777" w:rsidR="00BE690A" w:rsidRPr="00C92614" w:rsidRDefault="00BE690A" w:rsidP="00931169">
            <w:pPr>
              <w:rPr>
                <w:b/>
                <w:sz w:val="16"/>
                <w:szCs w:val="16"/>
              </w:rPr>
            </w:pPr>
            <w:r w:rsidRPr="00C92614">
              <w:rPr>
                <w:b/>
                <w:sz w:val="16"/>
                <w:szCs w:val="16"/>
              </w:rPr>
              <w:t xml:space="preserve">Búrkové javy </w:t>
            </w:r>
          </w:p>
        </w:tc>
      </w:tr>
      <w:tr w:rsidR="00BE690A" w:rsidRPr="00C92614" w14:paraId="2584369D" w14:textId="77777777" w:rsidTr="00BE690A">
        <w:tc>
          <w:tcPr>
            <w:tcW w:w="2268" w:type="dxa"/>
            <w:shd w:val="clear" w:color="auto" w:fill="FFFFFF"/>
          </w:tcPr>
          <w:p w14:paraId="461D1B7B"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65B40CE1" w14:textId="77777777" w:rsidR="00BE690A" w:rsidRPr="00AC7CD4" w:rsidRDefault="00BE690A" w:rsidP="00931169">
            <w:pPr>
              <w:rPr>
                <w:sz w:val="16"/>
                <w:szCs w:val="16"/>
              </w:rPr>
            </w:pPr>
            <w:r w:rsidRPr="00AC7CD4">
              <w:rPr>
                <w:sz w:val="16"/>
                <w:szCs w:val="16"/>
              </w:rPr>
              <w:t xml:space="preserve">Búrka je súborom elektrických, optických a akustických javov vznikajúcich medzi oblakmi navzájom alebo medzi oblakmi a zemou. Býva sprevádzaná silnými dažďami a silnými vetrami. </w:t>
            </w:r>
          </w:p>
          <w:p w14:paraId="475F13B7" w14:textId="77777777" w:rsidR="00BE690A" w:rsidRPr="00C92614" w:rsidRDefault="00BE690A" w:rsidP="00931169">
            <w:pPr>
              <w:rPr>
                <w:color w:val="FF0000"/>
                <w:sz w:val="16"/>
                <w:szCs w:val="16"/>
              </w:rPr>
            </w:pPr>
            <w:r w:rsidRPr="00AC7CD4">
              <w:rPr>
                <w:sz w:val="16"/>
                <w:szCs w:val="16"/>
              </w:rPr>
              <w:t>Priemerné ročné úhrny zrážok v dotknutom území sa v období rokov 1981 – 2010 pohybovali v rozmedzí 927 - 980 mm s nárastom vyše 1300 mm smerom k vysokým pohoriam. Maximum zrážok spadne v letnom polroku, majú často búrkový charakter.</w:t>
            </w:r>
          </w:p>
        </w:tc>
      </w:tr>
      <w:tr w:rsidR="00BE690A" w:rsidRPr="00C92614" w14:paraId="3A6DD43B" w14:textId="77777777" w:rsidTr="00BE690A">
        <w:tc>
          <w:tcPr>
            <w:tcW w:w="2268" w:type="dxa"/>
            <w:shd w:val="clear" w:color="auto" w:fill="FFFFFF"/>
          </w:tcPr>
          <w:p w14:paraId="5C2FE46C" w14:textId="77777777" w:rsidR="00BE690A" w:rsidRPr="00C92614" w:rsidRDefault="00BE690A" w:rsidP="00931169">
            <w:pPr>
              <w:rPr>
                <w:color w:val="FF0000"/>
                <w:sz w:val="16"/>
                <w:szCs w:val="16"/>
              </w:rPr>
            </w:pPr>
            <w:r w:rsidRPr="00C92614">
              <w:rPr>
                <w:sz w:val="16"/>
                <w:szCs w:val="16"/>
              </w:rPr>
              <w:t>Doterajšie frekvencie a intenzity javu</w:t>
            </w:r>
          </w:p>
        </w:tc>
        <w:tc>
          <w:tcPr>
            <w:tcW w:w="7088" w:type="dxa"/>
            <w:shd w:val="clear" w:color="auto" w:fill="auto"/>
          </w:tcPr>
          <w:p w14:paraId="345AF6B3" w14:textId="77777777" w:rsidR="00BE690A" w:rsidRDefault="00BE690A" w:rsidP="00931169">
            <w:pPr>
              <w:rPr>
                <w:sz w:val="16"/>
                <w:szCs w:val="16"/>
              </w:rPr>
            </w:pPr>
            <w:r w:rsidRPr="008A4109">
              <w:rPr>
                <w:sz w:val="16"/>
                <w:szCs w:val="16"/>
              </w:rPr>
              <w:t xml:space="preserve">V riešenom území nie sú búrky ojedinelým úkazom, </w:t>
            </w:r>
            <w:r>
              <w:rPr>
                <w:sz w:val="16"/>
                <w:szCs w:val="16"/>
              </w:rPr>
              <w:t xml:space="preserve">v posledných 10 rokoch bola oblasť vystavená pomerne veľkej búrkovej aktivite. Búrky sa vyskytujú </w:t>
            </w:r>
            <w:r w:rsidRPr="008A4109">
              <w:rPr>
                <w:sz w:val="16"/>
                <w:szCs w:val="16"/>
              </w:rPr>
              <w:t>predovšetkým v letných mesiacoch a sú obvykle prevádzané silnými dažďami a silným vetrom, ojedinele aj krupobitím.</w:t>
            </w:r>
            <w:r>
              <w:rPr>
                <w:sz w:val="16"/>
                <w:szCs w:val="16"/>
              </w:rPr>
              <w:t xml:space="preserve"> Sporadicky sú dôvodom pre vznik povodňových situácií na miestnych vodných tokoch.</w:t>
            </w:r>
            <w:r w:rsidRPr="008A4109">
              <w:rPr>
                <w:sz w:val="16"/>
                <w:szCs w:val="16"/>
              </w:rPr>
              <w:t xml:space="preserve"> </w:t>
            </w:r>
          </w:p>
          <w:p w14:paraId="20B70759" w14:textId="77777777" w:rsidR="00BE690A" w:rsidRPr="008A4109" w:rsidRDefault="00BE690A" w:rsidP="00931169">
            <w:pPr>
              <w:rPr>
                <w:sz w:val="16"/>
                <w:szCs w:val="16"/>
              </w:rPr>
            </w:pPr>
            <w:r w:rsidRPr="008A4109">
              <w:rPr>
                <w:sz w:val="16"/>
                <w:szCs w:val="16"/>
              </w:rPr>
              <w:t xml:space="preserve">Významnými v ostatných rokoch boli </w:t>
            </w:r>
            <w:r>
              <w:rPr>
                <w:sz w:val="16"/>
                <w:szCs w:val="16"/>
              </w:rPr>
              <w:t xml:space="preserve">búrkové javy z 19.7.2011 (spojená s krupobitím, silnými dažďami, ktoré vyvolali záplavy, a veternou smršťou, ktorá poškodila elektrické a telefonické vedenia a vyvrátila viacero stromov), 2-3.6.2019 (vyvracanie stromov a záplavy), 5-9.8.2018 (s </w:t>
            </w:r>
            <w:r w:rsidRPr="008A4109">
              <w:rPr>
                <w:sz w:val="16"/>
                <w:szCs w:val="16"/>
              </w:rPr>
              <w:t>následkom vzniku záplav) a 29.6.2019 (dôsledkom bolo vyliatie vody z potokov).</w:t>
            </w:r>
          </w:p>
          <w:p w14:paraId="28A19E66" w14:textId="77777777" w:rsidR="00BE690A" w:rsidRDefault="00BE690A" w:rsidP="00931169">
            <w:pPr>
              <w:rPr>
                <w:sz w:val="16"/>
                <w:szCs w:val="16"/>
              </w:rPr>
            </w:pPr>
            <w:r w:rsidRPr="008A4109">
              <w:rPr>
                <w:sz w:val="16"/>
                <w:szCs w:val="16"/>
              </w:rPr>
              <w:t xml:space="preserve">Podľa evidencie mimoriadnych udalostí vyvolaných klimatickými javmi ŽSR </w:t>
            </w:r>
            <w:r>
              <w:rPr>
                <w:sz w:val="16"/>
                <w:szCs w:val="16"/>
              </w:rPr>
              <w:t>mala búrková aktivita prostredníctvom vysokonapäťových výbojov vplyv predovšetkým na prevádzku zabezpečovacej a oznamovacej techniky:</w:t>
            </w:r>
          </w:p>
          <w:p w14:paraId="5B468A51" w14:textId="77777777" w:rsidR="00BE690A" w:rsidRDefault="00BE690A" w:rsidP="00931169">
            <w:pPr>
              <w:pStyle w:val="Odsekzoznamu"/>
              <w:numPr>
                <w:ilvl w:val="0"/>
                <w:numId w:val="43"/>
              </w:numPr>
              <w:suppressAutoHyphens/>
              <w:spacing w:after="0" w:line="240" w:lineRule="auto"/>
              <w:ind w:left="459" w:hanging="141"/>
              <w:contextualSpacing w:val="0"/>
              <w:jc w:val="both"/>
              <w:rPr>
                <w:rFonts w:cstheme="minorHAnsi"/>
                <w:sz w:val="16"/>
                <w:szCs w:val="16"/>
              </w:rPr>
            </w:pPr>
            <w:r w:rsidRPr="004A1007">
              <w:rPr>
                <w:rFonts w:cstheme="minorHAnsi"/>
                <w:sz w:val="16"/>
                <w:szCs w:val="16"/>
              </w:rPr>
              <w:t xml:space="preserve">05/2011 v ŽST Čadca sa pokazilo elektronické stavadlo a počítače náprav, </w:t>
            </w:r>
          </w:p>
          <w:p w14:paraId="3C352868" w14:textId="77777777" w:rsidR="00BE690A" w:rsidRPr="004A1007" w:rsidRDefault="00BE690A" w:rsidP="00931169">
            <w:pPr>
              <w:pStyle w:val="Odsekzoznamu"/>
              <w:numPr>
                <w:ilvl w:val="0"/>
                <w:numId w:val="43"/>
              </w:numPr>
              <w:suppressAutoHyphens/>
              <w:spacing w:after="0" w:line="240" w:lineRule="auto"/>
              <w:ind w:left="459" w:hanging="141"/>
              <w:contextualSpacing w:val="0"/>
              <w:jc w:val="both"/>
              <w:rPr>
                <w:rFonts w:cstheme="minorHAnsi"/>
                <w:sz w:val="16"/>
                <w:szCs w:val="16"/>
              </w:rPr>
            </w:pPr>
            <w:r w:rsidRPr="004A1007">
              <w:rPr>
                <w:rFonts w:cstheme="minorHAnsi"/>
                <w:sz w:val="16"/>
                <w:szCs w:val="16"/>
              </w:rPr>
              <w:t>05/2014 boli poškodené časti zabezpečovacieho zariadenia v ŽST Krásno nad Kysucou – elektronické koľajové obvody, el. stavadlo</w:t>
            </w:r>
            <w:r>
              <w:rPr>
                <w:rFonts w:cstheme="minorHAnsi"/>
                <w:sz w:val="16"/>
                <w:szCs w:val="16"/>
              </w:rPr>
              <w:t xml:space="preserve"> ESA 33</w:t>
            </w:r>
            <w:r w:rsidRPr="004A1007">
              <w:rPr>
                <w:rFonts w:cstheme="minorHAnsi"/>
                <w:sz w:val="16"/>
                <w:szCs w:val="16"/>
              </w:rPr>
              <w:t xml:space="preserve"> a priecestné zabezpečovacie zariadenia v žkm 269,490</w:t>
            </w:r>
          </w:p>
          <w:p w14:paraId="5E5BF598" w14:textId="77777777" w:rsidR="00BE690A" w:rsidRDefault="00BE690A" w:rsidP="00931169">
            <w:pPr>
              <w:pStyle w:val="Odsekzoznamu"/>
              <w:numPr>
                <w:ilvl w:val="0"/>
                <w:numId w:val="43"/>
              </w:numPr>
              <w:suppressAutoHyphens/>
              <w:spacing w:after="0" w:line="240" w:lineRule="auto"/>
              <w:ind w:left="459" w:hanging="141"/>
              <w:contextualSpacing w:val="0"/>
              <w:jc w:val="both"/>
              <w:rPr>
                <w:rFonts w:cstheme="minorHAnsi"/>
                <w:sz w:val="16"/>
                <w:szCs w:val="16"/>
              </w:rPr>
            </w:pPr>
            <w:r>
              <w:rPr>
                <w:rFonts w:cstheme="minorHAnsi"/>
                <w:sz w:val="16"/>
                <w:szCs w:val="16"/>
              </w:rPr>
              <w:t>08/2018 boli poškodené časti zabezpečovacieho zariadenia v ŽST Krásno nad Kysucou – elektronické koľajové obvody, el. stavadlo ESA 44 a menič č. 4 UNZ</w:t>
            </w:r>
          </w:p>
          <w:p w14:paraId="08E9C3EE" w14:textId="77777777" w:rsidR="00BE690A" w:rsidRPr="004A1007" w:rsidRDefault="00BE690A" w:rsidP="00931169">
            <w:pPr>
              <w:rPr>
                <w:rFonts w:cstheme="minorHAnsi"/>
                <w:sz w:val="16"/>
                <w:szCs w:val="16"/>
              </w:rPr>
            </w:pPr>
            <w:r w:rsidRPr="004A1007">
              <w:rPr>
                <w:rFonts w:cstheme="minorHAnsi"/>
                <w:sz w:val="16"/>
                <w:szCs w:val="16"/>
              </w:rPr>
              <w:t>Z dôvodu častých porúch počítačov osí typu SOL-ELS 91 pri búrkach boli tieto nahradené typom ELS 95.</w:t>
            </w:r>
          </w:p>
          <w:p w14:paraId="0B0E30AB" w14:textId="77777777" w:rsidR="00BE690A" w:rsidRPr="00C92614" w:rsidRDefault="00BE690A" w:rsidP="00931169">
            <w:pPr>
              <w:rPr>
                <w:color w:val="FF0000"/>
                <w:sz w:val="16"/>
                <w:szCs w:val="16"/>
              </w:rPr>
            </w:pPr>
            <w:r w:rsidRPr="004A1007">
              <w:rPr>
                <w:rFonts w:cstheme="minorHAnsi"/>
                <w:sz w:val="16"/>
                <w:szCs w:val="16"/>
              </w:rPr>
              <w:t xml:space="preserve">Z dôvodu pôsobenia silných vetrov počas búrkovej činnosti, boli v riešenom úseku trate viackrát zaznamenané aj pády stromov na trať alebo na trakčné vedenie a následné pretrhnutia TV a poškodenia ich súčastí. </w:t>
            </w:r>
            <w:r w:rsidRPr="004A1007">
              <w:rPr>
                <w:sz w:val="16"/>
                <w:szCs w:val="16"/>
              </w:rPr>
              <w:t xml:space="preserve">Niektoré zaznamenané poškodenia žel. infraštruktúry mali vplyv aj na prevádzku na dotknutých úsekoch žel. tratí, vyvolali menšie meškania spojov či neplánované výluky. </w:t>
            </w:r>
          </w:p>
        </w:tc>
      </w:tr>
      <w:tr w:rsidR="00BE690A" w:rsidRPr="00C92614" w14:paraId="7A6A2299" w14:textId="77777777" w:rsidTr="00BE690A">
        <w:tc>
          <w:tcPr>
            <w:tcW w:w="2268" w:type="dxa"/>
            <w:shd w:val="clear" w:color="auto" w:fill="FFFFFF"/>
          </w:tcPr>
          <w:p w14:paraId="2273B98C" w14:textId="77777777" w:rsidR="00BE690A" w:rsidRPr="00C92614" w:rsidRDefault="00BE690A" w:rsidP="00931169">
            <w:pPr>
              <w:rPr>
                <w:sz w:val="16"/>
                <w:szCs w:val="16"/>
              </w:rPr>
            </w:pPr>
            <w:r w:rsidRPr="00C92614">
              <w:rPr>
                <w:sz w:val="16"/>
                <w:szCs w:val="16"/>
              </w:rPr>
              <w:t>Relevantné dopady javu</w:t>
            </w:r>
          </w:p>
        </w:tc>
        <w:tc>
          <w:tcPr>
            <w:tcW w:w="7088" w:type="dxa"/>
            <w:shd w:val="clear" w:color="auto" w:fill="auto"/>
          </w:tcPr>
          <w:p w14:paraId="4CA1E8BB" w14:textId="77777777" w:rsidR="00BE690A" w:rsidRPr="00C92614" w:rsidRDefault="00BE690A" w:rsidP="00931169">
            <w:pPr>
              <w:rPr>
                <w:color w:val="FF0000"/>
                <w:sz w:val="16"/>
                <w:szCs w:val="16"/>
              </w:rPr>
            </w:pPr>
            <w:r>
              <w:rPr>
                <w:sz w:val="16"/>
                <w:szCs w:val="16"/>
              </w:rPr>
              <w:t>vysokonapäťové výboje (</w:t>
            </w:r>
            <w:r w:rsidRPr="004A1007">
              <w:rPr>
                <w:sz w:val="16"/>
                <w:szCs w:val="16"/>
              </w:rPr>
              <w:t xml:space="preserve">poškodenia oznamovacej a zabezpečovacej techniky), nárazové pôsobenie silného vetra (vyvracanie stromov a lámanie vetví a ich pády na trať a trakčné vedenie), náhle prívalové dažde (zaťaženie kanalizačných systémov a zaplavenie štrkového lôžka) a výpadky el. energie (obmedzenie </w:t>
            </w:r>
            <w:r>
              <w:rPr>
                <w:sz w:val="16"/>
                <w:szCs w:val="16"/>
              </w:rPr>
              <w:t>funkčnosti technologick</w:t>
            </w:r>
            <w:r w:rsidRPr="004A1007">
              <w:rPr>
                <w:sz w:val="16"/>
                <w:szCs w:val="16"/>
              </w:rPr>
              <w:t xml:space="preserve">ých zariadení) </w:t>
            </w:r>
          </w:p>
        </w:tc>
      </w:tr>
      <w:tr w:rsidR="00BE690A" w:rsidRPr="00C92614" w14:paraId="55F5F459" w14:textId="77777777" w:rsidTr="00BE690A">
        <w:tc>
          <w:tcPr>
            <w:tcW w:w="2268" w:type="dxa"/>
            <w:shd w:val="clear" w:color="auto" w:fill="FFFFFF"/>
          </w:tcPr>
          <w:p w14:paraId="54BE5186" w14:textId="77777777" w:rsidR="00BE690A" w:rsidRPr="00C92614" w:rsidRDefault="00BE690A" w:rsidP="00931169">
            <w:pPr>
              <w:rPr>
                <w:sz w:val="16"/>
                <w:szCs w:val="16"/>
              </w:rPr>
            </w:pPr>
            <w:r w:rsidRPr="00C92614">
              <w:rPr>
                <w:sz w:val="16"/>
                <w:szCs w:val="16"/>
              </w:rPr>
              <w:lastRenderedPageBreak/>
              <w:t>Očakávaný vývoj frekvencie a intenzity javu</w:t>
            </w:r>
          </w:p>
        </w:tc>
        <w:tc>
          <w:tcPr>
            <w:tcW w:w="7088" w:type="dxa"/>
            <w:shd w:val="clear" w:color="auto" w:fill="auto"/>
          </w:tcPr>
          <w:p w14:paraId="244A6AF5" w14:textId="77777777" w:rsidR="00BE690A" w:rsidRPr="00C92614" w:rsidRDefault="00BE690A" w:rsidP="00931169">
            <w:pPr>
              <w:rPr>
                <w:sz w:val="16"/>
                <w:szCs w:val="16"/>
              </w:rPr>
            </w:pPr>
            <w:r w:rsidRPr="00C92614">
              <w:rPr>
                <w:sz w:val="16"/>
                <w:szCs w:val="16"/>
              </w:rPr>
              <w:t>V budúcnosti sa očakáva častejší výskyt búrkových javov najmä v teplej časti roka a ich zosilnenie spojené s častejším výskytom silného vetra a</w:t>
            </w:r>
            <w:r>
              <w:rPr>
                <w:sz w:val="16"/>
                <w:szCs w:val="16"/>
              </w:rPr>
              <w:t>ž</w:t>
            </w:r>
            <w:r w:rsidRPr="00C92614">
              <w:rPr>
                <w:sz w:val="16"/>
                <w:szCs w:val="16"/>
              </w:rPr>
              <w:t xml:space="preserve"> víchric a nárastov </w:t>
            </w:r>
            <w:r>
              <w:rPr>
                <w:sz w:val="16"/>
                <w:szCs w:val="16"/>
              </w:rPr>
              <w:t xml:space="preserve">intenzívnych až </w:t>
            </w:r>
            <w:r w:rsidRPr="00C92614">
              <w:rPr>
                <w:sz w:val="16"/>
                <w:szCs w:val="16"/>
              </w:rPr>
              <w:t xml:space="preserve">prívalových dažďov </w:t>
            </w:r>
            <w:r>
              <w:rPr>
                <w:sz w:val="16"/>
                <w:szCs w:val="16"/>
              </w:rPr>
              <w:t xml:space="preserve">často </w:t>
            </w:r>
            <w:r w:rsidRPr="00C92614">
              <w:rPr>
                <w:sz w:val="16"/>
                <w:szCs w:val="16"/>
              </w:rPr>
              <w:t xml:space="preserve">spojených s bleskami a krupobitím. </w:t>
            </w:r>
          </w:p>
        </w:tc>
      </w:tr>
      <w:tr w:rsidR="00BE690A" w:rsidRPr="00C92614" w14:paraId="344087EC" w14:textId="77777777" w:rsidTr="00BE690A">
        <w:trPr>
          <w:trHeight w:val="252"/>
        </w:trPr>
        <w:tc>
          <w:tcPr>
            <w:tcW w:w="2268" w:type="dxa"/>
            <w:vMerge w:val="restart"/>
            <w:shd w:val="clear" w:color="auto" w:fill="FFFFFF"/>
          </w:tcPr>
          <w:p w14:paraId="57ABCEC6"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752876F7" w14:textId="77777777" w:rsidR="00BE690A" w:rsidRPr="00AF0F21" w:rsidRDefault="00BE690A" w:rsidP="00931169">
            <w:pPr>
              <w:rPr>
                <w:sz w:val="16"/>
                <w:szCs w:val="16"/>
              </w:rPr>
            </w:pPr>
            <w:r w:rsidRPr="00AF0F21">
              <w:rPr>
                <w:sz w:val="16"/>
                <w:szCs w:val="16"/>
              </w:rPr>
              <w:t xml:space="preserve">Klimatický jav pôsobí na dotknutú žel. infraštruktúru vystavenú poveternostným podmienkam, rovnako tak na prevádzku žel. dopravy na daných tratiach. </w:t>
            </w:r>
          </w:p>
          <w:p w14:paraId="2C68D74B" w14:textId="77777777" w:rsidR="00BE690A" w:rsidRPr="00AF0F21" w:rsidRDefault="00BE690A" w:rsidP="00931169">
            <w:pPr>
              <w:rPr>
                <w:sz w:val="16"/>
                <w:szCs w:val="16"/>
              </w:rPr>
            </w:pPr>
            <w:r w:rsidRPr="00AF0F21">
              <w:rPr>
                <w:sz w:val="16"/>
                <w:szCs w:val="16"/>
              </w:rPr>
              <w:t>Búrkové javy sú sprevádzané intenzívnymi dažďami, silnými vetrami, elektrickými výbojmi príp. krupobitím. Všetky uvedené javy nepriaznivo vplývajú na žel. infraštruktúru vystavenú ich pôsobeniu</w:t>
            </w:r>
            <w:r>
              <w:rPr>
                <w:sz w:val="16"/>
                <w:szCs w:val="16"/>
              </w:rPr>
              <w:t xml:space="preserve"> </w:t>
            </w:r>
            <w:r w:rsidRPr="00AF0F21">
              <w:rPr>
                <w:sz w:val="16"/>
                <w:szCs w:val="16"/>
              </w:rPr>
              <w:t xml:space="preserve">s častými vplyvmi na žel. dopravu. </w:t>
            </w:r>
          </w:p>
          <w:p w14:paraId="4D1831EF" w14:textId="77777777" w:rsidR="00BE690A" w:rsidRPr="00C92614" w:rsidRDefault="00BE690A" w:rsidP="00931169">
            <w:pPr>
              <w:rPr>
                <w:color w:val="FF0000"/>
                <w:sz w:val="16"/>
                <w:szCs w:val="16"/>
              </w:rPr>
            </w:pPr>
            <w:r w:rsidRPr="00AF0F21">
              <w:rPr>
                <w:sz w:val="16"/>
                <w:szCs w:val="16"/>
              </w:rPr>
              <w:t>Vzhľadom na doterajší vývoj klimatických charakteristík, časté nepriaznivé udalosti na dotknutom úseku žel. trate a očakávaný častejší výskyt búrkových javov v nasledujúcich rokoch, významnejšia sa stáva aj predpokladaná miera expozície žel. infraštruktúry a žel. prevádzky.</w:t>
            </w:r>
          </w:p>
        </w:tc>
      </w:tr>
      <w:tr w:rsidR="00BE690A" w:rsidRPr="00C92614" w14:paraId="1DBA5DEC" w14:textId="77777777" w:rsidTr="00BE690A">
        <w:tc>
          <w:tcPr>
            <w:tcW w:w="2268" w:type="dxa"/>
            <w:vMerge/>
            <w:shd w:val="clear" w:color="auto" w:fill="FFFFFF"/>
          </w:tcPr>
          <w:p w14:paraId="2AAB4A5E" w14:textId="77777777" w:rsidR="00BE690A" w:rsidRPr="00C92614" w:rsidRDefault="00BE690A" w:rsidP="00931169">
            <w:pPr>
              <w:rPr>
                <w:sz w:val="16"/>
                <w:szCs w:val="16"/>
              </w:rPr>
            </w:pPr>
          </w:p>
        </w:tc>
        <w:tc>
          <w:tcPr>
            <w:tcW w:w="7088" w:type="dxa"/>
            <w:shd w:val="clear" w:color="auto" w:fill="FFFF97"/>
          </w:tcPr>
          <w:p w14:paraId="0850C5A1" w14:textId="77777777" w:rsidR="00BE690A" w:rsidRPr="005172E3" w:rsidRDefault="00BE690A" w:rsidP="00931169">
            <w:pPr>
              <w:rPr>
                <w:sz w:val="16"/>
                <w:szCs w:val="16"/>
              </w:rPr>
            </w:pPr>
            <w:r w:rsidRPr="005172E3">
              <w:rPr>
                <w:sz w:val="16"/>
                <w:szCs w:val="16"/>
              </w:rPr>
              <w:t>Miera pravdepodobnosti ovplyvnenia žel. infraštruktúry: 2</w:t>
            </w:r>
          </w:p>
        </w:tc>
      </w:tr>
      <w:tr w:rsidR="00BE690A" w:rsidRPr="00C92614" w14:paraId="1F41B95E" w14:textId="77777777" w:rsidTr="00BE690A">
        <w:tc>
          <w:tcPr>
            <w:tcW w:w="2268" w:type="dxa"/>
            <w:vMerge/>
            <w:shd w:val="clear" w:color="auto" w:fill="FFFFFF"/>
          </w:tcPr>
          <w:p w14:paraId="11B1F590" w14:textId="77777777" w:rsidR="00BE690A" w:rsidRPr="00C92614" w:rsidRDefault="00BE690A" w:rsidP="00931169">
            <w:pPr>
              <w:rPr>
                <w:sz w:val="16"/>
                <w:szCs w:val="16"/>
              </w:rPr>
            </w:pPr>
          </w:p>
        </w:tc>
        <w:tc>
          <w:tcPr>
            <w:tcW w:w="7088" w:type="dxa"/>
            <w:shd w:val="clear" w:color="auto" w:fill="FFFF97"/>
          </w:tcPr>
          <w:p w14:paraId="73264C15" w14:textId="77777777" w:rsidR="00BE690A" w:rsidRPr="005172E3" w:rsidRDefault="00BE690A" w:rsidP="00931169">
            <w:pPr>
              <w:rPr>
                <w:sz w:val="16"/>
                <w:szCs w:val="16"/>
              </w:rPr>
            </w:pPr>
            <w:r w:rsidRPr="005172E3">
              <w:rPr>
                <w:sz w:val="16"/>
                <w:szCs w:val="16"/>
              </w:rPr>
              <w:t>Miera pravdepodobnosti ovplyvnenia žel. prevádzky: 2</w:t>
            </w:r>
          </w:p>
        </w:tc>
      </w:tr>
      <w:tr w:rsidR="00BE690A" w:rsidRPr="00C92614" w14:paraId="7850D9A0" w14:textId="77777777" w:rsidTr="00BE690A">
        <w:tc>
          <w:tcPr>
            <w:tcW w:w="2268" w:type="dxa"/>
            <w:shd w:val="clear" w:color="auto" w:fill="FFFFFF"/>
            <w:vAlign w:val="center"/>
          </w:tcPr>
          <w:p w14:paraId="377108D1"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066C0036" w14:textId="77777777" w:rsidR="00BE690A" w:rsidRPr="00C92614" w:rsidRDefault="00BE690A" w:rsidP="00931169">
            <w:pPr>
              <w:rPr>
                <w:b/>
                <w:sz w:val="16"/>
                <w:szCs w:val="16"/>
              </w:rPr>
            </w:pPr>
            <w:r w:rsidRPr="00C92614">
              <w:rPr>
                <w:b/>
                <w:sz w:val="16"/>
                <w:szCs w:val="16"/>
              </w:rPr>
              <w:t xml:space="preserve">Povodne </w:t>
            </w:r>
          </w:p>
        </w:tc>
      </w:tr>
      <w:tr w:rsidR="00BE690A" w:rsidRPr="00C92614" w14:paraId="76C67370" w14:textId="77777777" w:rsidTr="00BE690A">
        <w:tc>
          <w:tcPr>
            <w:tcW w:w="2268" w:type="dxa"/>
            <w:shd w:val="clear" w:color="auto" w:fill="FFFFFF"/>
          </w:tcPr>
          <w:p w14:paraId="50B9D04D"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0378F983" w14:textId="77777777" w:rsidR="00BE690A" w:rsidRPr="004A1007" w:rsidRDefault="00BE690A" w:rsidP="00931169">
            <w:pPr>
              <w:rPr>
                <w:sz w:val="16"/>
                <w:szCs w:val="16"/>
              </w:rPr>
            </w:pPr>
            <w:r w:rsidRPr="004A1007">
              <w:rPr>
                <w:sz w:val="16"/>
                <w:szCs w:val="16"/>
              </w:rPr>
              <w:t>Povodne (riečne záplavy) sú spôsobené stúpnutím vodnej hladiny nad úroveň brehov vodného toku a vyliatím vody z brehov. Vznikajú najmä dôsledkom pôsobenia silných dažďov</w:t>
            </w:r>
            <w:r>
              <w:rPr>
                <w:sz w:val="16"/>
                <w:szCs w:val="16"/>
              </w:rPr>
              <w:t xml:space="preserve"> (letné povodne) resp. súčasným topením snehu (jarné povodne)</w:t>
            </w:r>
            <w:r w:rsidRPr="004A1007">
              <w:rPr>
                <w:sz w:val="16"/>
                <w:szCs w:val="16"/>
              </w:rPr>
              <w:t xml:space="preserve">. Mieru nebezpečenstva pre územie charakterizuje stupeň povodňovej aktivity. V dôsledku intenzívnych prívalových dažďov môžu vzniknúť tzv. prívalové povodne, na ne sú náchylné najmä strmé svahy, údolia vodných tokov a výraznejšie konkávne tvary reliéfu. </w:t>
            </w:r>
          </w:p>
          <w:p w14:paraId="5308BA68" w14:textId="77777777" w:rsidR="00BE690A" w:rsidRDefault="00BE690A" w:rsidP="00931169">
            <w:pPr>
              <w:rPr>
                <w:sz w:val="16"/>
                <w:szCs w:val="16"/>
              </w:rPr>
            </w:pPr>
            <w:r w:rsidRPr="004A1007">
              <w:rPr>
                <w:sz w:val="16"/>
                <w:szCs w:val="16"/>
              </w:rPr>
              <w:t xml:space="preserve">Riešený úsek žel. trate je trasovaný v čiastkovom povodí rieky Váh, v povodí rieky Kysuce, ktorá odvodňuje celé územie okresu. </w:t>
            </w:r>
            <w:r>
              <w:rPr>
                <w:sz w:val="16"/>
                <w:szCs w:val="16"/>
              </w:rPr>
              <w:t>Významným je tiež tok Čierňanka, pričom takmer z každej bočnej doliny vytekajú do aluviálnej nivy týchto tokov rôzne bystriny s nepravidelne vyvinutým korytom a nepravidelným prietokom kolísajúcim podľa zrážok.</w:t>
            </w:r>
          </w:p>
          <w:p w14:paraId="10E3FAE1" w14:textId="77777777" w:rsidR="00BE690A" w:rsidRDefault="00BE690A" w:rsidP="00931169">
            <w:pPr>
              <w:rPr>
                <w:sz w:val="16"/>
                <w:szCs w:val="16"/>
                <w:highlight w:val="yellow"/>
              </w:rPr>
            </w:pPr>
            <w:r>
              <w:rPr>
                <w:sz w:val="16"/>
                <w:szCs w:val="16"/>
              </w:rPr>
              <w:t xml:space="preserve">Rieka Kysuca je hlavným tokom celého riešeného územia, súčasná žel. trať vo väčšine trasy prechádza popri jej toku z jeho južnej strany. </w:t>
            </w:r>
          </w:p>
          <w:p w14:paraId="151C4E13" w14:textId="77777777" w:rsidR="00BE690A" w:rsidRPr="00D86AAC" w:rsidRDefault="00BE690A" w:rsidP="00931169">
            <w:pPr>
              <w:rPr>
                <w:rFonts w:cstheme="minorHAnsi"/>
                <w:sz w:val="16"/>
                <w:szCs w:val="16"/>
              </w:rPr>
            </w:pPr>
            <w:r w:rsidRPr="00D86AAC">
              <w:rPr>
                <w:sz w:val="16"/>
                <w:szCs w:val="16"/>
              </w:rPr>
              <w:t xml:space="preserve">Žel. trať križuje viaceré vodné toky (Vlčovský potok, Kysuca, </w:t>
            </w:r>
            <w:r w:rsidRPr="00D86AAC">
              <w:rPr>
                <w:rFonts w:cstheme="minorHAnsi"/>
                <w:sz w:val="16"/>
                <w:szCs w:val="16"/>
              </w:rPr>
              <w:t xml:space="preserve">Čadečanka, Čierňanka) a rôzne bystriny. </w:t>
            </w:r>
            <w:r>
              <w:rPr>
                <w:rFonts w:cstheme="minorHAnsi"/>
                <w:sz w:val="16"/>
                <w:szCs w:val="16"/>
              </w:rPr>
              <w:t>Križovania vodných tokov sa líšia v závislosti od hodnotených variantov trasovania predovšetkým v úseku Krásno nad Kysucou – Čadca.</w:t>
            </w:r>
          </w:p>
          <w:p w14:paraId="79EBFB8D" w14:textId="77777777" w:rsidR="00BE690A" w:rsidRDefault="00BE690A" w:rsidP="00931169">
            <w:pPr>
              <w:rPr>
                <w:sz w:val="16"/>
                <w:szCs w:val="16"/>
              </w:rPr>
            </w:pPr>
            <w:r>
              <w:rPr>
                <w:sz w:val="16"/>
                <w:szCs w:val="16"/>
              </w:rPr>
              <w:t>N-ročné prietoky rieky Kysuca na stanici v Čadci: 1-ročný 137 m</w:t>
            </w:r>
            <w:r w:rsidRPr="00F2528F">
              <w:rPr>
                <w:sz w:val="16"/>
                <w:szCs w:val="16"/>
                <w:vertAlign w:val="superscript"/>
              </w:rPr>
              <w:t>3</w:t>
            </w:r>
            <w:r>
              <w:rPr>
                <w:sz w:val="16"/>
                <w:szCs w:val="16"/>
              </w:rPr>
              <w:t>/s, 2-ročný 188 m</w:t>
            </w:r>
            <w:r w:rsidRPr="00F2528F">
              <w:rPr>
                <w:sz w:val="16"/>
                <w:szCs w:val="16"/>
                <w:vertAlign w:val="superscript"/>
              </w:rPr>
              <w:t>3</w:t>
            </w:r>
            <w:r>
              <w:rPr>
                <w:sz w:val="16"/>
                <w:szCs w:val="16"/>
              </w:rPr>
              <w:t>/s, 5-ročný 263 m</w:t>
            </w:r>
            <w:r w:rsidRPr="00F2528F">
              <w:rPr>
                <w:sz w:val="16"/>
                <w:szCs w:val="16"/>
                <w:vertAlign w:val="superscript"/>
              </w:rPr>
              <w:t>3</w:t>
            </w:r>
            <w:r>
              <w:rPr>
                <w:sz w:val="16"/>
                <w:szCs w:val="16"/>
              </w:rPr>
              <w:t>/s, 10-ročný 323 m</w:t>
            </w:r>
            <w:r w:rsidRPr="00F2528F">
              <w:rPr>
                <w:sz w:val="16"/>
                <w:szCs w:val="16"/>
                <w:vertAlign w:val="superscript"/>
              </w:rPr>
              <w:t>3</w:t>
            </w:r>
            <w:r>
              <w:rPr>
                <w:sz w:val="16"/>
                <w:szCs w:val="16"/>
              </w:rPr>
              <w:t>/s, 20-ročný 383 m</w:t>
            </w:r>
            <w:r w:rsidRPr="00F2528F">
              <w:rPr>
                <w:sz w:val="16"/>
                <w:szCs w:val="16"/>
                <w:vertAlign w:val="superscript"/>
              </w:rPr>
              <w:t>3</w:t>
            </w:r>
            <w:r>
              <w:rPr>
                <w:sz w:val="16"/>
                <w:szCs w:val="16"/>
              </w:rPr>
              <w:t>/s, 50-ročný 475 m</w:t>
            </w:r>
            <w:r w:rsidRPr="00F2528F">
              <w:rPr>
                <w:sz w:val="16"/>
                <w:szCs w:val="16"/>
                <w:vertAlign w:val="superscript"/>
              </w:rPr>
              <w:t>3</w:t>
            </w:r>
            <w:r>
              <w:rPr>
                <w:sz w:val="16"/>
                <w:szCs w:val="16"/>
              </w:rPr>
              <w:t>/s a 100-ročný prietok 555 m</w:t>
            </w:r>
            <w:r w:rsidRPr="00F2528F">
              <w:rPr>
                <w:sz w:val="16"/>
                <w:szCs w:val="16"/>
                <w:vertAlign w:val="superscript"/>
              </w:rPr>
              <w:t>3</w:t>
            </w:r>
            <w:r>
              <w:rPr>
                <w:sz w:val="16"/>
                <w:szCs w:val="16"/>
              </w:rPr>
              <w:t>/s. Následkom malej retenčnej schopnosti povrchu územia je tu značná rýchlosť a veľká nerovnomernosť odtoku povrchových vôd. Kapacita upravené toku Kysuce je 540,0 – 545,0 m</w:t>
            </w:r>
            <w:r w:rsidRPr="00F2528F">
              <w:rPr>
                <w:sz w:val="16"/>
                <w:szCs w:val="16"/>
                <w:vertAlign w:val="superscript"/>
              </w:rPr>
              <w:t>3</w:t>
            </w:r>
            <w:r>
              <w:rPr>
                <w:sz w:val="16"/>
                <w:szCs w:val="16"/>
              </w:rPr>
              <w:t>/s, kapacita upraveného toku Čierňanky je 210,0 – 260,0 m</w:t>
            </w:r>
            <w:r w:rsidRPr="00F2528F">
              <w:rPr>
                <w:sz w:val="16"/>
                <w:szCs w:val="16"/>
                <w:vertAlign w:val="superscript"/>
              </w:rPr>
              <w:t>3</w:t>
            </w:r>
            <w:r>
              <w:rPr>
                <w:sz w:val="16"/>
                <w:szCs w:val="16"/>
              </w:rPr>
              <w:t>/s – realizované úpravy Korýt kapacitne nepostačujú na prevedenie prietokov Q</w:t>
            </w:r>
            <w:r w:rsidRPr="00283A26">
              <w:rPr>
                <w:sz w:val="16"/>
                <w:szCs w:val="16"/>
                <w:vertAlign w:val="subscript"/>
              </w:rPr>
              <w:t>100</w:t>
            </w:r>
            <w:r>
              <w:rPr>
                <w:sz w:val="16"/>
                <w:szCs w:val="16"/>
              </w:rPr>
              <w:t>-ročnej vody (údaje z r. 2014).</w:t>
            </w:r>
          </w:p>
          <w:p w14:paraId="6D1E4974" w14:textId="77777777" w:rsidR="00BE690A" w:rsidRDefault="00BE690A" w:rsidP="00931169">
            <w:pPr>
              <w:rPr>
                <w:sz w:val="16"/>
                <w:szCs w:val="16"/>
              </w:rPr>
            </w:pPr>
            <w:r w:rsidRPr="00F2528F">
              <w:rPr>
                <w:sz w:val="16"/>
                <w:szCs w:val="16"/>
              </w:rPr>
              <w:t>V Čadci je povodňami pri rieke Kysuca ohrozovaná predovšetkým miestna časť Horelica</w:t>
            </w:r>
            <w:r>
              <w:rPr>
                <w:sz w:val="16"/>
                <w:szCs w:val="16"/>
              </w:rPr>
              <w:t>, inundačné územie sa nachádza aj na území zrušených vodárenských zdrojov medzi žel. traťou a riekou.</w:t>
            </w:r>
            <w:r w:rsidRPr="00F2528F">
              <w:rPr>
                <w:sz w:val="16"/>
                <w:szCs w:val="16"/>
              </w:rPr>
              <w:t xml:space="preserve"> </w:t>
            </w:r>
            <w:r>
              <w:rPr>
                <w:sz w:val="16"/>
                <w:szCs w:val="16"/>
              </w:rPr>
              <w:t>Potom Čierňanka ohrozuje v prípade vybreženia zaplavením lokalitu u Mišov v Svrčinovci</w:t>
            </w:r>
          </w:p>
          <w:p w14:paraId="3DF4E372" w14:textId="77777777" w:rsidR="00BE690A" w:rsidRPr="00283A26" w:rsidRDefault="00BE690A" w:rsidP="00931169">
            <w:pPr>
              <w:rPr>
                <w:sz w:val="16"/>
                <w:szCs w:val="16"/>
              </w:rPr>
            </w:pPr>
            <w:r w:rsidRPr="00F2528F">
              <w:rPr>
                <w:sz w:val="16"/>
                <w:szCs w:val="16"/>
              </w:rPr>
              <w:t>Podľa máp</w:t>
            </w:r>
            <w:r w:rsidRPr="00AB7571">
              <w:rPr>
                <w:sz w:val="16"/>
                <w:szCs w:val="16"/>
              </w:rPr>
              <w:t xml:space="preserve"> povodňového rizika a povodňového ohrozenia z r. 2015</w:t>
            </w:r>
            <w:r>
              <w:rPr>
                <w:sz w:val="16"/>
                <w:szCs w:val="16"/>
              </w:rPr>
              <w:t xml:space="preserve"> je žel. trať na území mesta Čadca ohrozená zvýšenými prietokmi rieky v bezprostrednom okolí mostného telesa prevádzajúceho trať ponad rieku a pri Q</w:t>
            </w:r>
            <w:r w:rsidRPr="00ED5BE4">
              <w:rPr>
                <w:sz w:val="16"/>
                <w:szCs w:val="16"/>
                <w:vertAlign w:val="subscript"/>
              </w:rPr>
              <w:t>1000</w:t>
            </w:r>
            <w:r>
              <w:rPr>
                <w:sz w:val="16"/>
                <w:szCs w:val="16"/>
              </w:rPr>
              <w:t xml:space="preserve"> aj v úseku od zastávky Čadca – mesto po ŽST Čadca (rkm rieky 29,0 – 30,0). V južnejšie trasovanom úseku v rkm Kysuce 28,0 – 29,0 nie je trať ohrozená zaplavením, jestvujúci žel. násyp predstavuje povodňovú hrádzu zabraňujúcu šíreniu vody do okolia. V lokalite Čadca – Horelica (Veščarovci) hrozí zaplavenie trate na vybraných úsekoch pri Q</w:t>
            </w:r>
            <w:r w:rsidRPr="00FC23FF">
              <w:rPr>
                <w:sz w:val="16"/>
                <w:szCs w:val="16"/>
                <w:vertAlign w:val="subscript"/>
              </w:rPr>
              <w:t>1000</w:t>
            </w:r>
            <w:r>
              <w:rPr>
                <w:sz w:val="16"/>
                <w:szCs w:val="16"/>
              </w:rPr>
              <w:t xml:space="preserve"> (v rkm Kysuce 26,0 – 27,5, v rkm 25,0 – 26,0). Z pohľadu šírenia vody v prípade záplav sú významnými najmä mostné objekty (mosty a priepusty) prevádzajúce trať ponad vodné toky. </w:t>
            </w:r>
          </w:p>
        </w:tc>
      </w:tr>
      <w:tr w:rsidR="00BE690A" w:rsidRPr="00C92614" w14:paraId="5732D5A3" w14:textId="77777777" w:rsidTr="00BE690A">
        <w:tc>
          <w:tcPr>
            <w:tcW w:w="2268" w:type="dxa"/>
            <w:shd w:val="clear" w:color="auto" w:fill="FFFFFF"/>
          </w:tcPr>
          <w:p w14:paraId="36478686"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tcPr>
          <w:p w14:paraId="71009FD0" w14:textId="77777777" w:rsidR="00BE690A" w:rsidRPr="00CC378A" w:rsidRDefault="00BE690A" w:rsidP="00931169">
            <w:pPr>
              <w:rPr>
                <w:sz w:val="16"/>
                <w:szCs w:val="16"/>
              </w:rPr>
            </w:pPr>
            <w:r w:rsidRPr="00CC378A">
              <w:rPr>
                <w:sz w:val="16"/>
                <w:szCs w:val="16"/>
              </w:rPr>
              <w:t>V riešenom území sú povodňové situácie vyvolávané predovšetkým výskytom prívalový</w:t>
            </w:r>
            <w:r>
              <w:rPr>
                <w:sz w:val="16"/>
                <w:szCs w:val="16"/>
              </w:rPr>
              <w:t>ch dažďov počas búrok v letnom období (18.5.2010, 22.7.2011, 28.4.2017, 17.9.2017, 23.5.2019). Vyliatie vody z korýt vodných tokov pre nasýtenosť povodia bolo v ostatných rokoch zaznamenané napr. 18.5.2010 (zatopenie záhrad a ciest v Čadci vrátane zosuvu pôdy), 14.6.2010, 29.6.2009 (zaplavenie pivníc, záhrad, ciest), 2-3.6.2018 (zaplavenie trate v krátkom úseku), 5-9.8.2018 (zaplavenie pivníc, záhrad rodinných domov, cestných komunikácií a strhnutie malých mostov v Čadci v časti Rieka a v obci Zákopčie aj v dôsledku upchatia kanalizačných vpustov a priepustov), 22.5.2019 (zaplavenie pivníc rodinných domov).</w:t>
            </w:r>
          </w:p>
          <w:p w14:paraId="3FFFE64C" w14:textId="77777777" w:rsidR="00BE690A" w:rsidRPr="00C92614" w:rsidRDefault="00BE690A" w:rsidP="00931169">
            <w:pPr>
              <w:rPr>
                <w:color w:val="FF0000"/>
                <w:sz w:val="16"/>
                <w:szCs w:val="16"/>
              </w:rPr>
            </w:pPr>
            <w:r w:rsidRPr="00662154">
              <w:rPr>
                <w:sz w:val="16"/>
                <w:szCs w:val="16"/>
              </w:rPr>
              <w:t>Podľa evidencie ŽSR neboli na dotknutom úseku žel. trate zaznamenané žiadne problémy vyvolané povodňovou aktivitou vodných tokov. V r. 1997 boli pri koľaji č. 2 v žkm 274,000; 275,100; 277,100 zriadené zábrany zo starých podvalov z dôvodu ochrany zemného telesa pred zaplavením.</w:t>
            </w:r>
          </w:p>
        </w:tc>
      </w:tr>
      <w:tr w:rsidR="00BE690A" w:rsidRPr="00662154" w14:paraId="0D70A86D" w14:textId="77777777" w:rsidTr="00BE690A">
        <w:tc>
          <w:tcPr>
            <w:tcW w:w="2268" w:type="dxa"/>
            <w:shd w:val="clear" w:color="auto" w:fill="FFFFFF"/>
          </w:tcPr>
          <w:p w14:paraId="543ABADC" w14:textId="77777777" w:rsidR="00BE690A" w:rsidRPr="00662154" w:rsidRDefault="00BE690A" w:rsidP="00931169">
            <w:pPr>
              <w:rPr>
                <w:sz w:val="16"/>
                <w:szCs w:val="16"/>
              </w:rPr>
            </w:pPr>
            <w:r w:rsidRPr="00662154">
              <w:rPr>
                <w:sz w:val="16"/>
                <w:szCs w:val="16"/>
              </w:rPr>
              <w:t>Relevantné dopady javu</w:t>
            </w:r>
          </w:p>
        </w:tc>
        <w:tc>
          <w:tcPr>
            <w:tcW w:w="7088" w:type="dxa"/>
            <w:shd w:val="clear" w:color="auto" w:fill="auto"/>
          </w:tcPr>
          <w:p w14:paraId="6C1F724B" w14:textId="77777777" w:rsidR="00BE690A" w:rsidRPr="00662154" w:rsidRDefault="00BE690A" w:rsidP="00931169">
            <w:pPr>
              <w:rPr>
                <w:sz w:val="16"/>
                <w:szCs w:val="16"/>
              </w:rPr>
            </w:pPr>
            <w:r w:rsidRPr="00662154">
              <w:rPr>
                <w:sz w:val="16"/>
                <w:szCs w:val="16"/>
              </w:rPr>
              <w:t xml:space="preserve">zaplavenie štrkového lôžka a žel. infraštruktúry, zanesenie odvodňovacích systémov, podmáčanie podložia a zníženie stability zemného telesa, </w:t>
            </w:r>
          </w:p>
        </w:tc>
      </w:tr>
      <w:tr w:rsidR="00BE690A" w:rsidRPr="00C92614" w14:paraId="2EDB6B7C" w14:textId="77777777" w:rsidTr="00BE690A">
        <w:tc>
          <w:tcPr>
            <w:tcW w:w="2268" w:type="dxa"/>
            <w:shd w:val="clear" w:color="auto" w:fill="FFFFFF"/>
          </w:tcPr>
          <w:p w14:paraId="35FA16C5"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56484DBF" w14:textId="77777777" w:rsidR="00BE690A" w:rsidRPr="00C92614" w:rsidRDefault="00BE690A" w:rsidP="00931169">
            <w:pPr>
              <w:rPr>
                <w:color w:val="FF0000"/>
                <w:sz w:val="16"/>
                <w:szCs w:val="16"/>
              </w:rPr>
            </w:pPr>
            <w:r w:rsidRPr="00C92614">
              <w:rPr>
                <w:sz w:val="16"/>
                <w:szCs w:val="16"/>
              </w:rPr>
              <w:t xml:space="preserve">Z hľadiska zrážkovej činnosti sa predpokladá mierna zmena v ročných úhrnoch zrážok (nárast </w:t>
            </w:r>
            <w:r>
              <w:rPr>
                <w:sz w:val="16"/>
                <w:szCs w:val="16"/>
              </w:rPr>
              <w:t>okolo 10 %),</w:t>
            </w:r>
            <w:r w:rsidRPr="00C92614">
              <w:rPr>
                <w:sz w:val="16"/>
                <w:szCs w:val="16"/>
              </w:rPr>
              <w:t xml:space="preserve"> výraznejšie zmeny v ročnom chode a v časovom režime zrážok (mierny nárast úhrnov zrážok v zimnom období a zvýšenie premenlivosti úhrnov zrážok počas roka – striedanie zrážkovo deficitných období so zrážkovo nadpriemernými) a častejší výskyt silných dažďov ako sprievodného javu búrkovej činnosti najmä v letných mesiacoch. Napriek očakávanému poklesu vodnosti tokov, častejší výskyt krátkych intenzívnych zrážok a prívalových dažďov prispejú ku krátkodobému a nárazovému zvýšeniu vodnosti tokov s následným </w:t>
            </w:r>
            <w:r>
              <w:rPr>
                <w:sz w:val="16"/>
                <w:szCs w:val="16"/>
              </w:rPr>
              <w:t xml:space="preserve">rizikom </w:t>
            </w:r>
            <w:r w:rsidRPr="00C92614">
              <w:rPr>
                <w:sz w:val="16"/>
                <w:szCs w:val="16"/>
              </w:rPr>
              <w:t>vzni</w:t>
            </w:r>
            <w:r>
              <w:rPr>
                <w:sz w:val="16"/>
                <w:szCs w:val="16"/>
              </w:rPr>
              <w:t>ku</w:t>
            </w:r>
            <w:r w:rsidRPr="00C92614">
              <w:rPr>
                <w:sz w:val="16"/>
                <w:szCs w:val="16"/>
              </w:rPr>
              <w:t xml:space="preserve"> </w:t>
            </w:r>
            <w:r>
              <w:rPr>
                <w:sz w:val="16"/>
                <w:szCs w:val="16"/>
              </w:rPr>
              <w:t xml:space="preserve">povodňových situácií a záplav. K častejšiemu vzniku povodňových situácií v zimnom období </w:t>
            </w:r>
            <w:r>
              <w:rPr>
                <w:sz w:val="16"/>
                <w:szCs w:val="16"/>
              </w:rPr>
              <w:lastRenderedPageBreak/>
              <w:t>prispeje nárast teploty vzduchu, pokles počtu mrazových dní a výskyt tzv. zimného oteplenia s následným topením napadnutého snehu.</w:t>
            </w:r>
          </w:p>
        </w:tc>
      </w:tr>
      <w:tr w:rsidR="00BE690A" w:rsidRPr="00C92614" w14:paraId="4FDFC71F" w14:textId="77777777" w:rsidTr="00BE690A">
        <w:trPr>
          <w:trHeight w:val="700"/>
        </w:trPr>
        <w:tc>
          <w:tcPr>
            <w:tcW w:w="2268" w:type="dxa"/>
            <w:vMerge w:val="restart"/>
            <w:shd w:val="clear" w:color="auto" w:fill="FFFFFF"/>
          </w:tcPr>
          <w:p w14:paraId="32B73862" w14:textId="77777777" w:rsidR="00BE690A" w:rsidRPr="00C92614" w:rsidRDefault="00BE690A" w:rsidP="00931169">
            <w:pPr>
              <w:rPr>
                <w:sz w:val="16"/>
                <w:szCs w:val="16"/>
              </w:rPr>
            </w:pPr>
            <w:r w:rsidRPr="00C92614">
              <w:rPr>
                <w:sz w:val="16"/>
                <w:szCs w:val="16"/>
              </w:rPr>
              <w:lastRenderedPageBreak/>
              <w:t>Stanovenie miery expozície žel. infraštruktúry a žel. prevádzky</w:t>
            </w:r>
          </w:p>
        </w:tc>
        <w:tc>
          <w:tcPr>
            <w:tcW w:w="7088" w:type="dxa"/>
            <w:shd w:val="clear" w:color="auto" w:fill="auto"/>
          </w:tcPr>
          <w:p w14:paraId="39FAD441" w14:textId="77777777" w:rsidR="00BE690A" w:rsidRDefault="00BE690A" w:rsidP="00931169">
            <w:pPr>
              <w:rPr>
                <w:sz w:val="16"/>
                <w:szCs w:val="16"/>
              </w:rPr>
            </w:pPr>
            <w:r w:rsidRPr="00AF0F21">
              <w:rPr>
                <w:sz w:val="16"/>
                <w:szCs w:val="16"/>
              </w:rPr>
              <w:t>Klimatický jav pôsobí na dotknutú žel. infraštruktúru prechádzajúcou inundačným územím rieky Kysuca resp. trasovanou v blízkosti vodných tokov, rovnako tak na prevádzku na žel. tratiach.</w:t>
            </w:r>
          </w:p>
          <w:p w14:paraId="66AD947B" w14:textId="77777777" w:rsidR="00BE690A" w:rsidRPr="004E65BB" w:rsidRDefault="00BE690A" w:rsidP="00931169">
            <w:pPr>
              <w:rPr>
                <w:b/>
                <w:sz w:val="16"/>
                <w:szCs w:val="16"/>
              </w:rPr>
            </w:pPr>
            <w:r w:rsidRPr="004E65BB">
              <w:rPr>
                <w:b/>
                <w:sz w:val="16"/>
                <w:szCs w:val="16"/>
              </w:rPr>
              <w:t>Exponovanými úsekmi trate je predovšetkým úsek súčasného trasovania trate Krásno nad Kysucou – Čadca vedúci pozdĺž rieky Kysuca, miesta križovania trate s vodnými tokmi a úsek vedený pozdĺž vodného toku Čierňanka. V úseku Krásno nad Kysucou – Čadca a v ŽST Čadca boli vyčlenené viaceré oblasti, v ktorých hrozí riziko vzniku povodňových situácií.</w:t>
            </w:r>
          </w:p>
          <w:p w14:paraId="2C262ED7" w14:textId="77777777" w:rsidR="00BE690A" w:rsidRPr="00C92614" w:rsidRDefault="00BE690A" w:rsidP="00931169">
            <w:pPr>
              <w:rPr>
                <w:color w:val="FF0000"/>
                <w:sz w:val="16"/>
                <w:szCs w:val="16"/>
              </w:rPr>
            </w:pPr>
            <w:r w:rsidRPr="00AF0F21">
              <w:rPr>
                <w:sz w:val="16"/>
                <w:szCs w:val="16"/>
              </w:rPr>
              <w:t xml:space="preserve">Vplyvom nárastu zrážkových úhrnov a častejšieho výskytu intenzívnych až prívalových dažďov, častejšieho výskytu búrkovej činnosti a častejšieho topenia snehu v dôsledku náhlych zimných oteplení bude v nasledujúcich rokoch nebezpečenstvo vzniku povodní narastať. </w:t>
            </w:r>
          </w:p>
        </w:tc>
      </w:tr>
      <w:tr w:rsidR="00BE690A" w:rsidRPr="00C92614" w14:paraId="39EFC119" w14:textId="77777777" w:rsidTr="00BE690A">
        <w:tc>
          <w:tcPr>
            <w:tcW w:w="2268" w:type="dxa"/>
            <w:vMerge/>
            <w:shd w:val="clear" w:color="auto" w:fill="FFFFFF"/>
          </w:tcPr>
          <w:p w14:paraId="56E6C202" w14:textId="77777777" w:rsidR="00BE690A" w:rsidRPr="00C92614" w:rsidRDefault="00BE690A" w:rsidP="00931169">
            <w:pPr>
              <w:rPr>
                <w:color w:val="FF0000"/>
                <w:sz w:val="16"/>
                <w:szCs w:val="16"/>
              </w:rPr>
            </w:pPr>
          </w:p>
        </w:tc>
        <w:tc>
          <w:tcPr>
            <w:tcW w:w="7088" w:type="dxa"/>
            <w:shd w:val="clear" w:color="auto" w:fill="FFFF97"/>
          </w:tcPr>
          <w:p w14:paraId="6DADA715" w14:textId="77777777" w:rsidR="00BE690A" w:rsidRPr="005172E3" w:rsidRDefault="00BE690A" w:rsidP="00931169">
            <w:pPr>
              <w:rPr>
                <w:sz w:val="16"/>
                <w:szCs w:val="16"/>
              </w:rPr>
            </w:pPr>
            <w:r w:rsidRPr="005172E3">
              <w:rPr>
                <w:sz w:val="16"/>
                <w:szCs w:val="16"/>
              </w:rPr>
              <w:t>Miera pravdepodobnosti ovplyvnenia žel. infraštruktúry: 2</w:t>
            </w:r>
          </w:p>
        </w:tc>
      </w:tr>
      <w:tr w:rsidR="00BE690A" w:rsidRPr="00C92614" w14:paraId="283E5712" w14:textId="77777777" w:rsidTr="00BE690A">
        <w:tc>
          <w:tcPr>
            <w:tcW w:w="2268" w:type="dxa"/>
            <w:vMerge/>
            <w:shd w:val="clear" w:color="auto" w:fill="FFFFFF"/>
          </w:tcPr>
          <w:p w14:paraId="3DCFA849" w14:textId="77777777" w:rsidR="00BE690A" w:rsidRPr="00C92614" w:rsidRDefault="00BE690A" w:rsidP="00931169">
            <w:pPr>
              <w:rPr>
                <w:color w:val="FF0000"/>
                <w:sz w:val="16"/>
                <w:szCs w:val="16"/>
              </w:rPr>
            </w:pPr>
          </w:p>
        </w:tc>
        <w:tc>
          <w:tcPr>
            <w:tcW w:w="7088" w:type="dxa"/>
            <w:shd w:val="clear" w:color="auto" w:fill="D6E3BC"/>
          </w:tcPr>
          <w:p w14:paraId="6277C7F1" w14:textId="77777777" w:rsidR="00BE690A" w:rsidRPr="005172E3" w:rsidRDefault="00BE690A" w:rsidP="00931169">
            <w:pPr>
              <w:rPr>
                <w:sz w:val="16"/>
                <w:szCs w:val="16"/>
              </w:rPr>
            </w:pPr>
            <w:r w:rsidRPr="005172E3">
              <w:rPr>
                <w:sz w:val="16"/>
                <w:szCs w:val="16"/>
              </w:rPr>
              <w:t>Miera pravdepodobnos</w:t>
            </w:r>
            <w:r>
              <w:rPr>
                <w:sz w:val="16"/>
                <w:szCs w:val="16"/>
              </w:rPr>
              <w:t>ti ovplyvnenia žel. prevádzky: 1</w:t>
            </w:r>
          </w:p>
        </w:tc>
      </w:tr>
      <w:tr w:rsidR="00BE690A" w:rsidRPr="00C92614" w14:paraId="39F51F98" w14:textId="77777777" w:rsidTr="00BE690A">
        <w:tc>
          <w:tcPr>
            <w:tcW w:w="2268" w:type="dxa"/>
            <w:shd w:val="clear" w:color="auto" w:fill="FFFFFF"/>
            <w:vAlign w:val="center"/>
          </w:tcPr>
          <w:p w14:paraId="7A9F244E"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4640AB36" w14:textId="77777777" w:rsidR="00BE690A" w:rsidRPr="00C92614" w:rsidRDefault="00BE690A" w:rsidP="00931169">
            <w:pPr>
              <w:rPr>
                <w:b/>
                <w:sz w:val="16"/>
                <w:szCs w:val="16"/>
              </w:rPr>
            </w:pPr>
            <w:r w:rsidRPr="00C92614">
              <w:rPr>
                <w:b/>
                <w:sz w:val="16"/>
                <w:szCs w:val="16"/>
              </w:rPr>
              <w:t xml:space="preserve">Zosuvy </w:t>
            </w:r>
          </w:p>
        </w:tc>
      </w:tr>
      <w:tr w:rsidR="00BE690A" w:rsidRPr="00C92614" w14:paraId="4407402C" w14:textId="77777777" w:rsidTr="00BE690A">
        <w:tc>
          <w:tcPr>
            <w:tcW w:w="2268" w:type="dxa"/>
            <w:shd w:val="clear" w:color="auto" w:fill="FFFFFF"/>
          </w:tcPr>
          <w:p w14:paraId="0BC9D00E"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583F67A6" w14:textId="77777777" w:rsidR="00BE690A" w:rsidRDefault="00BE690A" w:rsidP="00931169">
            <w:pPr>
              <w:rPr>
                <w:color w:val="FF0000"/>
                <w:sz w:val="16"/>
                <w:szCs w:val="16"/>
              </w:rPr>
            </w:pPr>
            <w:r w:rsidRPr="00C859B8">
              <w:rPr>
                <w:sz w:val="16"/>
                <w:szCs w:val="16"/>
              </w:rPr>
              <w:t>Riešené územie je z pohľadu regionálneho geologického členenia budované horninami geotektonickej jednotky Vonkajšie Západné Karpaty. Všetky horninové komplexy sú intenzívne tektonicky porušené a prestúpené zlomovými poruchami, príkrovými líniami, sú zvrásnené, s premenlivým sklonom uloženia vrstiev.</w:t>
            </w:r>
            <w:r>
              <w:rPr>
                <w:sz w:val="16"/>
                <w:szCs w:val="16"/>
              </w:rPr>
              <w:t xml:space="preserve"> Prevládajú skalné a poloskalné flyšodiné horniny s rozličným zastúpením ílovcov, siltovcov, pieskovcov a zlepencov. Kvartérne sedimenty zahŕňajú celý rad genetických typov vyznačujúcich sa variabilným litologickým zložením (sedimenty deluviálne, fluviálne, fluviálne terasové, proluviálne, organogénne aj antropogénne).</w:t>
            </w:r>
          </w:p>
          <w:p w14:paraId="13783ED9" w14:textId="77777777" w:rsidR="00BE690A" w:rsidRDefault="00BE690A" w:rsidP="00931169">
            <w:pPr>
              <w:rPr>
                <w:sz w:val="16"/>
                <w:szCs w:val="16"/>
              </w:rPr>
            </w:pPr>
            <w:r w:rsidRPr="00DB2831">
              <w:rPr>
                <w:sz w:val="16"/>
                <w:szCs w:val="16"/>
              </w:rPr>
              <w:t>Riešené územi</w:t>
            </w:r>
            <w:r>
              <w:rPr>
                <w:sz w:val="16"/>
                <w:szCs w:val="16"/>
              </w:rPr>
              <w:t>e</w:t>
            </w:r>
            <w:r w:rsidRPr="00DB2831">
              <w:rPr>
                <w:sz w:val="16"/>
                <w:szCs w:val="16"/>
              </w:rPr>
              <w:t xml:space="preserve"> sa nachádza v hornatinovej oblasti Slovenska, patrí k lokalitám s vysokým výskytom svahových </w:t>
            </w:r>
            <w:r>
              <w:rPr>
                <w:sz w:val="16"/>
                <w:szCs w:val="16"/>
              </w:rPr>
              <w:t>deformácií či už aktívnych, stabilizovaných alebo potenciálnych. Klimatické pomery v kombinácii s flyšovým charakterom podložných hornín zásadne vplývajú na vznik a vývoj svahových deformácií. Najcitlivejšími obdobiami roka z tohto hľadiska sú jar (topenie snehu uvoľňuje veľké množstvo vody, ktorá sa infiltruje do podložia a zhoršuje stabilitné pomery územia) a jeseň (dlhotrvajúce jesenné zrážky).</w:t>
            </w:r>
          </w:p>
          <w:p w14:paraId="070FC1C2" w14:textId="77777777" w:rsidR="00BE690A" w:rsidRDefault="00BE690A" w:rsidP="00931169">
            <w:pPr>
              <w:rPr>
                <w:sz w:val="16"/>
                <w:szCs w:val="16"/>
              </w:rPr>
            </w:pPr>
            <w:r>
              <w:rPr>
                <w:sz w:val="16"/>
                <w:szCs w:val="16"/>
              </w:rPr>
              <w:t xml:space="preserve">Riešené územie leží v rajóne stabilných území (územie prevažne stabilné s nízkym stupňom náchylnosti ku vzniku svah. deformácií) a z väčšej časti v rajóne nestabilných území, konkrétne </w:t>
            </w:r>
          </w:p>
          <w:p w14:paraId="0288E86D" w14:textId="77777777" w:rsidR="00BE690A" w:rsidRDefault="00BE690A" w:rsidP="00931169">
            <w:pPr>
              <w:pStyle w:val="Odsekzoznamu"/>
              <w:numPr>
                <w:ilvl w:val="0"/>
                <w:numId w:val="44"/>
              </w:numPr>
              <w:suppressAutoHyphens/>
              <w:spacing w:after="0" w:line="240" w:lineRule="auto"/>
              <w:ind w:left="394" w:hanging="142"/>
              <w:contextualSpacing w:val="0"/>
              <w:jc w:val="both"/>
              <w:rPr>
                <w:rFonts w:cstheme="minorHAnsi"/>
                <w:sz w:val="16"/>
                <w:szCs w:val="16"/>
              </w:rPr>
            </w:pPr>
            <w:r w:rsidRPr="00F26A1B">
              <w:rPr>
                <w:rFonts w:cstheme="minorHAnsi"/>
                <w:sz w:val="16"/>
                <w:szCs w:val="16"/>
              </w:rPr>
              <w:t xml:space="preserve">v území svahových deformácií so stredným až vysokým stupňom náchylnosti k aktivizácii svahových deformácií. Aktivizácia svahových pohybov je možná vplyvom prírodných pomerov alebo negatívnymi antropogénnymi </w:t>
            </w:r>
            <w:r>
              <w:rPr>
                <w:rFonts w:cstheme="minorHAnsi"/>
                <w:sz w:val="16"/>
                <w:szCs w:val="16"/>
              </w:rPr>
              <w:t>faktormi resp. ich kombináciou</w:t>
            </w:r>
          </w:p>
          <w:p w14:paraId="594952DF" w14:textId="77777777" w:rsidR="00BE690A" w:rsidRPr="00F26A1B" w:rsidRDefault="00BE690A" w:rsidP="00931169">
            <w:pPr>
              <w:pStyle w:val="Odsekzoznamu"/>
              <w:numPr>
                <w:ilvl w:val="0"/>
                <w:numId w:val="44"/>
              </w:numPr>
              <w:suppressAutoHyphens/>
              <w:spacing w:after="0" w:line="240" w:lineRule="auto"/>
              <w:ind w:left="394" w:hanging="142"/>
              <w:contextualSpacing w:val="0"/>
              <w:jc w:val="both"/>
              <w:rPr>
                <w:rFonts w:cstheme="minorHAnsi"/>
                <w:sz w:val="16"/>
                <w:szCs w:val="16"/>
              </w:rPr>
            </w:pPr>
            <w:r>
              <w:rPr>
                <w:rFonts w:cstheme="minorHAnsi"/>
                <w:sz w:val="16"/>
                <w:szCs w:val="16"/>
              </w:rPr>
              <w:t>v území bezprostredného okolia registrovaných svahových deformácií a územia s priaznivou geologickou stavbou ku vzniku svah. deformácií, stupeň náchylnosti ku vzniku svahových deformácií je diferencovaný predovšetkým morfológiou lokalít, ktoré sú citlivé na negatívne antropogénne zásahy.</w:t>
            </w:r>
          </w:p>
          <w:p w14:paraId="6CFD1478" w14:textId="77777777" w:rsidR="00BE690A" w:rsidRPr="00DB2831" w:rsidRDefault="00BE690A" w:rsidP="00931169">
            <w:pPr>
              <w:rPr>
                <w:rFonts w:cstheme="minorHAnsi"/>
                <w:color w:val="FF0000"/>
                <w:sz w:val="16"/>
                <w:szCs w:val="16"/>
              </w:rPr>
            </w:pPr>
            <w:r w:rsidRPr="00DB2831">
              <w:rPr>
                <w:sz w:val="16"/>
                <w:szCs w:val="16"/>
              </w:rPr>
              <w:t>Pozdĺž súčasného trasovanie jestvujúcej žel. trate</w:t>
            </w:r>
            <w:r>
              <w:rPr>
                <w:sz w:val="16"/>
                <w:szCs w:val="16"/>
              </w:rPr>
              <w:t xml:space="preserve"> aj v lokalite navrhovaného trasovania projektu (najmä navrhovaného tunela Kýčera) </w:t>
            </w:r>
            <w:r w:rsidRPr="00DB2831">
              <w:rPr>
                <w:sz w:val="16"/>
                <w:szCs w:val="16"/>
              </w:rPr>
              <w:t>sú evido</w:t>
            </w:r>
            <w:r>
              <w:rPr>
                <w:sz w:val="16"/>
                <w:szCs w:val="16"/>
              </w:rPr>
              <w:t xml:space="preserve">vané viaceré stabilizované, potenciálne aj aktívne zosuvy. Poväčšine ide o plošné zosuvy suchých svahov a svahy s výskytom prameňov alebo mokrín, ktorých zosuvy sú vyvolané klimatickými faktormi, pôsobením podzemnej vody alebo bočnou hĺbkovou eróziou. </w:t>
            </w:r>
          </w:p>
        </w:tc>
      </w:tr>
      <w:tr w:rsidR="00BE690A" w:rsidRPr="00C92614" w14:paraId="302A80B6" w14:textId="77777777" w:rsidTr="00BE690A">
        <w:tc>
          <w:tcPr>
            <w:tcW w:w="2268" w:type="dxa"/>
            <w:shd w:val="clear" w:color="auto" w:fill="FFFFFF"/>
          </w:tcPr>
          <w:p w14:paraId="6535A622"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tcPr>
          <w:p w14:paraId="5633517F" w14:textId="77777777" w:rsidR="00BE690A" w:rsidRDefault="00BE690A" w:rsidP="00931169">
            <w:pPr>
              <w:rPr>
                <w:sz w:val="16"/>
                <w:szCs w:val="16"/>
              </w:rPr>
            </w:pPr>
            <w:r>
              <w:rPr>
                <w:sz w:val="16"/>
                <w:szCs w:val="16"/>
              </w:rPr>
              <w:t>Riešené územie prechádza oblasťou so zložitými inžinierskogeologickými, hydrogeologickými a geotechnickými pomermi. Dotknuté územie je vďaka špecifickej geologickej stavbe (flyšové komplexy paleogénnych hornín), morfologickému vývoju územia a vplyvom klimatických pomerov extrémne náchylné na vznik svahových pohybov.</w:t>
            </w:r>
          </w:p>
          <w:p w14:paraId="09CA6B9A" w14:textId="77777777" w:rsidR="00BE690A" w:rsidRDefault="00BE690A" w:rsidP="00931169">
            <w:pPr>
              <w:rPr>
                <w:sz w:val="16"/>
                <w:szCs w:val="16"/>
              </w:rPr>
            </w:pPr>
            <w:r>
              <w:rPr>
                <w:sz w:val="16"/>
                <w:szCs w:val="16"/>
              </w:rPr>
              <w:t>Podľa evidencie ŽSR boli v riešenom úseku trate evidované viaceré svahové deformácie s následným vplyvom na žel. infraštruktúru a prevádzku:</w:t>
            </w:r>
          </w:p>
          <w:p w14:paraId="358EAD17" w14:textId="77777777" w:rsidR="00BE690A" w:rsidRDefault="00BE690A" w:rsidP="00931169">
            <w:pPr>
              <w:pStyle w:val="Odsekzoznamu"/>
              <w:numPr>
                <w:ilvl w:val="0"/>
                <w:numId w:val="45"/>
              </w:numPr>
              <w:suppressAutoHyphens/>
              <w:spacing w:after="0" w:line="240" w:lineRule="auto"/>
              <w:ind w:left="318" w:hanging="176"/>
              <w:contextualSpacing w:val="0"/>
              <w:jc w:val="both"/>
              <w:rPr>
                <w:rFonts w:cstheme="minorHAnsi"/>
                <w:sz w:val="16"/>
                <w:szCs w:val="16"/>
              </w:rPr>
            </w:pPr>
            <w:r>
              <w:rPr>
                <w:rFonts w:cstheme="minorHAnsi"/>
                <w:sz w:val="16"/>
                <w:szCs w:val="16"/>
              </w:rPr>
              <w:t xml:space="preserve">v úseku </w:t>
            </w:r>
            <w:r w:rsidRPr="0067520C">
              <w:rPr>
                <w:rFonts w:cstheme="minorHAnsi"/>
                <w:sz w:val="16"/>
                <w:szCs w:val="16"/>
              </w:rPr>
              <w:t xml:space="preserve">Krásno nad Kysucou - Čadca v žkm 271,400 – 271,450 v rokoch 1997 – 1999 evidované zosuvy vľavo nad žel. traťou v dostatočnej vzdialenosti od priechodového prierezu koľaje – tento nebol narušený, bol však zaznamenaný dopad na geometrickú polohu koľaje vplyvom gravitačných pohybov v predpolí zosuvu svahu. </w:t>
            </w:r>
          </w:p>
          <w:p w14:paraId="3D932366" w14:textId="77777777" w:rsidR="00BE690A" w:rsidRPr="0067520C" w:rsidRDefault="00BE690A" w:rsidP="00931169">
            <w:pPr>
              <w:pStyle w:val="Odsekzoznamu"/>
              <w:numPr>
                <w:ilvl w:val="0"/>
                <w:numId w:val="45"/>
              </w:numPr>
              <w:suppressAutoHyphens/>
              <w:spacing w:after="0" w:line="240" w:lineRule="auto"/>
              <w:ind w:left="318" w:hanging="176"/>
              <w:contextualSpacing w:val="0"/>
              <w:jc w:val="both"/>
              <w:rPr>
                <w:rFonts w:cstheme="minorHAnsi"/>
                <w:sz w:val="16"/>
                <w:szCs w:val="16"/>
              </w:rPr>
            </w:pPr>
            <w:r>
              <w:rPr>
                <w:rFonts w:cstheme="minorHAnsi"/>
                <w:sz w:val="16"/>
                <w:szCs w:val="16"/>
              </w:rPr>
              <w:t>v</w:t>
            </w:r>
            <w:r w:rsidRPr="0067520C">
              <w:rPr>
                <w:rFonts w:cstheme="minorHAnsi"/>
                <w:sz w:val="16"/>
                <w:szCs w:val="16"/>
              </w:rPr>
              <w:t> úseku Čadca – štátna hranica SR/ČR v žkm 285,100 vľavo nad žel. tr</w:t>
            </w:r>
            <w:r>
              <w:rPr>
                <w:rFonts w:cstheme="minorHAnsi"/>
                <w:sz w:val="16"/>
                <w:szCs w:val="16"/>
              </w:rPr>
              <w:t>aťou nastal masívny zosuv svahu, vpravo oproti zosuvu vznikol odtrh zemného telesa s následným zosuvom - tento bol sanovaný a doteraz nebolo pozorované deformovanie svahov alebo zemného telesa.</w:t>
            </w:r>
          </w:p>
          <w:p w14:paraId="50C1C3F0" w14:textId="77777777" w:rsidR="00BE690A" w:rsidRPr="0067520C" w:rsidRDefault="00BE690A" w:rsidP="00931169">
            <w:pPr>
              <w:pStyle w:val="Odsekzoznamu"/>
              <w:numPr>
                <w:ilvl w:val="0"/>
                <w:numId w:val="45"/>
              </w:numPr>
              <w:suppressAutoHyphens/>
              <w:spacing w:after="0" w:line="240" w:lineRule="auto"/>
              <w:ind w:left="318" w:hanging="176"/>
              <w:contextualSpacing w:val="0"/>
              <w:jc w:val="both"/>
              <w:rPr>
                <w:rFonts w:cstheme="minorHAnsi"/>
                <w:sz w:val="16"/>
                <w:szCs w:val="16"/>
              </w:rPr>
            </w:pPr>
            <w:r>
              <w:rPr>
                <w:rFonts w:cstheme="minorHAnsi"/>
                <w:sz w:val="16"/>
                <w:szCs w:val="16"/>
              </w:rPr>
              <w:t>v žkm 286,300 po štátnu hranicu ČR/SR sa aktivovala deformácia zemného telesa vedeného na násype výšky 17m – táto bola sanovaná v r. 1999 – 2007 mikropilótami a zvislými výstužnými rebrami.</w:t>
            </w:r>
          </w:p>
          <w:p w14:paraId="3486BDC2" w14:textId="77777777" w:rsidR="00BE690A" w:rsidRPr="0067520C" w:rsidRDefault="00BE690A" w:rsidP="00931169">
            <w:pPr>
              <w:pStyle w:val="Odsekzoznamu"/>
              <w:numPr>
                <w:ilvl w:val="0"/>
                <w:numId w:val="45"/>
              </w:numPr>
              <w:suppressAutoHyphens/>
              <w:spacing w:after="0" w:line="240" w:lineRule="auto"/>
              <w:ind w:left="318" w:hanging="176"/>
              <w:contextualSpacing w:val="0"/>
              <w:jc w:val="both"/>
              <w:rPr>
                <w:rFonts w:cstheme="minorHAnsi"/>
                <w:sz w:val="16"/>
                <w:szCs w:val="16"/>
              </w:rPr>
            </w:pPr>
            <w:r>
              <w:rPr>
                <w:rFonts w:cstheme="minorHAnsi"/>
                <w:sz w:val="16"/>
                <w:szCs w:val="16"/>
              </w:rPr>
              <w:t>v úseku ŽST Krásno nad Kysucou – Čadca v žkm 274,600 – 275,000 a 276,600 – 277,500 pri koľaji č. 1 boli zaznamenané drobné zosuvy priamo neohrozujúce dopravu v miestach s priekopami z opracovaného kameňa pravdepodobne uloženými na sucho - likvidácia vzniknutých deformácií spočívala v prečistení priekopy a jej oprave resp. náhradou kameňa betónovými prefabrikátmi.</w:t>
            </w:r>
          </w:p>
        </w:tc>
      </w:tr>
      <w:tr w:rsidR="00BE690A" w:rsidRPr="00EA5527" w14:paraId="5E72466B" w14:textId="77777777" w:rsidTr="00BE690A">
        <w:tc>
          <w:tcPr>
            <w:tcW w:w="2268" w:type="dxa"/>
            <w:shd w:val="clear" w:color="auto" w:fill="FFFFFF"/>
          </w:tcPr>
          <w:p w14:paraId="699899A9" w14:textId="77777777" w:rsidR="00BE690A" w:rsidRPr="00EA5527" w:rsidRDefault="00BE690A" w:rsidP="00931169">
            <w:pPr>
              <w:rPr>
                <w:sz w:val="16"/>
                <w:szCs w:val="16"/>
              </w:rPr>
            </w:pPr>
            <w:r w:rsidRPr="00EA5527">
              <w:rPr>
                <w:sz w:val="16"/>
                <w:szCs w:val="16"/>
              </w:rPr>
              <w:t>Relevantné dopady javu</w:t>
            </w:r>
          </w:p>
        </w:tc>
        <w:tc>
          <w:tcPr>
            <w:tcW w:w="7088" w:type="dxa"/>
            <w:shd w:val="clear" w:color="auto" w:fill="auto"/>
          </w:tcPr>
          <w:p w14:paraId="1E4BD68B" w14:textId="77777777" w:rsidR="00BE690A" w:rsidRPr="00EA5527" w:rsidRDefault="00BE690A" w:rsidP="00931169">
            <w:pPr>
              <w:rPr>
                <w:sz w:val="16"/>
                <w:szCs w:val="16"/>
              </w:rPr>
            </w:pPr>
            <w:r w:rsidRPr="00EA5527">
              <w:rPr>
                <w:sz w:val="16"/>
                <w:szCs w:val="16"/>
              </w:rPr>
              <w:t>narušenie stability zemného telesa, zavalenie žel. trate a súvisiacich objektov</w:t>
            </w:r>
          </w:p>
        </w:tc>
      </w:tr>
      <w:tr w:rsidR="00BE690A" w:rsidRPr="00C92614" w14:paraId="611802AE" w14:textId="77777777" w:rsidTr="00BE690A">
        <w:tc>
          <w:tcPr>
            <w:tcW w:w="2268" w:type="dxa"/>
            <w:shd w:val="clear" w:color="auto" w:fill="FFFFFF"/>
          </w:tcPr>
          <w:p w14:paraId="6104725A"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02A3CDBA" w14:textId="77777777" w:rsidR="00BE690A" w:rsidRPr="00C92614" w:rsidRDefault="00BE690A" w:rsidP="00931169">
            <w:pPr>
              <w:rPr>
                <w:color w:val="FF0000"/>
                <w:sz w:val="16"/>
                <w:szCs w:val="16"/>
              </w:rPr>
            </w:pPr>
            <w:r w:rsidRPr="00C92614">
              <w:rPr>
                <w:sz w:val="16"/>
                <w:szCs w:val="16"/>
              </w:rPr>
              <w:t xml:space="preserve">Vzhľadom na očakávaný vývoj klimatických charakteristík na Slovensku, ktorý sleduje nárast intenzívnych a prívalových dažďov, možno pri nepriaznivom horninovom podloží a svahoch s vyššími sklonmi očakávať častejší výskyt zosuvov. </w:t>
            </w:r>
          </w:p>
        </w:tc>
      </w:tr>
      <w:tr w:rsidR="00BE690A" w:rsidRPr="00C92614" w14:paraId="603EB898" w14:textId="77777777" w:rsidTr="00BE690A">
        <w:trPr>
          <w:trHeight w:val="252"/>
        </w:trPr>
        <w:tc>
          <w:tcPr>
            <w:tcW w:w="2268" w:type="dxa"/>
            <w:vMerge w:val="restart"/>
            <w:shd w:val="clear" w:color="auto" w:fill="FFFFFF"/>
          </w:tcPr>
          <w:p w14:paraId="712BAA32"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332D40F8" w14:textId="77777777" w:rsidR="00BE690A" w:rsidRDefault="00BE690A" w:rsidP="00931169">
            <w:pPr>
              <w:rPr>
                <w:sz w:val="16"/>
                <w:szCs w:val="16"/>
              </w:rPr>
            </w:pPr>
            <w:r w:rsidRPr="00AB0A1A">
              <w:rPr>
                <w:sz w:val="16"/>
                <w:szCs w:val="16"/>
              </w:rPr>
              <w:t xml:space="preserve">Klimatický jav pôsobí na žel. infraštruktúru v celom riešenom úseku žel. trate v súčasnom aj v navrhovanom trasovaní, keďže celá oblasť je vzhľadom na geologické podložie, morfológiu terénu a </w:t>
            </w:r>
            <w:r w:rsidRPr="005172E3">
              <w:rPr>
                <w:sz w:val="16"/>
                <w:szCs w:val="16"/>
              </w:rPr>
              <w:t xml:space="preserve">klimatické pomery extrémne náchylná na svahové deformácie. </w:t>
            </w:r>
          </w:p>
          <w:p w14:paraId="6A2226DC" w14:textId="77777777" w:rsidR="00BE690A" w:rsidRDefault="00BE690A" w:rsidP="00931169">
            <w:pPr>
              <w:rPr>
                <w:sz w:val="16"/>
                <w:szCs w:val="16"/>
              </w:rPr>
            </w:pPr>
            <w:r w:rsidRPr="004E65BB">
              <w:rPr>
                <w:b/>
                <w:sz w:val="16"/>
                <w:szCs w:val="16"/>
              </w:rPr>
              <w:lastRenderedPageBreak/>
              <w:t>Najviac exponovanými úsekmi žel. tr</w:t>
            </w:r>
            <w:r>
              <w:rPr>
                <w:b/>
                <w:sz w:val="16"/>
                <w:szCs w:val="16"/>
              </w:rPr>
              <w:t>ate s evidovanými potenciálnymi aj aktívnymi zosuvmi sú úsek Krásno nad Kysucou – Čadca a úsek Svrčinovec – št. hranica SR/ČR.</w:t>
            </w:r>
            <w:r>
              <w:rPr>
                <w:sz w:val="16"/>
                <w:szCs w:val="16"/>
              </w:rPr>
              <w:t xml:space="preserve"> V prvom prípade projekt uvažuje preklenúť toto vysoko citlivé územie tunelmi, v III. etape projekt zahŕňa aj sanáciu aktívnych zosuvov nachádzajúcich sa v blízkosti žel. trate.</w:t>
            </w:r>
          </w:p>
          <w:p w14:paraId="3B39ABAD" w14:textId="77777777" w:rsidR="00BE690A" w:rsidRPr="000E46F6" w:rsidRDefault="00BE690A" w:rsidP="00931169">
            <w:pPr>
              <w:rPr>
                <w:sz w:val="16"/>
                <w:szCs w:val="16"/>
              </w:rPr>
            </w:pPr>
            <w:r>
              <w:rPr>
                <w:sz w:val="16"/>
                <w:szCs w:val="16"/>
              </w:rPr>
              <w:t>Rizikovým je tiež vznik lokálnych zosuvov vplyvom vodnej alebo veternej erózie v dôsledku pôsobenia intenzívnych zrážok alebo silného vetra na vysoké zárezové resp. násypové svahy resp. potenciálny vznik lavín dopadom významných snehových zrážok na strmé zárezové alebo násypové svahy.</w:t>
            </w:r>
          </w:p>
          <w:p w14:paraId="2E7BD8F3" w14:textId="77777777" w:rsidR="00BE690A" w:rsidRPr="00815AEF" w:rsidRDefault="00BE690A" w:rsidP="00931169">
            <w:pPr>
              <w:rPr>
                <w:sz w:val="16"/>
                <w:szCs w:val="16"/>
              </w:rPr>
            </w:pPr>
            <w:r>
              <w:rPr>
                <w:sz w:val="16"/>
                <w:szCs w:val="16"/>
              </w:rPr>
              <w:t>Vzhľadom na očakávaný vývoj klimatických charakteristík a častejší výskyt pôsobenia silných vetrov a dažďov, ktoré napomáhajú zníženiu stability svahov a aktivizujú vznik svahových deformácií je riziko vzniku zosuvov v budúcnosti vyššie v porovnaní so súčasným stavom. Stúpa tak tiež riziko vzniku deformácií žel. trate situovanej v predpolí takýchto svahov príp. riziko priameho zavalenia trate a jej súčastí.</w:t>
            </w:r>
          </w:p>
        </w:tc>
      </w:tr>
      <w:tr w:rsidR="00BE690A" w:rsidRPr="00C92614" w14:paraId="14159EA9" w14:textId="77777777" w:rsidTr="00BE690A">
        <w:tc>
          <w:tcPr>
            <w:tcW w:w="2268" w:type="dxa"/>
            <w:vMerge/>
            <w:shd w:val="clear" w:color="auto" w:fill="FFFFFF"/>
          </w:tcPr>
          <w:p w14:paraId="613C82A6" w14:textId="77777777" w:rsidR="00BE690A" w:rsidRPr="00C92614" w:rsidRDefault="00BE690A" w:rsidP="00931169">
            <w:pPr>
              <w:rPr>
                <w:sz w:val="16"/>
                <w:szCs w:val="16"/>
              </w:rPr>
            </w:pPr>
          </w:p>
        </w:tc>
        <w:tc>
          <w:tcPr>
            <w:tcW w:w="7088" w:type="dxa"/>
            <w:shd w:val="clear" w:color="auto" w:fill="FFA48F"/>
          </w:tcPr>
          <w:p w14:paraId="696CF591" w14:textId="77777777" w:rsidR="00BE690A" w:rsidRPr="0067520C" w:rsidRDefault="00BE690A" w:rsidP="00931169">
            <w:pPr>
              <w:rPr>
                <w:sz w:val="16"/>
                <w:szCs w:val="16"/>
              </w:rPr>
            </w:pPr>
            <w:r w:rsidRPr="0067520C">
              <w:rPr>
                <w:sz w:val="16"/>
                <w:szCs w:val="16"/>
              </w:rPr>
              <w:t>Miera pravdepodobnosti ovplyvnenia žel. infraštruktúry: 3</w:t>
            </w:r>
          </w:p>
        </w:tc>
      </w:tr>
      <w:tr w:rsidR="00BE690A" w:rsidRPr="00C92614" w14:paraId="15927FEB" w14:textId="77777777" w:rsidTr="00BE690A">
        <w:tc>
          <w:tcPr>
            <w:tcW w:w="2268" w:type="dxa"/>
            <w:vMerge/>
            <w:shd w:val="clear" w:color="auto" w:fill="FFFFFF"/>
          </w:tcPr>
          <w:p w14:paraId="1C746ADA" w14:textId="77777777" w:rsidR="00BE690A" w:rsidRPr="00C92614" w:rsidRDefault="00BE690A" w:rsidP="00931169">
            <w:pPr>
              <w:rPr>
                <w:sz w:val="16"/>
                <w:szCs w:val="16"/>
              </w:rPr>
            </w:pPr>
          </w:p>
        </w:tc>
        <w:tc>
          <w:tcPr>
            <w:tcW w:w="7088" w:type="dxa"/>
            <w:shd w:val="clear" w:color="auto" w:fill="FFFF97"/>
          </w:tcPr>
          <w:p w14:paraId="3933DC2D" w14:textId="77777777" w:rsidR="00BE690A" w:rsidRPr="0067520C" w:rsidRDefault="00BE690A" w:rsidP="00931169">
            <w:pPr>
              <w:rPr>
                <w:sz w:val="16"/>
                <w:szCs w:val="16"/>
              </w:rPr>
            </w:pPr>
            <w:r w:rsidRPr="0067520C">
              <w:rPr>
                <w:sz w:val="16"/>
                <w:szCs w:val="16"/>
              </w:rPr>
              <w:t>Miera pravdepodobnosti ovplyvnenia žel. prevádzky: 2</w:t>
            </w:r>
          </w:p>
        </w:tc>
      </w:tr>
      <w:tr w:rsidR="00BE690A" w:rsidRPr="00C92614" w14:paraId="30E174FB" w14:textId="77777777" w:rsidTr="00BE690A">
        <w:tc>
          <w:tcPr>
            <w:tcW w:w="2268" w:type="dxa"/>
            <w:shd w:val="clear" w:color="auto" w:fill="FFFFFF"/>
            <w:vAlign w:val="center"/>
          </w:tcPr>
          <w:p w14:paraId="30421E7B"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739832CA" w14:textId="77777777" w:rsidR="00BE690A" w:rsidRPr="00C92614" w:rsidRDefault="00BE690A" w:rsidP="00931169">
            <w:pPr>
              <w:rPr>
                <w:b/>
                <w:sz w:val="16"/>
                <w:szCs w:val="16"/>
              </w:rPr>
            </w:pPr>
            <w:r w:rsidRPr="00C92614">
              <w:rPr>
                <w:b/>
                <w:sz w:val="16"/>
                <w:szCs w:val="16"/>
              </w:rPr>
              <w:t>Sucho</w:t>
            </w:r>
          </w:p>
        </w:tc>
      </w:tr>
      <w:tr w:rsidR="00BE690A" w:rsidRPr="00C92614" w14:paraId="03AB1BED" w14:textId="77777777" w:rsidTr="00BE690A">
        <w:tc>
          <w:tcPr>
            <w:tcW w:w="2268" w:type="dxa"/>
            <w:shd w:val="clear" w:color="auto" w:fill="FFFFFF"/>
          </w:tcPr>
          <w:p w14:paraId="545195ED"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58F18FA5" w14:textId="77777777" w:rsidR="00BE690A" w:rsidRPr="00AC7CD4" w:rsidRDefault="00BE690A" w:rsidP="00931169">
            <w:pPr>
              <w:rPr>
                <w:sz w:val="16"/>
                <w:szCs w:val="16"/>
              </w:rPr>
            </w:pPr>
            <w:r w:rsidRPr="00AC7CD4">
              <w:rPr>
                <w:sz w:val="16"/>
                <w:szCs w:val="16"/>
              </w:rPr>
              <w:t xml:space="preserve">Sucho závisí od spadnutých zrážok, evapotranspirácie, pôdnych charakteristík a využiteľnej vodnej kapacity územia. Nízke priemerné teploty, krátke trvanie slnečného svitu a vysoký úhrn zrážok spolu s prevládajúcim prúdením vetra zapríčiňujú, že oblasť Kysúc nepatrí k oblastiam Slovenska s častým výskytom období sucha. </w:t>
            </w:r>
          </w:p>
          <w:p w14:paraId="46209205" w14:textId="77777777" w:rsidR="00BE690A" w:rsidRPr="00AC7CD4" w:rsidRDefault="00BE690A" w:rsidP="00931169">
            <w:pPr>
              <w:rPr>
                <w:sz w:val="16"/>
                <w:szCs w:val="16"/>
              </w:rPr>
            </w:pPr>
            <w:r w:rsidRPr="00AC7CD4">
              <w:rPr>
                <w:sz w:val="16"/>
                <w:szCs w:val="16"/>
              </w:rPr>
              <w:t xml:space="preserve">Priemerné ročné úhrny zrážok v dotknutom území sa v období rokov 1981 – 2010 pohybovali v rozmedzí 927 - 980 mm, výskyt zrážok narastá smerom k vyšším polohám. </w:t>
            </w:r>
          </w:p>
          <w:p w14:paraId="6A8EA4ED" w14:textId="77777777" w:rsidR="00BE690A" w:rsidRPr="00C92614" w:rsidRDefault="00BE690A" w:rsidP="00931169">
            <w:pPr>
              <w:rPr>
                <w:color w:val="FF0000"/>
                <w:sz w:val="16"/>
                <w:szCs w:val="16"/>
              </w:rPr>
            </w:pPr>
            <w:r>
              <w:rPr>
                <w:sz w:val="16"/>
                <w:szCs w:val="16"/>
              </w:rPr>
              <w:t>P</w:t>
            </w:r>
            <w:r w:rsidRPr="003A0AC2">
              <w:rPr>
                <w:sz w:val="16"/>
                <w:szCs w:val="16"/>
              </w:rPr>
              <w:t xml:space="preserve">riemerný ročný úhrn potenciálnej evapotranspirácie za obdobie rokov 1961 – 2010 dosiahol </w:t>
            </w:r>
            <w:r>
              <w:rPr>
                <w:sz w:val="16"/>
                <w:szCs w:val="16"/>
              </w:rPr>
              <w:t xml:space="preserve">512 - 530 mm (za obdobie rokov 1951 – 1980 bol 498 mm). Hodnoty tohto ukazovateľa v ročnom priemere kolíšu, nízke hodnoty sú zaznamenané v januári a naopak, najvyššie v letných mesiacoch. </w:t>
            </w:r>
          </w:p>
          <w:p w14:paraId="7D5A1380" w14:textId="77777777" w:rsidR="00BE690A" w:rsidRPr="00C92614" w:rsidRDefault="00BE690A" w:rsidP="00931169">
            <w:pPr>
              <w:rPr>
                <w:color w:val="FF0000"/>
                <w:sz w:val="16"/>
                <w:szCs w:val="16"/>
              </w:rPr>
            </w:pPr>
            <w:r w:rsidRPr="006E264E">
              <w:rPr>
                <w:sz w:val="16"/>
                <w:szCs w:val="16"/>
              </w:rPr>
              <w:t>V riešenom území dosahuje priemerná relatívna vlhkosť vzduchu 79</w:t>
            </w:r>
            <w:r>
              <w:rPr>
                <w:sz w:val="16"/>
                <w:szCs w:val="16"/>
              </w:rPr>
              <w:t xml:space="preserve"> % (obdobie rokov 1961 – 2010).</w:t>
            </w:r>
            <w:r w:rsidRPr="00C92614">
              <w:rPr>
                <w:color w:val="FF0000"/>
                <w:sz w:val="16"/>
                <w:szCs w:val="16"/>
              </w:rPr>
              <w:t xml:space="preserve"> </w:t>
            </w:r>
          </w:p>
        </w:tc>
      </w:tr>
      <w:tr w:rsidR="00BE690A" w:rsidRPr="00AB0A1A" w14:paraId="53201CBA" w14:textId="77777777" w:rsidTr="00BE690A">
        <w:tc>
          <w:tcPr>
            <w:tcW w:w="2268" w:type="dxa"/>
            <w:shd w:val="clear" w:color="auto" w:fill="FFFFFF"/>
          </w:tcPr>
          <w:p w14:paraId="565B017A" w14:textId="77777777" w:rsidR="00BE690A" w:rsidRPr="00AB0A1A" w:rsidRDefault="00BE690A" w:rsidP="00931169">
            <w:pPr>
              <w:rPr>
                <w:sz w:val="16"/>
                <w:szCs w:val="16"/>
              </w:rPr>
            </w:pPr>
            <w:r w:rsidRPr="00AB0A1A">
              <w:rPr>
                <w:sz w:val="16"/>
                <w:szCs w:val="16"/>
              </w:rPr>
              <w:t>Doterajšie frekvencie a intenzity javu</w:t>
            </w:r>
          </w:p>
        </w:tc>
        <w:tc>
          <w:tcPr>
            <w:tcW w:w="7088" w:type="dxa"/>
            <w:shd w:val="clear" w:color="auto" w:fill="auto"/>
          </w:tcPr>
          <w:p w14:paraId="7C548FDD" w14:textId="77777777" w:rsidR="00BE690A" w:rsidRPr="00AB0A1A" w:rsidRDefault="00BE690A" w:rsidP="00931169">
            <w:pPr>
              <w:rPr>
                <w:sz w:val="16"/>
                <w:szCs w:val="16"/>
              </w:rPr>
            </w:pPr>
            <w:r w:rsidRPr="00AB0A1A">
              <w:rPr>
                <w:sz w:val="16"/>
                <w:szCs w:val="16"/>
              </w:rPr>
              <w:t>Podľa evidencie ŽSR nebol v dotknutom úseku žel .trate zaznamenaný žiaden požiar v blízkosti žel. trate ani nebolo evidované žiadne poškodenie žel. infraštruktúry alebo porucha súvisiacich zariadení vyvolaný suchom.</w:t>
            </w:r>
          </w:p>
        </w:tc>
      </w:tr>
      <w:tr w:rsidR="00BE690A" w:rsidRPr="00AB0A1A" w14:paraId="267BA359" w14:textId="77777777" w:rsidTr="00BE690A">
        <w:tc>
          <w:tcPr>
            <w:tcW w:w="2268" w:type="dxa"/>
            <w:shd w:val="clear" w:color="auto" w:fill="FFFFFF"/>
          </w:tcPr>
          <w:p w14:paraId="11FAE6C3" w14:textId="77777777" w:rsidR="00BE690A" w:rsidRPr="00AB0A1A" w:rsidRDefault="00BE690A" w:rsidP="00931169">
            <w:pPr>
              <w:rPr>
                <w:sz w:val="16"/>
                <w:szCs w:val="16"/>
              </w:rPr>
            </w:pPr>
            <w:r w:rsidRPr="00AB0A1A">
              <w:rPr>
                <w:sz w:val="16"/>
                <w:szCs w:val="16"/>
              </w:rPr>
              <w:t>Relevantné dopady javu</w:t>
            </w:r>
          </w:p>
        </w:tc>
        <w:tc>
          <w:tcPr>
            <w:tcW w:w="7088" w:type="dxa"/>
            <w:shd w:val="clear" w:color="auto" w:fill="auto"/>
          </w:tcPr>
          <w:p w14:paraId="61737C7D" w14:textId="77777777" w:rsidR="00BE690A" w:rsidRPr="00AB0A1A" w:rsidRDefault="00BE690A" w:rsidP="00931169">
            <w:pPr>
              <w:rPr>
                <w:sz w:val="16"/>
                <w:szCs w:val="16"/>
              </w:rPr>
            </w:pPr>
            <w:r w:rsidRPr="00AB0A1A">
              <w:rPr>
                <w:sz w:val="16"/>
                <w:szCs w:val="16"/>
              </w:rPr>
              <w:t>pokles hladín podzemnej vody</w:t>
            </w:r>
          </w:p>
        </w:tc>
      </w:tr>
      <w:tr w:rsidR="00BE690A" w:rsidRPr="00C92614" w14:paraId="70AA279A" w14:textId="77777777" w:rsidTr="00BE690A">
        <w:tc>
          <w:tcPr>
            <w:tcW w:w="2268" w:type="dxa"/>
            <w:shd w:val="clear" w:color="auto" w:fill="FFFFFF"/>
          </w:tcPr>
          <w:p w14:paraId="7036624C"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7165FD0F" w14:textId="77777777" w:rsidR="00BE690A" w:rsidRPr="00C92614" w:rsidRDefault="00BE690A" w:rsidP="00931169">
            <w:pPr>
              <w:rPr>
                <w:sz w:val="16"/>
                <w:szCs w:val="16"/>
              </w:rPr>
            </w:pPr>
            <w:r w:rsidRPr="00C92614">
              <w:rPr>
                <w:sz w:val="16"/>
                <w:szCs w:val="16"/>
              </w:rPr>
              <w:t>V budúcnosti sa očakáva postupný rast priemerných ročných teplôt vzduchu</w:t>
            </w:r>
            <w:r>
              <w:rPr>
                <w:sz w:val="16"/>
                <w:szCs w:val="16"/>
              </w:rPr>
              <w:t xml:space="preserve"> a </w:t>
            </w:r>
            <w:r w:rsidRPr="00C92614">
              <w:rPr>
                <w:sz w:val="16"/>
                <w:szCs w:val="16"/>
              </w:rPr>
              <w:t>pokles úhrnov zrážok v letných mesiacoch</w:t>
            </w:r>
            <w:r>
              <w:rPr>
                <w:sz w:val="16"/>
                <w:szCs w:val="16"/>
              </w:rPr>
              <w:t xml:space="preserve">, čím sa následne budú </w:t>
            </w:r>
            <w:r w:rsidRPr="00C92614">
              <w:rPr>
                <w:sz w:val="16"/>
                <w:szCs w:val="16"/>
              </w:rPr>
              <w:t>častejš</w:t>
            </w:r>
            <w:r>
              <w:rPr>
                <w:sz w:val="16"/>
                <w:szCs w:val="16"/>
              </w:rPr>
              <w:t>ie vyskytovať obdobia sucha a ich trvanie sa bude predlžovať.</w:t>
            </w:r>
            <w:r w:rsidRPr="00C92614">
              <w:rPr>
                <w:sz w:val="16"/>
                <w:szCs w:val="16"/>
              </w:rPr>
              <w:t xml:space="preserve"> </w:t>
            </w:r>
          </w:p>
        </w:tc>
      </w:tr>
      <w:tr w:rsidR="00BE690A" w:rsidRPr="00C92614" w14:paraId="36C1A2F7" w14:textId="77777777" w:rsidTr="00BE690A">
        <w:trPr>
          <w:trHeight w:val="252"/>
        </w:trPr>
        <w:tc>
          <w:tcPr>
            <w:tcW w:w="2268" w:type="dxa"/>
            <w:vMerge w:val="restart"/>
            <w:shd w:val="clear" w:color="auto" w:fill="FFFFFF"/>
          </w:tcPr>
          <w:p w14:paraId="4ABE223A" w14:textId="77777777" w:rsidR="00BE690A" w:rsidRPr="00C92614" w:rsidRDefault="00BE690A" w:rsidP="00931169">
            <w:pPr>
              <w:rPr>
                <w:sz w:val="16"/>
                <w:szCs w:val="16"/>
              </w:rPr>
            </w:pPr>
            <w:r w:rsidRPr="00C92614">
              <w:rPr>
                <w:sz w:val="16"/>
                <w:szCs w:val="16"/>
              </w:rPr>
              <w:t>Stanovenie miery expozície žel. infraštruktúry a žel. prevádzky</w:t>
            </w:r>
          </w:p>
        </w:tc>
        <w:tc>
          <w:tcPr>
            <w:tcW w:w="7088" w:type="dxa"/>
            <w:shd w:val="clear" w:color="auto" w:fill="auto"/>
          </w:tcPr>
          <w:p w14:paraId="7B33D878" w14:textId="77777777" w:rsidR="00BE690A" w:rsidRPr="000E574A" w:rsidRDefault="00BE690A" w:rsidP="00931169">
            <w:pPr>
              <w:rPr>
                <w:sz w:val="16"/>
                <w:szCs w:val="16"/>
              </w:rPr>
            </w:pPr>
            <w:r w:rsidRPr="00AB0A1A">
              <w:rPr>
                <w:sz w:val="16"/>
                <w:szCs w:val="16"/>
              </w:rPr>
              <w:t xml:space="preserve">Klimatický jav pôsobí na dotknutú žel. infraštruktúru na celom riešenom území vystavenú poveternostným podmienkam. Z hľadiska rizika vzniku požiarov sú exponovanými úseky žel. trate pozdĺž ktorých sa </w:t>
            </w:r>
            <w:r w:rsidRPr="000E574A">
              <w:rPr>
                <w:sz w:val="16"/>
                <w:szCs w:val="16"/>
              </w:rPr>
              <w:t xml:space="preserve">nachádzajú súvislé porasty vegetácie. </w:t>
            </w:r>
          </w:p>
          <w:p w14:paraId="0F0465CA" w14:textId="77777777" w:rsidR="00BE690A" w:rsidRPr="00C92614" w:rsidRDefault="00BE690A" w:rsidP="00931169">
            <w:pPr>
              <w:rPr>
                <w:color w:val="FF0000"/>
                <w:sz w:val="16"/>
                <w:szCs w:val="16"/>
              </w:rPr>
            </w:pPr>
            <w:r w:rsidRPr="000E574A">
              <w:rPr>
                <w:sz w:val="16"/>
                <w:szCs w:val="16"/>
              </w:rPr>
              <w:t>Riešené územie prechádza klimatickou oblasťou s vysokými hodnotami ročných úhrnov zrážok, aj napriek očakávanému</w:t>
            </w:r>
            <w:r>
              <w:rPr>
                <w:sz w:val="16"/>
                <w:szCs w:val="16"/>
              </w:rPr>
              <w:t xml:space="preserve"> miernemu</w:t>
            </w:r>
            <w:r w:rsidRPr="000E574A">
              <w:rPr>
                <w:sz w:val="16"/>
                <w:szCs w:val="16"/>
              </w:rPr>
              <w:t xml:space="preserve"> poklesu zrážok a nárastu potenciálnej evapotranspirácie </w:t>
            </w:r>
            <w:r w:rsidRPr="000E46F6">
              <w:rPr>
                <w:b/>
                <w:sz w:val="16"/>
                <w:szCs w:val="16"/>
              </w:rPr>
              <w:t>nebude výskyt sucha v nasledujúcom období významným negatívnym činiteľom.</w:t>
            </w:r>
            <w:r>
              <w:rPr>
                <w:sz w:val="16"/>
                <w:szCs w:val="16"/>
              </w:rPr>
              <w:t xml:space="preserve"> M</w:t>
            </w:r>
            <w:r w:rsidRPr="000E574A">
              <w:rPr>
                <w:sz w:val="16"/>
                <w:szCs w:val="16"/>
              </w:rPr>
              <w:t>iera pravdepodobnosti ovplyvnenia žel. infraštruktúry a žel. prevádzky</w:t>
            </w:r>
            <w:r>
              <w:rPr>
                <w:sz w:val="16"/>
                <w:szCs w:val="16"/>
              </w:rPr>
              <w:t xml:space="preserve"> týmto faktorom </w:t>
            </w:r>
            <w:r w:rsidRPr="000E574A">
              <w:rPr>
                <w:sz w:val="16"/>
                <w:szCs w:val="16"/>
              </w:rPr>
              <w:t>bude</w:t>
            </w:r>
            <w:r>
              <w:rPr>
                <w:sz w:val="16"/>
                <w:szCs w:val="16"/>
              </w:rPr>
              <w:t xml:space="preserve"> preto</w:t>
            </w:r>
            <w:r w:rsidRPr="000E574A">
              <w:rPr>
                <w:sz w:val="16"/>
                <w:szCs w:val="16"/>
              </w:rPr>
              <w:t xml:space="preserve"> minimálna. </w:t>
            </w:r>
          </w:p>
        </w:tc>
      </w:tr>
      <w:tr w:rsidR="00BE690A" w:rsidRPr="00C92614" w14:paraId="55909A3E" w14:textId="77777777" w:rsidTr="00BE690A">
        <w:tc>
          <w:tcPr>
            <w:tcW w:w="2268" w:type="dxa"/>
            <w:vMerge/>
            <w:shd w:val="clear" w:color="auto" w:fill="FFFFFF"/>
          </w:tcPr>
          <w:p w14:paraId="3D95BA7E" w14:textId="77777777" w:rsidR="00BE690A" w:rsidRPr="00C92614" w:rsidRDefault="00BE690A" w:rsidP="00931169">
            <w:pPr>
              <w:rPr>
                <w:sz w:val="16"/>
                <w:szCs w:val="16"/>
              </w:rPr>
            </w:pPr>
          </w:p>
        </w:tc>
        <w:tc>
          <w:tcPr>
            <w:tcW w:w="7088" w:type="dxa"/>
            <w:shd w:val="clear" w:color="auto" w:fill="D6E3BC"/>
          </w:tcPr>
          <w:p w14:paraId="342048AB" w14:textId="77777777" w:rsidR="00BE690A" w:rsidRPr="000E574A" w:rsidRDefault="00BE690A" w:rsidP="00931169">
            <w:pPr>
              <w:rPr>
                <w:sz w:val="16"/>
                <w:szCs w:val="16"/>
              </w:rPr>
            </w:pPr>
            <w:r w:rsidRPr="000E574A">
              <w:rPr>
                <w:sz w:val="16"/>
                <w:szCs w:val="16"/>
              </w:rPr>
              <w:t>Miera pravdepodobnosti ovplyvnenia žel. infraštruktúry: 1</w:t>
            </w:r>
          </w:p>
        </w:tc>
      </w:tr>
      <w:tr w:rsidR="00BE690A" w:rsidRPr="00C92614" w14:paraId="32965085" w14:textId="77777777" w:rsidTr="00BE690A">
        <w:tc>
          <w:tcPr>
            <w:tcW w:w="2268" w:type="dxa"/>
            <w:vMerge/>
            <w:shd w:val="clear" w:color="auto" w:fill="FFFFFF"/>
          </w:tcPr>
          <w:p w14:paraId="277A195D" w14:textId="77777777" w:rsidR="00BE690A" w:rsidRPr="00C92614" w:rsidRDefault="00BE690A" w:rsidP="00931169">
            <w:pPr>
              <w:rPr>
                <w:sz w:val="16"/>
                <w:szCs w:val="16"/>
              </w:rPr>
            </w:pPr>
          </w:p>
        </w:tc>
        <w:tc>
          <w:tcPr>
            <w:tcW w:w="7088" w:type="dxa"/>
            <w:shd w:val="clear" w:color="auto" w:fill="D6E3BC"/>
          </w:tcPr>
          <w:p w14:paraId="122BBA49" w14:textId="77777777" w:rsidR="00BE690A" w:rsidRPr="000E574A" w:rsidRDefault="00BE690A" w:rsidP="00931169">
            <w:pPr>
              <w:rPr>
                <w:sz w:val="16"/>
                <w:szCs w:val="16"/>
              </w:rPr>
            </w:pPr>
            <w:r w:rsidRPr="000E574A">
              <w:rPr>
                <w:sz w:val="16"/>
                <w:szCs w:val="16"/>
              </w:rPr>
              <w:t>Miera pravdepodobnosti ovplyvnenia žel. prevádzky: 1</w:t>
            </w:r>
          </w:p>
        </w:tc>
      </w:tr>
      <w:tr w:rsidR="00BE690A" w:rsidRPr="00C92614" w14:paraId="31FF695C" w14:textId="77777777" w:rsidTr="00BE690A">
        <w:tc>
          <w:tcPr>
            <w:tcW w:w="2268" w:type="dxa"/>
            <w:shd w:val="clear" w:color="auto" w:fill="FFFFFF"/>
            <w:vAlign w:val="center"/>
          </w:tcPr>
          <w:p w14:paraId="4B9BDB87" w14:textId="77777777" w:rsidR="00BE690A" w:rsidRPr="00C92614" w:rsidRDefault="00BE690A" w:rsidP="00931169">
            <w:pPr>
              <w:rPr>
                <w:b/>
                <w:sz w:val="16"/>
                <w:szCs w:val="16"/>
              </w:rPr>
            </w:pPr>
            <w:r w:rsidRPr="00C92614">
              <w:rPr>
                <w:b/>
                <w:sz w:val="16"/>
                <w:szCs w:val="16"/>
              </w:rPr>
              <w:t>Rizikový klimatický jav</w:t>
            </w:r>
          </w:p>
        </w:tc>
        <w:tc>
          <w:tcPr>
            <w:tcW w:w="7088" w:type="dxa"/>
            <w:shd w:val="clear" w:color="auto" w:fill="auto"/>
            <w:vAlign w:val="center"/>
          </w:tcPr>
          <w:p w14:paraId="3541A262" w14:textId="77777777" w:rsidR="00BE690A" w:rsidRPr="00C92614" w:rsidRDefault="00BE690A" w:rsidP="00931169">
            <w:pPr>
              <w:rPr>
                <w:b/>
                <w:sz w:val="16"/>
                <w:szCs w:val="16"/>
              </w:rPr>
            </w:pPr>
            <w:r w:rsidRPr="00C92614">
              <w:rPr>
                <w:b/>
                <w:sz w:val="16"/>
                <w:szCs w:val="16"/>
              </w:rPr>
              <w:t>Hmly</w:t>
            </w:r>
          </w:p>
        </w:tc>
      </w:tr>
      <w:tr w:rsidR="00BE690A" w:rsidRPr="00C92614" w14:paraId="532EA63A" w14:textId="77777777" w:rsidTr="00BE690A">
        <w:trPr>
          <w:trHeight w:val="1308"/>
        </w:trPr>
        <w:tc>
          <w:tcPr>
            <w:tcW w:w="2268" w:type="dxa"/>
            <w:shd w:val="clear" w:color="auto" w:fill="FFFFFF"/>
          </w:tcPr>
          <w:p w14:paraId="2E79CD82" w14:textId="77777777" w:rsidR="00BE690A" w:rsidRPr="00C92614" w:rsidRDefault="00BE690A" w:rsidP="00931169">
            <w:pPr>
              <w:rPr>
                <w:sz w:val="16"/>
                <w:szCs w:val="16"/>
              </w:rPr>
            </w:pPr>
            <w:r w:rsidRPr="00C92614">
              <w:rPr>
                <w:sz w:val="16"/>
                <w:szCs w:val="16"/>
              </w:rPr>
              <w:t>Základné charakteristiky javu</w:t>
            </w:r>
          </w:p>
        </w:tc>
        <w:tc>
          <w:tcPr>
            <w:tcW w:w="7088" w:type="dxa"/>
            <w:shd w:val="clear" w:color="auto" w:fill="auto"/>
          </w:tcPr>
          <w:p w14:paraId="11CDBAF6" w14:textId="77777777" w:rsidR="00BE690A" w:rsidRDefault="00BE690A" w:rsidP="00931169">
            <w:pPr>
              <w:rPr>
                <w:sz w:val="16"/>
                <w:szCs w:val="16"/>
              </w:rPr>
            </w:pPr>
            <w:r w:rsidRPr="00C92614">
              <w:rPr>
                <w:sz w:val="16"/>
                <w:szCs w:val="16"/>
              </w:rPr>
              <w:t xml:space="preserve">Vznik hmly je podmienený obsahom vodných pár v atmosfére resp. vysokou relatívnou vlhkosťou vzduchu, hmla vzniká pri poklese teploty vzduchu pod rosný bod </w:t>
            </w:r>
            <w:r>
              <w:rPr>
                <w:sz w:val="16"/>
                <w:szCs w:val="16"/>
              </w:rPr>
              <w:t xml:space="preserve">(ochladzovaním vzduchu od aktívneho povrchu alebo jeho presunom nad chladnejší povrch) </w:t>
            </w:r>
            <w:r w:rsidRPr="00C92614">
              <w:rPr>
                <w:sz w:val="16"/>
                <w:szCs w:val="16"/>
              </w:rPr>
              <w:t>a to najmä v jesenných a zimných mesiacoch.</w:t>
            </w:r>
          </w:p>
          <w:p w14:paraId="1C8A34D4" w14:textId="77777777" w:rsidR="00BE690A" w:rsidRPr="00B7138F" w:rsidRDefault="00BE690A" w:rsidP="00931169">
            <w:pPr>
              <w:rPr>
                <w:sz w:val="16"/>
                <w:szCs w:val="16"/>
              </w:rPr>
            </w:pPr>
            <w:r>
              <w:rPr>
                <w:sz w:val="16"/>
                <w:szCs w:val="16"/>
              </w:rPr>
              <w:t xml:space="preserve">Podľa uskutočnených meraní za obdobie rokov 1961 – </w:t>
            </w:r>
            <w:r w:rsidRPr="00B7138F">
              <w:rPr>
                <w:sz w:val="16"/>
                <w:szCs w:val="16"/>
              </w:rPr>
              <w:t>2010 sa priemerný počet jasných dní v území pohybuje na úrovni 41 dní ročne</w:t>
            </w:r>
            <w:r>
              <w:rPr>
                <w:sz w:val="16"/>
                <w:szCs w:val="16"/>
              </w:rPr>
              <w:t xml:space="preserve"> (s oblačnosťou menšou ako 20%)</w:t>
            </w:r>
            <w:r w:rsidRPr="00B7138F">
              <w:rPr>
                <w:sz w:val="16"/>
                <w:szCs w:val="16"/>
              </w:rPr>
              <w:t xml:space="preserve"> a počet zamračených dní na úrovni 143 dní ročne</w:t>
            </w:r>
            <w:r>
              <w:rPr>
                <w:sz w:val="16"/>
                <w:szCs w:val="16"/>
              </w:rPr>
              <w:t xml:space="preserve"> (s oblačnosťou vyššou ako 80%)</w:t>
            </w:r>
            <w:r w:rsidRPr="00B7138F">
              <w:rPr>
                <w:sz w:val="16"/>
                <w:szCs w:val="16"/>
              </w:rPr>
              <w:t xml:space="preserve">. Priemerná ročná oblačnosť v území </w:t>
            </w:r>
            <w:r>
              <w:rPr>
                <w:sz w:val="16"/>
                <w:szCs w:val="16"/>
              </w:rPr>
              <w:t>dosahuje 64 %, najvyššia oblačnosť je v zimnom období, najmenšia naopak koncom leta a začiatkom jesene.</w:t>
            </w:r>
          </w:p>
          <w:p w14:paraId="7D196B19" w14:textId="77777777" w:rsidR="00BE690A" w:rsidRPr="00B7138F" w:rsidRDefault="00BE690A" w:rsidP="00931169">
            <w:pPr>
              <w:rPr>
                <w:sz w:val="16"/>
                <w:szCs w:val="16"/>
              </w:rPr>
            </w:pPr>
            <w:r w:rsidRPr="00B7138F">
              <w:rPr>
                <w:sz w:val="16"/>
                <w:szCs w:val="16"/>
              </w:rPr>
              <w:t xml:space="preserve">Riešené </w:t>
            </w:r>
            <w:r w:rsidRPr="005976D2">
              <w:rPr>
                <w:sz w:val="16"/>
                <w:szCs w:val="16"/>
              </w:rPr>
              <w:t>územie patrí k oblastiam so zvýšeným výskytom hmiel,  v území sa vyskytuje priemerne 60 – 85 dní s hmlou pri dohľadnosti menšej ako 1 m.</w:t>
            </w:r>
            <w:r>
              <w:rPr>
                <w:sz w:val="16"/>
                <w:szCs w:val="16"/>
              </w:rPr>
              <w:t xml:space="preserve"> </w:t>
            </w:r>
          </w:p>
        </w:tc>
      </w:tr>
      <w:tr w:rsidR="00BE690A" w:rsidRPr="00C92614" w14:paraId="0FC9FA6A" w14:textId="77777777" w:rsidTr="00BE690A">
        <w:tc>
          <w:tcPr>
            <w:tcW w:w="2268" w:type="dxa"/>
            <w:shd w:val="clear" w:color="auto" w:fill="FFFFFF"/>
          </w:tcPr>
          <w:p w14:paraId="3FABDA8F" w14:textId="77777777" w:rsidR="00BE690A" w:rsidRPr="00C92614" w:rsidRDefault="00BE690A" w:rsidP="00931169">
            <w:pPr>
              <w:rPr>
                <w:sz w:val="16"/>
                <w:szCs w:val="16"/>
              </w:rPr>
            </w:pPr>
            <w:r w:rsidRPr="00C92614">
              <w:rPr>
                <w:sz w:val="16"/>
                <w:szCs w:val="16"/>
              </w:rPr>
              <w:t>Doterajšie frekvencie a intenzity javu</w:t>
            </w:r>
          </w:p>
        </w:tc>
        <w:tc>
          <w:tcPr>
            <w:tcW w:w="7088" w:type="dxa"/>
            <w:shd w:val="clear" w:color="auto" w:fill="auto"/>
            <w:vAlign w:val="center"/>
          </w:tcPr>
          <w:p w14:paraId="3EEC7179" w14:textId="77777777" w:rsidR="00BE690A" w:rsidRPr="00C92614" w:rsidRDefault="00BE690A" w:rsidP="00931169">
            <w:pPr>
              <w:rPr>
                <w:color w:val="FF0000"/>
                <w:sz w:val="16"/>
                <w:szCs w:val="16"/>
              </w:rPr>
            </w:pPr>
            <w:r w:rsidRPr="000E574A">
              <w:rPr>
                <w:sz w:val="16"/>
                <w:szCs w:val="16"/>
              </w:rPr>
              <w:t>V riešenom území je častý výskyt hmly a inverzného počasia. Hmly sú časte v mesiacoch september a október a najnižší je ich výskyt v januári.</w:t>
            </w:r>
          </w:p>
        </w:tc>
      </w:tr>
      <w:tr w:rsidR="00BE690A" w:rsidRPr="00AC7CD4" w14:paraId="52E6A0A7" w14:textId="77777777" w:rsidTr="00BE690A">
        <w:tc>
          <w:tcPr>
            <w:tcW w:w="2268" w:type="dxa"/>
            <w:shd w:val="clear" w:color="auto" w:fill="FFFFFF"/>
          </w:tcPr>
          <w:p w14:paraId="5298649C" w14:textId="77777777" w:rsidR="00BE690A" w:rsidRPr="00AC7CD4" w:rsidRDefault="00BE690A" w:rsidP="00931169">
            <w:pPr>
              <w:rPr>
                <w:sz w:val="16"/>
                <w:szCs w:val="16"/>
              </w:rPr>
            </w:pPr>
            <w:r w:rsidRPr="00AC7CD4">
              <w:rPr>
                <w:sz w:val="16"/>
                <w:szCs w:val="16"/>
              </w:rPr>
              <w:t>Relevantné dopady javu</w:t>
            </w:r>
          </w:p>
        </w:tc>
        <w:tc>
          <w:tcPr>
            <w:tcW w:w="7088" w:type="dxa"/>
            <w:shd w:val="clear" w:color="auto" w:fill="auto"/>
          </w:tcPr>
          <w:p w14:paraId="3B58A60A" w14:textId="77777777" w:rsidR="00BE690A" w:rsidRPr="00AC7CD4" w:rsidRDefault="00BE690A" w:rsidP="00931169">
            <w:pPr>
              <w:rPr>
                <w:sz w:val="16"/>
                <w:szCs w:val="16"/>
              </w:rPr>
            </w:pPr>
            <w:r w:rsidRPr="00AC7CD4">
              <w:rPr>
                <w:sz w:val="16"/>
                <w:szCs w:val="16"/>
              </w:rPr>
              <w:t>zníženie dohľadnosti</w:t>
            </w:r>
            <w:r>
              <w:rPr>
                <w:sz w:val="16"/>
                <w:szCs w:val="16"/>
              </w:rPr>
              <w:t xml:space="preserve">  </w:t>
            </w:r>
          </w:p>
        </w:tc>
      </w:tr>
      <w:tr w:rsidR="00BE690A" w:rsidRPr="00C92614" w14:paraId="301F86AA" w14:textId="77777777" w:rsidTr="00BE690A">
        <w:tc>
          <w:tcPr>
            <w:tcW w:w="2268" w:type="dxa"/>
            <w:shd w:val="clear" w:color="auto" w:fill="FFFFFF"/>
          </w:tcPr>
          <w:p w14:paraId="74AE0A65" w14:textId="77777777" w:rsidR="00BE690A" w:rsidRPr="00C92614" w:rsidRDefault="00BE690A" w:rsidP="00931169">
            <w:pPr>
              <w:rPr>
                <w:sz w:val="16"/>
                <w:szCs w:val="16"/>
              </w:rPr>
            </w:pPr>
            <w:r w:rsidRPr="00C92614">
              <w:rPr>
                <w:sz w:val="16"/>
                <w:szCs w:val="16"/>
              </w:rPr>
              <w:t>Očakávaný vývoj frekvencie a intenzity javu</w:t>
            </w:r>
          </w:p>
        </w:tc>
        <w:tc>
          <w:tcPr>
            <w:tcW w:w="7088" w:type="dxa"/>
            <w:shd w:val="clear" w:color="auto" w:fill="auto"/>
          </w:tcPr>
          <w:p w14:paraId="53D1BBD4" w14:textId="77777777" w:rsidR="00BE690A" w:rsidRPr="005172E3" w:rsidRDefault="00BE690A" w:rsidP="00931169">
            <w:pPr>
              <w:rPr>
                <w:sz w:val="16"/>
                <w:szCs w:val="16"/>
              </w:rPr>
            </w:pPr>
            <w:r w:rsidRPr="005172E3">
              <w:rPr>
                <w:sz w:val="16"/>
                <w:szCs w:val="16"/>
              </w:rPr>
              <w:t>V budúcnosti sa na SR neočakávajú výrazné zmeny v rýchlosti prúdenia a v smere vetra, nepredpokladajú sa preto výrazné zmeny v tvorbe a výskyte hmiel.</w:t>
            </w:r>
          </w:p>
        </w:tc>
      </w:tr>
      <w:tr w:rsidR="00BE690A" w:rsidRPr="00C92614" w14:paraId="50B97811" w14:textId="77777777" w:rsidTr="00BE690A">
        <w:trPr>
          <w:trHeight w:val="252"/>
        </w:trPr>
        <w:tc>
          <w:tcPr>
            <w:tcW w:w="2268" w:type="dxa"/>
            <w:vMerge w:val="restart"/>
            <w:shd w:val="clear" w:color="auto" w:fill="FFFFFF"/>
          </w:tcPr>
          <w:p w14:paraId="447DE8A5" w14:textId="77777777" w:rsidR="00BE690A" w:rsidRPr="00C92614" w:rsidRDefault="00BE690A" w:rsidP="00931169">
            <w:pPr>
              <w:rPr>
                <w:sz w:val="16"/>
                <w:szCs w:val="16"/>
              </w:rPr>
            </w:pPr>
            <w:r w:rsidRPr="00C92614">
              <w:rPr>
                <w:sz w:val="16"/>
                <w:szCs w:val="16"/>
              </w:rPr>
              <w:t>Stanovenie miery expozície tratí a prevádzky</w:t>
            </w:r>
          </w:p>
        </w:tc>
        <w:tc>
          <w:tcPr>
            <w:tcW w:w="7088" w:type="dxa"/>
            <w:shd w:val="clear" w:color="auto" w:fill="auto"/>
          </w:tcPr>
          <w:p w14:paraId="2D52E752" w14:textId="77777777" w:rsidR="00BE690A" w:rsidRPr="005172E3" w:rsidRDefault="00BE690A" w:rsidP="00931169">
            <w:pPr>
              <w:rPr>
                <w:sz w:val="16"/>
                <w:szCs w:val="16"/>
              </w:rPr>
            </w:pPr>
            <w:r w:rsidRPr="005172E3">
              <w:rPr>
                <w:sz w:val="16"/>
                <w:szCs w:val="16"/>
              </w:rPr>
              <w:t>Častý výskyt hmly ovplyvňuje predovšetkým prevádzku žel. dopravy v území, vplyv na súvisiacu infraštruktúru je nulový.</w:t>
            </w:r>
          </w:p>
          <w:p w14:paraId="60810569" w14:textId="77777777" w:rsidR="00BE690A" w:rsidRPr="005172E3" w:rsidRDefault="00BE690A" w:rsidP="00931169">
            <w:pPr>
              <w:rPr>
                <w:sz w:val="16"/>
                <w:szCs w:val="16"/>
              </w:rPr>
            </w:pPr>
            <w:r w:rsidRPr="005172E3">
              <w:rPr>
                <w:sz w:val="16"/>
                <w:szCs w:val="16"/>
              </w:rPr>
              <w:t xml:space="preserve">Doteraz neboli v riešenom úseku zaznamenané mimoriadne prevádzkové  udalosti spojené s výskytom hmly. Keďže sa výrazné zmeny tohto klimatického ukazovateľa nepredpokladajú, </w:t>
            </w:r>
            <w:r w:rsidRPr="000E46F6">
              <w:rPr>
                <w:b/>
                <w:sz w:val="16"/>
                <w:szCs w:val="16"/>
              </w:rPr>
              <w:t>nízka miera pravdepodobnosti ovplyvnenia žel. prevádzky</w:t>
            </w:r>
            <w:r w:rsidRPr="005172E3">
              <w:rPr>
                <w:sz w:val="16"/>
                <w:szCs w:val="16"/>
              </w:rPr>
              <w:t xml:space="preserve"> v súčasnosti sa budúcim vývojom klimatických charakteristík nezmení.</w:t>
            </w:r>
          </w:p>
        </w:tc>
      </w:tr>
      <w:tr w:rsidR="00BE690A" w:rsidRPr="00C92614" w14:paraId="63EC8CD3" w14:textId="77777777" w:rsidTr="00BE690A">
        <w:tc>
          <w:tcPr>
            <w:tcW w:w="2268" w:type="dxa"/>
            <w:vMerge/>
            <w:shd w:val="clear" w:color="auto" w:fill="FFFFFF"/>
          </w:tcPr>
          <w:p w14:paraId="764005BB" w14:textId="77777777" w:rsidR="00BE690A" w:rsidRPr="00C92614" w:rsidRDefault="00BE690A" w:rsidP="00931169">
            <w:pPr>
              <w:rPr>
                <w:color w:val="FF0000"/>
                <w:sz w:val="16"/>
                <w:szCs w:val="16"/>
              </w:rPr>
            </w:pPr>
          </w:p>
        </w:tc>
        <w:tc>
          <w:tcPr>
            <w:tcW w:w="7088" w:type="dxa"/>
            <w:shd w:val="clear" w:color="auto" w:fill="D6E3BC"/>
          </w:tcPr>
          <w:p w14:paraId="1128C3CF" w14:textId="77777777" w:rsidR="00BE690A" w:rsidRPr="005172E3" w:rsidRDefault="00BE690A" w:rsidP="00931169">
            <w:pPr>
              <w:rPr>
                <w:sz w:val="16"/>
                <w:szCs w:val="16"/>
              </w:rPr>
            </w:pPr>
            <w:r w:rsidRPr="005172E3">
              <w:rPr>
                <w:sz w:val="16"/>
                <w:szCs w:val="16"/>
              </w:rPr>
              <w:t>Miera pravdepodobnosti ovplyvnenia žel. infraštruktúry: 1</w:t>
            </w:r>
          </w:p>
        </w:tc>
      </w:tr>
      <w:tr w:rsidR="00BE690A" w:rsidRPr="00C92614" w14:paraId="244E4A47" w14:textId="77777777" w:rsidTr="00BE690A">
        <w:tc>
          <w:tcPr>
            <w:tcW w:w="2268" w:type="dxa"/>
            <w:vMerge/>
            <w:shd w:val="clear" w:color="auto" w:fill="FFFFFF"/>
          </w:tcPr>
          <w:p w14:paraId="04E37670" w14:textId="77777777" w:rsidR="00BE690A" w:rsidRPr="00C92614" w:rsidRDefault="00BE690A" w:rsidP="00931169">
            <w:pPr>
              <w:rPr>
                <w:color w:val="FF0000"/>
                <w:sz w:val="16"/>
                <w:szCs w:val="16"/>
              </w:rPr>
            </w:pPr>
          </w:p>
        </w:tc>
        <w:tc>
          <w:tcPr>
            <w:tcW w:w="7088" w:type="dxa"/>
            <w:shd w:val="clear" w:color="auto" w:fill="D6E3BC"/>
          </w:tcPr>
          <w:p w14:paraId="25435CDD" w14:textId="77777777" w:rsidR="00BE690A" w:rsidRPr="005172E3" w:rsidRDefault="00BE690A" w:rsidP="00931169">
            <w:pPr>
              <w:rPr>
                <w:sz w:val="16"/>
                <w:szCs w:val="16"/>
              </w:rPr>
            </w:pPr>
            <w:r w:rsidRPr="005172E3">
              <w:rPr>
                <w:sz w:val="16"/>
                <w:szCs w:val="16"/>
              </w:rPr>
              <w:t>Miera pravdepodobnosti ovplyvnenia žel. prevádzky: 1</w:t>
            </w:r>
          </w:p>
        </w:tc>
      </w:tr>
    </w:tbl>
    <w:p w14:paraId="04527FDA" w14:textId="77777777" w:rsidR="00106A85" w:rsidRDefault="00106A85" w:rsidP="00931169">
      <w:pPr>
        <w:ind w:firstLine="708"/>
      </w:pPr>
    </w:p>
    <w:p w14:paraId="6A843DE9" w14:textId="5156A706" w:rsidR="00BE690A" w:rsidRPr="00A51B18" w:rsidRDefault="00BE690A" w:rsidP="00931169">
      <w:pPr>
        <w:ind w:firstLine="708"/>
        <w:rPr>
          <w:b/>
        </w:rPr>
      </w:pPr>
      <w:r w:rsidRPr="001C31F3">
        <w:lastRenderedPageBreak/>
        <w:t xml:space="preserve">Na základe vykonanej analýzy expozície a vývoja hodnotených rizikových klimatických javov možno </w:t>
      </w:r>
      <w:r w:rsidRPr="00A51B18">
        <w:t xml:space="preserve">konštatovať, že </w:t>
      </w:r>
      <w:r w:rsidRPr="00A51B18">
        <w:rPr>
          <w:b/>
        </w:rPr>
        <w:t>bola identifikovaná významná expozícia žel. infraštruktúry resp. žel. prevádzky projektu klimatickým faktorom zosuvy</w:t>
      </w:r>
      <w:r w:rsidRPr="00A51B18">
        <w:t>, ktorý vzhľadom na lokálne nestabilné a</w:t>
      </w:r>
      <w:r>
        <w:t> zložit</w:t>
      </w:r>
      <w:r w:rsidRPr="00A51B18">
        <w:t>é</w:t>
      </w:r>
      <w:r>
        <w:t xml:space="preserve"> </w:t>
      </w:r>
      <w:r w:rsidRPr="00A51B18">
        <w:t>geologické podmienky, morfológiu terénu a</w:t>
      </w:r>
      <w:r>
        <w:t xml:space="preserve"> súčasný a očakávaný vývoj </w:t>
      </w:r>
      <w:r w:rsidRPr="00A51B18">
        <w:t>klimatick</w:t>
      </w:r>
      <w:r>
        <w:t>ých</w:t>
      </w:r>
      <w:r w:rsidRPr="00A51B18">
        <w:t xml:space="preserve"> pomer</w:t>
      </w:r>
      <w:r>
        <w:t>ov</w:t>
      </w:r>
      <w:r w:rsidRPr="00A51B18">
        <w:t xml:space="preserve"> ohr</w:t>
      </w:r>
      <w:r>
        <w:t>o</w:t>
      </w:r>
      <w:r w:rsidRPr="00A51B18">
        <w:t>zuje celé riešené územie, v ktorom je trať vedená.</w:t>
      </w:r>
      <w:r>
        <w:t xml:space="preserve"> Pre klimatické faktory silný vietor, silné dažde, snehové a námrazové javy, búrkové javy a povodne bola stanovená mierna expozícia žel. infraštruktúry, keďže tieto faktory nie sú ojedinelým úkazom v riešenom území a v budúcnosti sa očakáva nárast ich prejavov. Plynulosť a bezpečnosť žel. prevádzky na trati je exponovaná predovšetkým pôsobením silného vetra, búrkových javov a zosuvov, keďže uvedené faktory môžu vyvolať poruchy a poškodenia dočasne obmedzujúce prevádzku na trati. </w:t>
      </w:r>
    </w:p>
    <w:p w14:paraId="6E4815B8" w14:textId="2464D302" w:rsidR="00BE690A" w:rsidRDefault="00BE690A" w:rsidP="00931169">
      <w:pPr>
        <w:ind w:firstLine="708"/>
      </w:pPr>
      <w:r>
        <w:t>Ani z hľadiska expozície rizikovými klimatickými javmi nevykazujú hodnotené varianty v ŽST Čadca (II. etapa) a</w:t>
      </w:r>
      <w:r w:rsidR="00DD442A">
        <w:t xml:space="preserve"> medzistaničný </w:t>
      </w:r>
      <w:r>
        <w:t xml:space="preserve">úsek Čadca </w:t>
      </w:r>
      <w:r w:rsidR="00DD442A">
        <w:t>–</w:t>
      </w:r>
      <w:r>
        <w:t xml:space="preserve"> </w:t>
      </w:r>
      <w:r w:rsidR="00DD442A">
        <w:t>št. hr. SR/ČR</w:t>
      </w:r>
      <w:r>
        <w:t xml:space="preserve"> (III. etapa) významné rozdiely. Výraznejšie odlišnosti v expozícii sú identifikované v prípade variantov v úseku I. etapy Krásno nad Kysucou – Čadca, kde </w:t>
      </w:r>
      <w:r w:rsidR="00DD442A">
        <w:t>sú</w:t>
      </w:r>
      <w:r>
        <w:t xml:space="preserve"> najviac exponovan</w:t>
      </w:r>
      <w:r w:rsidR="00DD442A">
        <w:t>é</w:t>
      </w:r>
      <w:r>
        <w:t xml:space="preserve"> variant</w:t>
      </w:r>
      <w:r w:rsidR="00DD442A">
        <w:t>y</w:t>
      </w:r>
      <w:r>
        <w:t xml:space="preserve"> veden</w:t>
      </w:r>
      <w:r w:rsidR="00DD442A">
        <w:t>é</w:t>
      </w:r>
      <w:r>
        <w:t xml:space="preserve"> z väčšej časti v súčasnej trati</w:t>
      </w:r>
      <w:r w:rsidRPr="001D382B">
        <w:t xml:space="preserve"> </w:t>
      </w:r>
      <w:r>
        <w:t xml:space="preserve">plne vystavený pôsobeniu poveternostných podmienok (variant </w:t>
      </w:r>
      <w:r w:rsidR="00501F79">
        <w:t>A</w:t>
      </w:r>
      <w:r w:rsidR="00DD442A">
        <w:t> a C</w:t>
      </w:r>
      <w:r>
        <w:t xml:space="preserve">). V prípade variantov s tunelovým riešením (varianty </w:t>
      </w:r>
      <w:r w:rsidR="00501F79">
        <w:t>B</w:t>
      </w:r>
      <w:r>
        <w:t xml:space="preserve">) je expozícia rizikovými klimatickými javmi silné vetry, silné dažde, búrkové javy, snehové a námrazové javy eliminovaná, obmedzená na miesta tunelových portálov. Na druhej strane, uvažované tunely sú trasované územím extrémne exponovanom svahovými deformáciami, podmienky pre ich razenie sú preto aj pri zohľadnení očakávaného nárastu intenzívnych a prívalových zrážok pomerne nepriaznivé a výstavba bude vyžadovať náročné opatrenia na zmiernenie z toho plynúcich rizík. </w:t>
      </w:r>
    </w:p>
    <w:p w14:paraId="5E761A45" w14:textId="77777777" w:rsidR="00BE690A" w:rsidRDefault="00BE690A" w:rsidP="00931169">
      <w:pPr>
        <w:pStyle w:val="Nadpis2"/>
      </w:pPr>
      <w:bookmarkStart w:id="60" w:name="_Toc24659586"/>
      <w:bookmarkStart w:id="61" w:name="_Toc24660432"/>
      <w:bookmarkStart w:id="62" w:name="_Toc24661442"/>
      <w:bookmarkStart w:id="63" w:name="_Toc88652931"/>
      <w:r>
        <w:t>Posúdenie zraniteľnosti projektu:</w:t>
      </w:r>
      <w:bookmarkEnd w:id="60"/>
      <w:bookmarkEnd w:id="61"/>
      <w:bookmarkEnd w:id="62"/>
      <w:bookmarkEnd w:id="63"/>
    </w:p>
    <w:p w14:paraId="73DAAE97" w14:textId="77777777" w:rsidR="00BE690A" w:rsidRDefault="00BE690A" w:rsidP="00931169">
      <w:pPr>
        <w:ind w:firstLine="708"/>
      </w:pPr>
      <w:r w:rsidRPr="003A3BA4">
        <w:t>Zraniteľnosť projektu na dopady zmeny klímy bola vyhodnotená s využitím hodnôt citlivosti projektu na jednotlivé klimatické riziká a hodnôt pravdepodobnosti ovplyvnenia projektu zohľadnenými klimatickými javmi. Výsledkom tohto porovnania je identifikácia klimatických faktorov, ktoré sú pre hodnotený projekt najrizikovejšie z hľadiska stavebno-technického riešenia a z hľadiska dopravno-prevádzkového riešenia.</w:t>
      </w:r>
    </w:p>
    <w:p w14:paraId="1E034F01" w14:textId="77777777" w:rsidR="00BE690A" w:rsidRDefault="00BE690A" w:rsidP="00931169">
      <w:pPr>
        <w:keepNext/>
      </w:pPr>
    </w:p>
    <w:p w14:paraId="2768DBC8" w14:textId="78CAFAC5" w:rsidR="00BE690A" w:rsidRDefault="00BE690A" w:rsidP="00931169">
      <w:pPr>
        <w:keepNext/>
      </w:pPr>
      <w:r w:rsidRPr="007600F5">
        <w:t>Matica zraniteľnosti pre žel. infraštruktúru (stavebno-technické riešenie):</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1"/>
        <w:gridCol w:w="518"/>
        <w:gridCol w:w="410"/>
        <w:gridCol w:w="2993"/>
        <w:gridCol w:w="2251"/>
        <w:gridCol w:w="2497"/>
        <w:gridCol w:w="34"/>
      </w:tblGrid>
      <w:tr w:rsidR="00BE690A" w:rsidRPr="00BE329E" w14:paraId="75064B56" w14:textId="77777777" w:rsidTr="00BE690A">
        <w:trPr>
          <w:gridAfter w:val="1"/>
          <w:wAfter w:w="34" w:type="dxa"/>
          <w:cantSplit/>
          <w:trHeight w:val="91"/>
        </w:trPr>
        <w:tc>
          <w:tcPr>
            <w:tcW w:w="1439" w:type="dxa"/>
            <w:gridSpan w:val="3"/>
            <w:vMerge w:val="restart"/>
            <w:tcBorders>
              <w:top w:val="double" w:sz="4" w:space="0" w:color="auto"/>
              <w:left w:val="double" w:sz="4" w:space="0" w:color="auto"/>
              <w:right w:val="double" w:sz="4" w:space="0" w:color="auto"/>
            </w:tcBorders>
            <w:shd w:val="clear" w:color="auto" w:fill="FFFFFF"/>
            <w:textDirection w:val="btLr"/>
            <w:vAlign w:val="center"/>
          </w:tcPr>
          <w:p w14:paraId="7CC4441F" w14:textId="77777777" w:rsidR="00BE690A" w:rsidRPr="00BE329E" w:rsidRDefault="00BE690A" w:rsidP="00931169">
            <w:pPr>
              <w:keepNext/>
              <w:rPr>
                <w:sz w:val="18"/>
              </w:rPr>
            </w:pPr>
          </w:p>
          <w:p w14:paraId="10764982" w14:textId="77777777" w:rsidR="00BE690A" w:rsidRPr="00BE329E" w:rsidRDefault="00BE690A" w:rsidP="00931169">
            <w:pPr>
              <w:keepNext/>
              <w:rPr>
                <w:sz w:val="18"/>
              </w:rPr>
            </w:pPr>
          </w:p>
        </w:tc>
        <w:tc>
          <w:tcPr>
            <w:tcW w:w="7741" w:type="dxa"/>
            <w:gridSpan w:val="3"/>
            <w:tcBorders>
              <w:top w:val="double" w:sz="4" w:space="0" w:color="auto"/>
              <w:left w:val="double" w:sz="4" w:space="0" w:color="auto"/>
              <w:bottom w:val="double" w:sz="4" w:space="0" w:color="auto"/>
              <w:right w:val="double" w:sz="4" w:space="0" w:color="auto"/>
            </w:tcBorders>
            <w:shd w:val="clear" w:color="auto" w:fill="FFFFFF"/>
            <w:vAlign w:val="center"/>
          </w:tcPr>
          <w:p w14:paraId="24EEB79A" w14:textId="77777777" w:rsidR="00BE690A" w:rsidRPr="00BE329E" w:rsidRDefault="00BE690A" w:rsidP="00931169">
            <w:pPr>
              <w:keepNext/>
              <w:rPr>
                <w:b/>
                <w:sz w:val="18"/>
              </w:rPr>
            </w:pPr>
            <w:r w:rsidRPr="00BE329E">
              <w:rPr>
                <w:b/>
                <w:sz w:val="18"/>
              </w:rPr>
              <w:t>Expozícia</w:t>
            </w:r>
          </w:p>
        </w:tc>
      </w:tr>
      <w:tr w:rsidR="00BE690A" w:rsidRPr="00BE329E" w14:paraId="092C2D10" w14:textId="77777777" w:rsidTr="00BE690A">
        <w:trPr>
          <w:gridAfter w:val="1"/>
          <w:wAfter w:w="34" w:type="dxa"/>
          <w:cantSplit/>
          <w:trHeight w:val="205"/>
        </w:trPr>
        <w:tc>
          <w:tcPr>
            <w:tcW w:w="1439" w:type="dxa"/>
            <w:gridSpan w:val="3"/>
            <w:vMerge/>
            <w:tcBorders>
              <w:left w:val="double" w:sz="4" w:space="0" w:color="auto"/>
              <w:bottom w:val="double" w:sz="4" w:space="0" w:color="auto"/>
              <w:right w:val="double" w:sz="4" w:space="0" w:color="auto"/>
            </w:tcBorders>
            <w:shd w:val="clear" w:color="auto" w:fill="FFFFFF"/>
            <w:textDirection w:val="btLr"/>
            <w:vAlign w:val="center"/>
          </w:tcPr>
          <w:p w14:paraId="0D850B85" w14:textId="77777777" w:rsidR="00BE690A" w:rsidRPr="00BE329E" w:rsidRDefault="00BE690A" w:rsidP="00931169">
            <w:pPr>
              <w:keepNext/>
              <w:rPr>
                <w:sz w:val="18"/>
              </w:rPr>
            </w:pPr>
          </w:p>
        </w:tc>
        <w:tc>
          <w:tcPr>
            <w:tcW w:w="2993" w:type="dxa"/>
            <w:tcBorders>
              <w:top w:val="double" w:sz="4" w:space="0" w:color="auto"/>
              <w:left w:val="double" w:sz="4" w:space="0" w:color="auto"/>
              <w:bottom w:val="double" w:sz="4" w:space="0" w:color="auto"/>
              <w:right w:val="double" w:sz="4" w:space="0" w:color="auto"/>
            </w:tcBorders>
            <w:shd w:val="clear" w:color="auto" w:fill="FFFFFF"/>
            <w:vAlign w:val="center"/>
          </w:tcPr>
          <w:p w14:paraId="4417A8BC" w14:textId="77777777" w:rsidR="00BE690A" w:rsidRPr="00BE329E" w:rsidRDefault="00BE690A" w:rsidP="00931169">
            <w:pPr>
              <w:keepNext/>
              <w:rPr>
                <w:b/>
                <w:sz w:val="18"/>
              </w:rPr>
            </w:pPr>
            <w:r w:rsidRPr="00BE329E">
              <w:rPr>
                <w:b/>
                <w:sz w:val="18"/>
              </w:rPr>
              <w:t>Nízka</w:t>
            </w:r>
          </w:p>
        </w:tc>
        <w:tc>
          <w:tcPr>
            <w:tcW w:w="2251" w:type="dxa"/>
            <w:tcBorders>
              <w:top w:val="double" w:sz="4" w:space="0" w:color="auto"/>
              <w:left w:val="double" w:sz="4" w:space="0" w:color="auto"/>
              <w:bottom w:val="double" w:sz="4" w:space="0" w:color="auto"/>
            </w:tcBorders>
            <w:shd w:val="clear" w:color="auto" w:fill="FFFFFF"/>
            <w:vAlign w:val="center"/>
          </w:tcPr>
          <w:p w14:paraId="5AB10FB5" w14:textId="77777777" w:rsidR="00BE690A" w:rsidRPr="00BE329E" w:rsidRDefault="00BE690A" w:rsidP="00931169">
            <w:pPr>
              <w:keepNext/>
              <w:rPr>
                <w:b/>
                <w:sz w:val="18"/>
              </w:rPr>
            </w:pPr>
            <w:r w:rsidRPr="00BE329E">
              <w:rPr>
                <w:b/>
                <w:sz w:val="18"/>
              </w:rPr>
              <w:t>Stredná</w:t>
            </w:r>
          </w:p>
        </w:tc>
        <w:tc>
          <w:tcPr>
            <w:tcW w:w="2497" w:type="dxa"/>
            <w:tcBorders>
              <w:top w:val="double" w:sz="4" w:space="0" w:color="auto"/>
              <w:bottom w:val="double" w:sz="4" w:space="0" w:color="auto"/>
              <w:right w:val="double" w:sz="4" w:space="0" w:color="auto"/>
            </w:tcBorders>
            <w:shd w:val="clear" w:color="auto" w:fill="FFFFFF"/>
            <w:vAlign w:val="center"/>
          </w:tcPr>
          <w:p w14:paraId="55B483AB" w14:textId="77777777" w:rsidR="00BE690A" w:rsidRPr="00BE329E" w:rsidRDefault="00BE690A" w:rsidP="00931169">
            <w:pPr>
              <w:keepNext/>
              <w:rPr>
                <w:b/>
                <w:sz w:val="18"/>
              </w:rPr>
            </w:pPr>
            <w:r w:rsidRPr="00BE329E">
              <w:rPr>
                <w:b/>
                <w:sz w:val="18"/>
              </w:rPr>
              <w:t>Vysoká</w:t>
            </w:r>
          </w:p>
        </w:tc>
      </w:tr>
      <w:tr w:rsidR="00BE690A" w:rsidRPr="00BE329E" w14:paraId="021C0A32" w14:textId="77777777" w:rsidTr="00BE690A">
        <w:trPr>
          <w:gridAfter w:val="1"/>
          <w:wAfter w:w="34" w:type="dxa"/>
          <w:cantSplit/>
          <w:trHeight w:val="70"/>
        </w:trPr>
        <w:tc>
          <w:tcPr>
            <w:tcW w:w="511" w:type="dxa"/>
            <w:vMerge w:val="restart"/>
            <w:tcBorders>
              <w:top w:val="double" w:sz="4" w:space="0" w:color="auto"/>
              <w:left w:val="double" w:sz="4" w:space="0" w:color="auto"/>
              <w:right w:val="double" w:sz="4" w:space="0" w:color="auto"/>
            </w:tcBorders>
            <w:shd w:val="clear" w:color="auto" w:fill="FFFFFF"/>
            <w:textDirection w:val="btLr"/>
            <w:vAlign w:val="center"/>
          </w:tcPr>
          <w:p w14:paraId="7EC96E8A" w14:textId="77777777" w:rsidR="00BE690A" w:rsidRPr="00BE329E" w:rsidRDefault="00BE690A" w:rsidP="00931169">
            <w:pPr>
              <w:keepNext/>
              <w:rPr>
                <w:b/>
                <w:sz w:val="18"/>
              </w:rPr>
            </w:pPr>
            <w:r w:rsidRPr="00BE329E">
              <w:rPr>
                <w:b/>
                <w:sz w:val="18"/>
              </w:rPr>
              <w:t>Citlivosť</w:t>
            </w:r>
          </w:p>
        </w:tc>
        <w:tc>
          <w:tcPr>
            <w:tcW w:w="928" w:type="dxa"/>
            <w:gridSpan w:val="2"/>
            <w:tcBorders>
              <w:top w:val="double" w:sz="4" w:space="0" w:color="auto"/>
              <w:left w:val="double" w:sz="4" w:space="0" w:color="auto"/>
              <w:bottom w:val="double" w:sz="4" w:space="0" w:color="auto"/>
              <w:right w:val="double" w:sz="4" w:space="0" w:color="auto"/>
            </w:tcBorders>
            <w:shd w:val="clear" w:color="auto" w:fill="FFFFFF"/>
            <w:vAlign w:val="center"/>
          </w:tcPr>
          <w:p w14:paraId="10A29906" w14:textId="77777777" w:rsidR="00BE690A" w:rsidRPr="00BE329E" w:rsidRDefault="00BE690A" w:rsidP="00931169">
            <w:pPr>
              <w:keepNext/>
              <w:rPr>
                <w:b/>
                <w:sz w:val="18"/>
              </w:rPr>
            </w:pPr>
            <w:r w:rsidRPr="00BE329E">
              <w:rPr>
                <w:b/>
                <w:sz w:val="18"/>
              </w:rPr>
              <w:t>Nízka</w:t>
            </w:r>
          </w:p>
        </w:tc>
        <w:tc>
          <w:tcPr>
            <w:tcW w:w="2993" w:type="dxa"/>
            <w:tcBorders>
              <w:top w:val="double" w:sz="4" w:space="0" w:color="auto"/>
              <w:left w:val="double" w:sz="4" w:space="0" w:color="auto"/>
              <w:bottom w:val="single" w:sz="4" w:space="0" w:color="auto"/>
            </w:tcBorders>
            <w:shd w:val="clear" w:color="auto" w:fill="D6E3BC"/>
            <w:vAlign w:val="center"/>
          </w:tcPr>
          <w:p w14:paraId="48D53C71" w14:textId="77777777" w:rsidR="00BE690A" w:rsidRPr="00C92614" w:rsidRDefault="00BE690A" w:rsidP="00931169">
            <w:pPr>
              <w:keepNext/>
              <w:rPr>
                <w:color w:val="FF0000"/>
                <w:sz w:val="18"/>
              </w:rPr>
            </w:pPr>
            <w:r>
              <w:rPr>
                <w:rFonts w:cs="Calibri"/>
                <w:sz w:val="16"/>
                <w:szCs w:val="16"/>
              </w:rPr>
              <w:t xml:space="preserve">Sucho, </w:t>
            </w:r>
            <w:r w:rsidRPr="00FA6C9C">
              <w:rPr>
                <w:rFonts w:cs="Calibri"/>
                <w:sz w:val="16"/>
                <w:szCs w:val="16"/>
              </w:rPr>
              <w:t>Hmly</w:t>
            </w:r>
          </w:p>
        </w:tc>
        <w:tc>
          <w:tcPr>
            <w:tcW w:w="2251" w:type="dxa"/>
            <w:tcBorders>
              <w:top w:val="double" w:sz="4" w:space="0" w:color="auto"/>
            </w:tcBorders>
            <w:shd w:val="clear" w:color="auto" w:fill="FFFF97"/>
            <w:vAlign w:val="center"/>
          </w:tcPr>
          <w:p w14:paraId="377C9CE8" w14:textId="77777777" w:rsidR="00BE690A" w:rsidRPr="007A16A5" w:rsidRDefault="00BE690A" w:rsidP="00931169">
            <w:pPr>
              <w:keepNext/>
              <w:rPr>
                <w:rFonts w:cs="Calibri"/>
                <w:sz w:val="16"/>
                <w:szCs w:val="16"/>
              </w:rPr>
            </w:pPr>
            <w:r w:rsidRPr="00FA6C9C">
              <w:rPr>
                <w:rFonts w:cs="Calibri"/>
                <w:sz w:val="16"/>
                <w:szCs w:val="16"/>
              </w:rPr>
              <w:t xml:space="preserve">Silné dažde </w:t>
            </w:r>
          </w:p>
        </w:tc>
        <w:tc>
          <w:tcPr>
            <w:tcW w:w="2497" w:type="dxa"/>
            <w:tcBorders>
              <w:top w:val="double" w:sz="4" w:space="0" w:color="auto"/>
              <w:bottom w:val="single" w:sz="4" w:space="0" w:color="auto"/>
              <w:right w:val="double" w:sz="4" w:space="0" w:color="auto"/>
            </w:tcBorders>
            <w:shd w:val="clear" w:color="auto" w:fill="FFFF97"/>
            <w:vAlign w:val="center"/>
          </w:tcPr>
          <w:p w14:paraId="429C52AA" w14:textId="77777777" w:rsidR="00BE690A" w:rsidRPr="00BE329E" w:rsidRDefault="00BE690A" w:rsidP="00931169">
            <w:pPr>
              <w:keepNext/>
              <w:rPr>
                <w:sz w:val="18"/>
              </w:rPr>
            </w:pPr>
          </w:p>
        </w:tc>
      </w:tr>
      <w:tr w:rsidR="00BE690A" w:rsidRPr="00BE329E" w14:paraId="4F6B3EB8" w14:textId="77777777" w:rsidTr="00BE690A">
        <w:trPr>
          <w:gridAfter w:val="1"/>
          <w:wAfter w:w="34" w:type="dxa"/>
          <w:cantSplit/>
          <w:trHeight w:val="70"/>
        </w:trPr>
        <w:tc>
          <w:tcPr>
            <w:tcW w:w="511" w:type="dxa"/>
            <w:vMerge/>
            <w:tcBorders>
              <w:left w:val="double" w:sz="4" w:space="0" w:color="auto"/>
              <w:right w:val="double" w:sz="4" w:space="0" w:color="auto"/>
            </w:tcBorders>
            <w:shd w:val="clear" w:color="auto" w:fill="FFFFFF"/>
            <w:textDirection w:val="btLr"/>
            <w:vAlign w:val="center"/>
          </w:tcPr>
          <w:p w14:paraId="08BFC9C1" w14:textId="77777777" w:rsidR="00BE690A" w:rsidRPr="00BE329E" w:rsidRDefault="00BE690A" w:rsidP="00931169">
            <w:pPr>
              <w:keepNext/>
              <w:rPr>
                <w:b/>
                <w:sz w:val="18"/>
              </w:rPr>
            </w:pPr>
          </w:p>
        </w:tc>
        <w:tc>
          <w:tcPr>
            <w:tcW w:w="928" w:type="dxa"/>
            <w:gridSpan w:val="2"/>
            <w:tcBorders>
              <w:top w:val="double" w:sz="4" w:space="0" w:color="auto"/>
              <w:left w:val="double" w:sz="4" w:space="0" w:color="auto"/>
              <w:bottom w:val="double" w:sz="4" w:space="0" w:color="auto"/>
              <w:right w:val="double" w:sz="4" w:space="0" w:color="auto"/>
            </w:tcBorders>
            <w:shd w:val="clear" w:color="auto" w:fill="FFFFFF"/>
            <w:vAlign w:val="center"/>
          </w:tcPr>
          <w:p w14:paraId="40AB9D53" w14:textId="77777777" w:rsidR="00BE690A" w:rsidRPr="00BE329E" w:rsidRDefault="00BE690A" w:rsidP="00931169">
            <w:pPr>
              <w:keepNext/>
              <w:rPr>
                <w:b/>
                <w:sz w:val="18"/>
              </w:rPr>
            </w:pPr>
            <w:r w:rsidRPr="00BE329E">
              <w:rPr>
                <w:b/>
                <w:sz w:val="18"/>
              </w:rPr>
              <w:t>Stredná</w:t>
            </w:r>
          </w:p>
        </w:tc>
        <w:tc>
          <w:tcPr>
            <w:tcW w:w="2993" w:type="dxa"/>
            <w:tcBorders>
              <w:top w:val="single" w:sz="4" w:space="0" w:color="auto"/>
              <w:left w:val="double" w:sz="4" w:space="0" w:color="auto"/>
            </w:tcBorders>
            <w:shd w:val="clear" w:color="auto" w:fill="FFFF97"/>
            <w:vAlign w:val="center"/>
          </w:tcPr>
          <w:p w14:paraId="12BF4A12" w14:textId="77777777" w:rsidR="00BE690A" w:rsidRPr="00C92614" w:rsidRDefault="00BE690A" w:rsidP="00931169">
            <w:pPr>
              <w:keepNext/>
              <w:rPr>
                <w:color w:val="FF0000"/>
                <w:sz w:val="18"/>
              </w:rPr>
            </w:pPr>
            <w:r w:rsidRPr="00FA6C9C">
              <w:rPr>
                <w:rFonts w:cs="Calibri"/>
                <w:sz w:val="16"/>
                <w:szCs w:val="16"/>
              </w:rPr>
              <w:t>Vysoké teploty</w:t>
            </w:r>
          </w:p>
        </w:tc>
        <w:tc>
          <w:tcPr>
            <w:tcW w:w="2251" w:type="dxa"/>
            <w:tcBorders>
              <w:right w:val="single" w:sz="4" w:space="0" w:color="auto"/>
            </w:tcBorders>
            <w:shd w:val="clear" w:color="auto" w:fill="FFA48F"/>
            <w:vAlign w:val="center"/>
          </w:tcPr>
          <w:p w14:paraId="4F893F53" w14:textId="77777777" w:rsidR="00BE690A" w:rsidRDefault="00BE690A" w:rsidP="00931169">
            <w:pPr>
              <w:keepNext/>
              <w:rPr>
                <w:rFonts w:cs="Calibri"/>
                <w:sz w:val="16"/>
                <w:szCs w:val="16"/>
              </w:rPr>
            </w:pPr>
            <w:r w:rsidRPr="00FA6C9C">
              <w:rPr>
                <w:rFonts w:cs="Calibri"/>
                <w:sz w:val="16"/>
                <w:szCs w:val="16"/>
              </w:rPr>
              <w:t xml:space="preserve">Silný vietor </w:t>
            </w:r>
          </w:p>
          <w:p w14:paraId="5F4F2220" w14:textId="77777777" w:rsidR="00BE690A" w:rsidRDefault="00BE690A" w:rsidP="00931169">
            <w:pPr>
              <w:keepNext/>
              <w:rPr>
                <w:rFonts w:cs="Calibri"/>
                <w:sz w:val="16"/>
                <w:szCs w:val="16"/>
              </w:rPr>
            </w:pPr>
            <w:r>
              <w:rPr>
                <w:rFonts w:cs="Calibri"/>
                <w:sz w:val="16"/>
                <w:szCs w:val="16"/>
              </w:rPr>
              <w:t>Snehové javy</w:t>
            </w:r>
          </w:p>
          <w:p w14:paraId="79DD10B2" w14:textId="77777777" w:rsidR="00BE690A" w:rsidRPr="00FA6C9C" w:rsidRDefault="00BE690A" w:rsidP="00931169">
            <w:pPr>
              <w:keepNext/>
              <w:rPr>
                <w:rFonts w:cs="Calibri"/>
                <w:sz w:val="16"/>
                <w:szCs w:val="16"/>
              </w:rPr>
            </w:pPr>
            <w:r>
              <w:rPr>
                <w:rFonts w:cs="Calibri"/>
                <w:sz w:val="16"/>
                <w:szCs w:val="16"/>
              </w:rPr>
              <w:t>Námrazové javy</w:t>
            </w:r>
          </w:p>
          <w:p w14:paraId="30D66C29" w14:textId="77777777" w:rsidR="00BE690A" w:rsidRDefault="00BE690A" w:rsidP="00931169">
            <w:pPr>
              <w:keepNext/>
              <w:rPr>
                <w:rFonts w:cs="Calibri"/>
                <w:sz w:val="16"/>
                <w:szCs w:val="16"/>
              </w:rPr>
            </w:pPr>
            <w:r w:rsidRPr="00FA6C9C">
              <w:rPr>
                <w:rFonts w:cs="Calibri"/>
                <w:sz w:val="16"/>
                <w:szCs w:val="16"/>
              </w:rPr>
              <w:t xml:space="preserve">Búrkové javy </w:t>
            </w:r>
          </w:p>
          <w:p w14:paraId="2D001F29" w14:textId="77777777" w:rsidR="00BE690A" w:rsidRPr="00C92614" w:rsidRDefault="00BE690A" w:rsidP="00931169">
            <w:pPr>
              <w:keepNext/>
              <w:rPr>
                <w:rFonts w:cs="Calibri"/>
                <w:color w:val="FF0000"/>
                <w:sz w:val="16"/>
                <w:szCs w:val="16"/>
              </w:rPr>
            </w:pPr>
            <w:r w:rsidRPr="00FA6C9C">
              <w:rPr>
                <w:rFonts w:cs="Calibri"/>
                <w:sz w:val="16"/>
                <w:szCs w:val="16"/>
              </w:rPr>
              <w:t xml:space="preserve">Povodne </w:t>
            </w:r>
          </w:p>
        </w:tc>
        <w:tc>
          <w:tcPr>
            <w:tcW w:w="2497" w:type="dxa"/>
            <w:tcBorders>
              <w:top w:val="single" w:sz="4" w:space="0" w:color="auto"/>
              <w:left w:val="single" w:sz="4" w:space="0" w:color="auto"/>
              <w:bottom w:val="single" w:sz="4" w:space="0" w:color="auto"/>
              <w:right w:val="double" w:sz="4" w:space="0" w:color="auto"/>
            </w:tcBorders>
            <w:shd w:val="clear" w:color="auto" w:fill="FFA48F"/>
            <w:vAlign w:val="center"/>
          </w:tcPr>
          <w:p w14:paraId="78B83F8F" w14:textId="77777777" w:rsidR="00BE690A" w:rsidRPr="00BE329E" w:rsidRDefault="00BE690A" w:rsidP="00931169">
            <w:pPr>
              <w:keepNext/>
              <w:rPr>
                <w:sz w:val="18"/>
              </w:rPr>
            </w:pPr>
          </w:p>
        </w:tc>
      </w:tr>
      <w:tr w:rsidR="00BE690A" w:rsidRPr="00BE329E" w14:paraId="5EF641F6" w14:textId="77777777" w:rsidTr="00BE690A">
        <w:trPr>
          <w:gridAfter w:val="1"/>
          <w:wAfter w:w="34" w:type="dxa"/>
          <w:cantSplit/>
          <w:trHeight w:val="173"/>
        </w:trPr>
        <w:tc>
          <w:tcPr>
            <w:tcW w:w="511" w:type="dxa"/>
            <w:vMerge/>
            <w:tcBorders>
              <w:left w:val="double" w:sz="4" w:space="0" w:color="auto"/>
              <w:bottom w:val="double" w:sz="4" w:space="0" w:color="auto"/>
              <w:right w:val="double" w:sz="4" w:space="0" w:color="auto"/>
            </w:tcBorders>
            <w:shd w:val="clear" w:color="auto" w:fill="FFFFFF"/>
            <w:textDirection w:val="btLr"/>
            <w:vAlign w:val="center"/>
          </w:tcPr>
          <w:p w14:paraId="6051F6BA" w14:textId="77777777" w:rsidR="00BE690A" w:rsidRPr="00BE329E" w:rsidRDefault="00BE690A" w:rsidP="00931169">
            <w:pPr>
              <w:keepNext/>
              <w:rPr>
                <w:b/>
                <w:sz w:val="18"/>
              </w:rPr>
            </w:pPr>
          </w:p>
        </w:tc>
        <w:tc>
          <w:tcPr>
            <w:tcW w:w="928" w:type="dxa"/>
            <w:gridSpan w:val="2"/>
            <w:tcBorders>
              <w:top w:val="double" w:sz="4" w:space="0" w:color="auto"/>
              <w:left w:val="double" w:sz="4" w:space="0" w:color="auto"/>
              <w:bottom w:val="double" w:sz="4" w:space="0" w:color="auto"/>
              <w:right w:val="double" w:sz="4" w:space="0" w:color="auto"/>
            </w:tcBorders>
            <w:shd w:val="clear" w:color="auto" w:fill="FFFFFF"/>
            <w:vAlign w:val="center"/>
          </w:tcPr>
          <w:p w14:paraId="43732E43" w14:textId="77777777" w:rsidR="00BE690A" w:rsidRPr="00BE329E" w:rsidRDefault="00BE690A" w:rsidP="00931169">
            <w:pPr>
              <w:keepNext/>
              <w:rPr>
                <w:b/>
                <w:sz w:val="18"/>
              </w:rPr>
            </w:pPr>
            <w:r w:rsidRPr="00BE329E">
              <w:rPr>
                <w:b/>
                <w:sz w:val="18"/>
              </w:rPr>
              <w:t>Vysoká</w:t>
            </w:r>
          </w:p>
        </w:tc>
        <w:tc>
          <w:tcPr>
            <w:tcW w:w="2993" w:type="dxa"/>
            <w:tcBorders>
              <w:left w:val="double" w:sz="4" w:space="0" w:color="auto"/>
              <w:bottom w:val="double" w:sz="4" w:space="0" w:color="auto"/>
            </w:tcBorders>
            <w:shd w:val="clear" w:color="auto" w:fill="FFFF97"/>
            <w:vAlign w:val="center"/>
          </w:tcPr>
          <w:p w14:paraId="34C2A15F" w14:textId="77777777" w:rsidR="00BE690A" w:rsidRPr="00C92614" w:rsidRDefault="00BE690A" w:rsidP="00931169">
            <w:pPr>
              <w:keepNext/>
              <w:rPr>
                <w:color w:val="FF0000"/>
                <w:sz w:val="18"/>
              </w:rPr>
            </w:pPr>
          </w:p>
        </w:tc>
        <w:tc>
          <w:tcPr>
            <w:tcW w:w="2251" w:type="dxa"/>
            <w:tcBorders>
              <w:bottom w:val="double" w:sz="4" w:space="0" w:color="auto"/>
              <w:right w:val="single" w:sz="4" w:space="0" w:color="auto"/>
            </w:tcBorders>
            <w:shd w:val="clear" w:color="auto" w:fill="FFA48F"/>
            <w:vAlign w:val="center"/>
          </w:tcPr>
          <w:p w14:paraId="29B59BF8" w14:textId="77777777" w:rsidR="00BE690A" w:rsidRPr="00C92614" w:rsidRDefault="00BE690A" w:rsidP="00931169">
            <w:pPr>
              <w:keepNext/>
              <w:rPr>
                <w:color w:val="FF0000"/>
                <w:sz w:val="18"/>
              </w:rPr>
            </w:pPr>
          </w:p>
        </w:tc>
        <w:tc>
          <w:tcPr>
            <w:tcW w:w="2497" w:type="dxa"/>
            <w:tcBorders>
              <w:top w:val="single" w:sz="4" w:space="0" w:color="auto"/>
              <w:left w:val="single" w:sz="4" w:space="0" w:color="auto"/>
              <w:bottom w:val="double" w:sz="4" w:space="0" w:color="auto"/>
              <w:right w:val="double" w:sz="4" w:space="0" w:color="auto"/>
            </w:tcBorders>
            <w:shd w:val="clear" w:color="auto" w:fill="FFA48F"/>
            <w:vAlign w:val="center"/>
          </w:tcPr>
          <w:p w14:paraId="372D467F" w14:textId="77777777" w:rsidR="00BE690A" w:rsidRPr="00BE329E" w:rsidRDefault="00BE690A" w:rsidP="00931169">
            <w:pPr>
              <w:keepNext/>
              <w:rPr>
                <w:sz w:val="18"/>
              </w:rPr>
            </w:pPr>
            <w:r>
              <w:rPr>
                <w:sz w:val="18"/>
              </w:rPr>
              <w:t>Zosuvy</w:t>
            </w:r>
          </w:p>
        </w:tc>
      </w:tr>
      <w:tr w:rsidR="00BE690A" w:rsidRPr="00896374" w14:paraId="59C78590"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29" w:type="dxa"/>
            <w:gridSpan w:val="2"/>
            <w:tcBorders>
              <w:bottom w:val="single" w:sz="4" w:space="0" w:color="auto"/>
            </w:tcBorders>
            <w:shd w:val="clear" w:color="auto" w:fill="auto"/>
            <w:vAlign w:val="center"/>
          </w:tcPr>
          <w:p w14:paraId="284D73AE" w14:textId="77777777" w:rsidR="00BE690A" w:rsidRPr="00896374" w:rsidRDefault="00BE690A" w:rsidP="00931169">
            <w:pPr>
              <w:rPr>
                <w:sz w:val="18"/>
              </w:rPr>
            </w:pPr>
            <w:r w:rsidRPr="00896374">
              <w:rPr>
                <w:sz w:val="18"/>
              </w:rPr>
              <w:t>Vysvetlivky</w:t>
            </w:r>
          </w:p>
        </w:tc>
        <w:tc>
          <w:tcPr>
            <w:tcW w:w="8185" w:type="dxa"/>
            <w:gridSpan w:val="5"/>
            <w:shd w:val="clear" w:color="auto" w:fill="auto"/>
            <w:vAlign w:val="center"/>
          </w:tcPr>
          <w:p w14:paraId="3E5B909C" w14:textId="77777777" w:rsidR="00BE690A" w:rsidRPr="00896374" w:rsidRDefault="00BE690A" w:rsidP="00931169">
            <w:pPr>
              <w:rPr>
                <w:sz w:val="18"/>
              </w:rPr>
            </w:pPr>
          </w:p>
        </w:tc>
      </w:tr>
      <w:tr w:rsidR="00BE690A" w:rsidRPr="00BE329E" w14:paraId="6F959AC6"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0"/>
        </w:trPr>
        <w:tc>
          <w:tcPr>
            <w:tcW w:w="1029" w:type="dxa"/>
            <w:gridSpan w:val="2"/>
            <w:tcBorders>
              <w:top w:val="single" w:sz="4" w:space="0" w:color="auto"/>
              <w:left w:val="single" w:sz="4" w:space="0" w:color="auto"/>
              <w:bottom w:val="single" w:sz="4" w:space="0" w:color="auto"/>
              <w:right w:val="single" w:sz="4" w:space="0" w:color="auto"/>
            </w:tcBorders>
            <w:shd w:val="clear" w:color="auto" w:fill="FFA48F"/>
            <w:vAlign w:val="center"/>
          </w:tcPr>
          <w:p w14:paraId="565BDDCC" w14:textId="77777777" w:rsidR="00BE690A" w:rsidRPr="00BE329E" w:rsidRDefault="00BE690A" w:rsidP="00931169">
            <w:pPr>
              <w:rPr>
                <w:sz w:val="18"/>
              </w:rPr>
            </w:pPr>
          </w:p>
        </w:tc>
        <w:tc>
          <w:tcPr>
            <w:tcW w:w="8185" w:type="dxa"/>
            <w:gridSpan w:val="5"/>
            <w:shd w:val="clear" w:color="auto" w:fill="auto"/>
            <w:vAlign w:val="center"/>
          </w:tcPr>
          <w:p w14:paraId="1D58B7F3" w14:textId="77777777" w:rsidR="00BE690A" w:rsidRPr="00BE329E" w:rsidRDefault="00BE690A" w:rsidP="00931169">
            <w:pPr>
              <w:rPr>
                <w:sz w:val="18"/>
              </w:rPr>
            </w:pPr>
            <w:r w:rsidRPr="00BE329E">
              <w:rPr>
                <w:sz w:val="18"/>
              </w:rPr>
              <w:t>vysoká zraniteľnosť - klimatický jav môže mať významný vplyv na projekt a súvisiace procesy</w:t>
            </w:r>
          </w:p>
        </w:tc>
      </w:tr>
      <w:tr w:rsidR="00BE690A" w:rsidRPr="00BE329E" w14:paraId="2F9254B7"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29" w:type="dxa"/>
            <w:gridSpan w:val="2"/>
            <w:tcBorders>
              <w:top w:val="single" w:sz="4" w:space="0" w:color="auto"/>
              <w:left w:val="single" w:sz="4" w:space="0" w:color="auto"/>
              <w:bottom w:val="single" w:sz="4" w:space="0" w:color="auto"/>
              <w:right w:val="single" w:sz="4" w:space="0" w:color="auto"/>
            </w:tcBorders>
            <w:shd w:val="clear" w:color="auto" w:fill="FFFF97"/>
            <w:vAlign w:val="center"/>
          </w:tcPr>
          <w:p w14:paraId="595F924B" w14:textId="77777777" w:rsidR="00BE690A" w:rsidRPr="00BE329E" w:rsidRDefault="00BE690A" w:rsidP="00931169">
            <w:pPr>
              <w:rPr>
                <w:sz w:val="18"/>
              </w:rPr>
            </w:pPr>
          </w:p>
        </w:tc>
        <w:tc>
          <w:tcPr>
            <w:tcW w:w="8185" w:type="dxa"/>
            <w:gridSpan w:val="5"/>
            <w:shd w:val="clear" w:color="auto" w:fill="auto"/>
            <w:vAlign w:val="center"/>
          </w:tcPr>
          <w:p w14:paraId="427C2488" w14:textId="77777777" w:rsidR="00BE690A" w:rsidRPr="00BE329E" w:rsidRDefault="00BE690A" w:rsidP="00931169">
            <w:pPr>
              <w:rPr>
                <w:sz w:val="18"/>
              </w:rPr>
            </w:pPr>
            <w:r w:rsidRPr="00BE329E">
              <w:rPr>
                <w:sz w:val="18"/>
              </w:rPr>
              <w:t>stredná zraniteľnosť - klimatický jav môže mať mierny vplyv na projekt a súvisiace procesy</w:t>
            </w:r>
          </w:p>
        </w:tc>
      </w:tr>
      <w:tr w:rsidR="00BE690A" w:rsidRPr="00BE329E" w14:paraId="47A1DEA2"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29" w:type="dxa"/>
            <w:gridSpan w:val="2"/>
            <w:tcBorders>
              <w:top w:val="single" w:sz="4" w:space="0" w:color="auto"/>
              <w:left w:val="single" w:sz="4" w:space="0" w:color="auto"/>
              <w:bottom w:val="single" w:sz="4" w:space="0" w:color="auto"/>
              <w:right w:val="single" w:sz="4" w:space="0" w:color="auto"/>
            </w:tcBorders>
            <w:shd w:val="clear" w:color="auto" w:fill="D6E3BC"/>
            <w:vAlign w:val="center"/>
          </w:tcPr>
          <w:p w14:paraId="1BC8CC1F" w14:textId="77777777" w:rsidR="00BE690A" w:rsidRPr="00BE329E" w:rsidRDefault="00BE690A" w:rsidP="00931169">
            <w:pPr>
              <w:rPr>
                <w:sz w:val="18"/>
              </w:rPr>
            </w:pPr>
          </w:p>
        </w:tc>
        <w:tc>
          <w:tcPr>
            <w:tcW w:w="8185" w:type="dxa"/>
            <w:gridSpan w:val="5"/>
            <w:shd w:val="clear" w:color="auto" w:fill="auto"/>
            <w:vAlign w:val="center"/>
          </w:tcPr>
          <w:p w14:paraId="014B7A5C" w14:textId="77777777" w:rsidR="00BE690A" w:rsidRPr="00BE329E" w:rsidRDefault="00BE690A" w:rsidP="00931169">
            <w:pPr>
              <w:rPr>
                <w:sz w:val="18"/>
              </w:rPr>
            </w:pPr>
            <w:r w:rsidRPr="00BE329E">
              <w:rPr>
                <w:sz w:val="18"/>
              </w:rPr>
              <w:t>nízka zraniteľnosť - klimatický jav nemá žiadny vplyv na projekt a súvisiace procesy</w:t>
            </w:r>
          </w:p>
        </w:tc>
      </w:tr>
    </w:tbl>
    <w:p w14:paraId="27E6C412" w14:textId="77777777" w:rsidR="00BE690A" w:rsidRPr="003A3BA4" w:rsidRDefault="00BE690A" w:rsidP="00931169">
      <w:pPr>
        <w:spacing w:before="240"/>
      </w:pPr>
      <w:r w:rsidRPr="007600F5">
        <w:lastRenderedPageBreak/>
        <w:t>Matica zraniteľnosti pre žel. prevádzku (dopravno-prevádzkové riešenie):</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21"/>
        <w:gridCol w:w="508"/>
        <w:gridCol w:w="410"/>
        <w:gridCol w:w="2995"/>
        <w:gridCol w:w="2250"/>
        <w:gridCol w:w="2496"/>
        <w:gridCol w:w="34"/>
      </w:tblGrid>
      <w:tr w:rsidR="00BE690A" w:rsidRPr="00BE329E" w14:paraId="64EC394F" w14:textId="77777777" w:rsidTr="00BE690A">
        <w:trPr>
          <w:gridAfter w:val="1"/>
          <w:wAfter w:w="34" w:type="dxa"/>
          <w:cantSplit/>
          <w:trHeight w:val="91"/>
        </w:trPr>
        <w:tc>
          <w:tcPr>
            <w:tcW w:w="1439" w:type="dxa"/>
            <w:gridSpan w:val="3"/>
            <w:vMerge w:val="restart"/>
            <w:tcBorders>
              <w:top w:val="double" w:sz="4" w:space="0" w:color="auto"/>
              <w:left w:val="double" w:sz="4" w:space="0" w:color="auto"/>
              <w:right w:val="double" w:sz="4" w:space="0" w:color="auto"/>
            </w:tcBorders>
            <w:shd w:val="clear" w:color="auto" w:fill="FFFFFF"/>
            <w:textDirection w:val="btLr"/>
            <w:vAlign w:val="center"/>
          </w:tcPr>
          <w:p w14:paraId="5AFCB5F6" w14:textId="77777777" w:rsidR="00BE690A" w:rsidRPr="00BE329E" w:rsidRDefault="00BE690A" w:rsidP="00931169">
            <w:pPr>
              <w:rPr>
                <w:sz w:val="18"/>
              </w:rPr>
            </w:pPr>
          </w:p>
          <w:p w14:paraId="2BDD8CE3" w14:textId="77777777" w:rsidR="00BE690A" w:rsidRPr="00BE329E" w:rsidRDefault="00BE690A" w:rsidP="00931169">
            <w:pPr>
              <w:rPr>
                <w:sz w:val="18"/>
              </w:rPr>
            </w:pPr>
          </w:p>
        </w:tc>
        <w:tc>
          <w:tcPr>
            <w:tcW w:w="7741" w:type="dxa"/>
            <w:gridSpan w:val="3"/>
            <w:tcBorders>
              <w:top w:val="double" w:sz="4" w:space="0" w:color="auto"/>
              <w:left w:val="double" w:sz="4" w:space="0" w:color="auto"/>
              <w:bottom w:val="double" w:sz="4" w:space="0" w:color="auto"/>
              <w:right w:val="double" w:sz="4" w:space="0" w:color="auto"/>
            </w:tcBorders>
            <w:shd w:val="clear" w:color="auto" w:fill="FFFFFF"/>
            <w:vAlign w:val="center"/>
          </w:tcPr>
          <w:p w14:paraId="6D72B73B" w14:textId="77777777" w:rsidR="00BE690A" w:rsidRPr="00BE329E" w:rsidRDefault="00BE690A" w:rsidP="00931169">
            <w:pPr>
              <w:rPr>
                <w:b/>
                <w:sz w:val="18"/>
              </w:rPr>
            </w:pPr>
            <w:r w:rsidRPr="00BE329E">
              <w:rPr>
                <w:b/>
                <w:sz w:val="18"/>
              </w:rPr>
              <w:t>Expozícia</w:t>
            </w:r>
          </w:p>
        </w:tc>
      </w:tr>
      <w:tr w:rsidR="00BE690A" w:rsidRPr="00BE329E" w14:paraId="563AAAE6" w14:textId="77777777" w:rsidTr="00BE690A">
        <w:trPr>
          <w:gridAfter w:val="1"/>
          <w:wAfter w:w="34" w:type="dxa"/>
          <w:cantSplit/>
          <w:trHeight w:val="205"/>
        </w:trPr>
        <w:tc>
          <w:tcPr>
            <w:tcW w:w="1439" w:type="dxa"/>
            <w:gridSpan w:val="3"/>
            <w:vMerge/>
            <w:tcBorders>
              <w:left w:val="double" w:sz="4" w:space="0" w:color="auto"/>
              <w:bottom w:val="double" w:sz="4" w:space="0" w:color="auto"/>
              <w:right w:val="double" w:sz="4" w:space="0" w:color="auto"/>
            </w:tcBorders>
            <w:shd w:val="clear" w:color="auto" w:fill="FFFFFF"/>
            <w:textDirection w:val="btLr"/>
            <w:vAlign w:val="center"/>
          </w:tcPr>
          <w:p w14:paraId="555F74AC" w14:textId="77777777" w:rsidR="00BE690A" w:rsidRPr="00BE329E" w:rsidRDefault="00BE690A" w:rsidP="00931169">
            <w:pPr>
              <w:rPr>
                <w:sz w:val="18"/>
              </w:rPr>
            </w:pPr>
          </w:p>
        </w:tc>
        <w:tc>
          <w:tcPr>
            <w:tcW w:w="2995" w:type="dxa"/>
            <w:tcBorders>
              <w:top w:val="double" w:sz="4" w:space="0" w:color="auto"/>
              <w:left w:val="double" w:sz="4" w:space="0" w:color="auto"/>
              <w:bottom w:val="double" w:sz="4" w:space="0" w:color="auto"/>
              <w:right w:val="double" w:sz="4" w:space="0" w:color="auto"/>
            </w:tcBorders>
            <w:shd w:val="clear" w:color="auto" w:fill="FFFFFF"/>
            <w:vAlign w:val="center"/>
          </w:tcPr>
          <w:p w14:paraId="4A0BD6AE" w14:textId="77777777" w:rsidR="00BE690A" w:rsidRPr="00BE329E" w:rsidRDefault="00BE690A" w:rsidP="00931169">
            <w:pPr>
              <w:rPr>
                <w:b/>
                <w:sz w:val="18"/>
              </w:rPr>
            </w:pPr>
            <w:r w:rsidRPr="00BE329E">
              <w:rPr>
                <w:b/>
                <w:sz w:val="18"/>
              </w:rPr>
              <w:t>Nízka</w:t>
            </w:r>
          </w:p>
        </w:tc>
        <w:tc>
          <w:tcPr>
            <w:tcW w:w="2250" w:type="dxa"/>
            <w:tcBorders>
              <w:top w:val="double" w:sz="4" w:space="0" w:color="auto"/>
              <w:left w:val="double" w:sz="4" w:space="0" w:color="auto"/>
              <w:bottom w:val="double" w:sz="4" w:space="0" w:color="auto"/>
            </w:tcBorders>
            <w:shd w:val="clear" w:color="auto" w:fill="FFFFFF"/>
            <w:vAlign w:val="center"/>
          </w:tcPr>
          <w:p w14:paraId="4337B624" w14:textId="77777777" w:rsidR="00BE690A" w:rsidRPr="00BE329E" w:rsidRDefault="00BE690A" w:rsidP="00931169">
            <w:pPr>
              <w:rPr>
                <w:b/>
                <w:sz w:val="18"/>
              </w:rPr>
            </w:pPr>
            <w:r w:rsidRPr="00BE329E">
              <w:rPr>
                <w:b/>
                <w:sz w:val="18"/>
              </w:rPr>
              <w:t>Stredná</w:t>
            </w:r>
          </w:p>
        </w:tc>
        <w:tc>
          <w:tcPr>
            <w:tcW w:w="2496" w:type="dxa"/>
            <w:tcBorders>
              <w:top w:val="double" w:sz="4" w:space="0" w:color="auto"/>
              <w:bottom w:val="double" w:sz="4" w:space="0" w:color="auto"/>
              <w:right w:val="double" w:sz="4" w:space="0" w:color="auto"/>
            </w:tcBorders>
            <w:shd w:val="clear" w:color="auto" w:fill="FFFFFF"/>
            <w:vAlign w:val="center"/>
          </w:tcPr>
          <w:p w14:paraId="4B535041" w14:textId="77777777" w:rsidR="00BE690A" w:rsidRPr="00BE329E" w:rsidRDefault="00BE690A" w:rsidP="00931169">
            <w:pPr>
              <w:rPr>
                <w:b/>
                <w:sz w:val="18"/>
              </w:rPr>
            </w:pPr>
            <w:r w:rsidRPr="00BE329E">
              <w:rPr>
                <w:b/>
                <w:sz w:val="18"/>
              </w:rPr>
              <w:t>Vysoká</w:t>
            </w:r>
          </w:p>
        </w:tc>
      </w:tr>
      <w:tr w:rsidR="00BE690A" w:rsidRPr="00BE329E" w14:paraId="4C9A29AE" w14:textId="77777777" w:rsidTr="00BE690A">
        <w:trPr>
          <w:gridAfter w:val="1"/>
          <w:wAfter w:w="34" w:type="dxa"/>
          <w:cantSplit/>
          <w:trHeight w:val="70"/>
        </w:trPr>
        <w:tc>
          <w:tcPr>
            <w:tcW w:w="521" w:type="dxa"/>
            <w:vMerge w:val="restart"/>
            <w:tcBorders>
              <w:top w:val="double" w:sz="4" w:space="0" w:color="auto"/>
              <w:left w:val="double" w:sz="4" w:space="0" w:color="auto"/>
              <w:right w:val="double" w:sz="4" w:space="0" w:color="auto"/>
            </w:tcBorders>
            <w:shd w:val="clear" w:color="auto" w:fill="FFFFFF"/>
            <w:textDirection w:val="btLr"/>
            <w:vAlign w:val="center"/>
          </w:tcPr>
          <w:p w14:paraId="23BB18DE" w14:textId="77777777" w:rsidR="00BE690A" w:rsidRPr="00BE329E" w:rsidRDefault="00BE690A" w:rsidP="00931169">
            <w:pPr>
              <w:rPr>
                <w:b/>
                <w:sz w:val="18"/>
              </w:rPr>
            </w:pPr>
            <w:r w:rsidRPr="00BE329E">
              <w:rPr>
                <w:b/>
                <w:sz w:val="18"/>
              </w:rPr>
              <w:t>Citlivosť</w:t>
            </w:r>
          </w:p>
        </w:tc>
        <w:tc>
          <w:tcPr>
            <w:tcW w:w="918" w:type="dxa"/>
            <w:gridSpan w:val="2"/>
            <w:tcBorders>
              <w:top w:val="double" w:sz="4" w:space="0" w:color="auto"/>
              <w:left w:val="double" w:sz="4" w:space="0" w:color="auto"/>
              <w:bottom w:val="double" w:sz="4" w:space="0" w:color="auto"/>
              <w:right w:val="double" w:sz="4" w:space="0" w:color="auto"/>
            </w:tcBorders>
            <w:shd w:val="clear" w:color="auto" w:fill="FFFFFF"/>
            <w:vAlign w:val="center"/>
          </w:tcPr>
          <w:p w14:paraId="5BB5B1EC" w14:textId="77777777" w:rsidR="00BE690A" w:rsidRPr="00BE329E" w:rsidRDefault="00BE690A" w:rsidP="00931169">
            <w:pPr>
              <w:rPr>
                <w:b/>
                <w:sz w:val="18"/>
              </w:rPr>
            </w:pPr>
            <w:r w:rsidRPr="00BE329E">
              <w:rPr>
                <w:b/>
                <w:sz w:val="18"/>
              </w:rPr>
              <w:t>Nízka</w:t>
            </w:r>
          </w:p>
        </w:tc>
        <w:tc>
          <w:tcPr>
            <w:tcW w:w="2995" w:type="dxa"/>
            <w:tcBorders>
              <w:top w:val="double" w:sz="4" w:space="0" w:color="auto"/>
              <w:left w:val="double" w:sz="4" w:space="0" w:color="auto"/>
              <w:bottom w:val="single" w:sz="4" w:space="0" w:color="auto"/>
            </w:tcBorders>
            <w:shd w:val="clear" w:color="auto" w:fill="D6E3BC"/>
            <w:vAlign w:val="center"/>
          </w:tcPr>
          <w:p w14:paraId="64778A31" w14:textId="77777777" w:rsidR="00BE690A" w:rsidRPr="00C92614" w:rsidRDefault="00BE690A" w:rsidP="00931169">
            <w:pPr>
              <w:rPr>
                <w:color w:val="FF0000"/>
                <w:sz w:val="18"/>
              </w:rPr>
            </w:pPr>
            <w:r w:rsidRPr="00FA6C9C">
              <w:rPr>
                <w:rFonts w:cs="Calibri"/>
                <w:sz w:val="16"/>
                <w:szCs w:val="16"/>
              </w:rPr>
              <w:t xml:space="preserve">Silné dažde, Vysoké teploty, Snehové a námrazové javy, </w:t>
            </w:r>
            <w:r>
              <w:rPr>
                <w:rFonts w:cs="Calibri"/>
                <w:sz w:val="16"/>
                <w:szCs w:val="16"/>
              </w:rPr>
              <w:t>Povodne,</w:t>
            </w:r>
            <w:r w:rsidRPr="00FA6C9C">
              <w:rPr>
                <w:rFonts w:cs="Calibri"/>
                <w:sz w:val="16"/>
                <w:szCs w:val="16"/>
              </w:rPr>
              <w:t xml:space="preserve"> Sucho, Hmly </w:t>
            </w:r>
          </w:p>
        </w:tc>
        <w:tc>
          <w:tcPr>
            <w:tcW w:w="2250" w:type="dxa"/>
            <w:tcBorders>
              <w:top w:val="double" w:sz="4" w:space="0" w:color="auto"/>
            </w:tcBorders>
            <w:shd w:val="clear" w:color="auto" w:fill="FFFF97"/>
            <w:vAlign w:val="center"/>
          </w:tcPr>
          <w:p w14:paraId="58FD6360" w14:textId="77777777" w:rsidR="00BE690A" w:rsidRPr="00C92614" w:rsidRDefault="00BE690A" w:rsidP="00931169">
            <w:pPr>
              <w:rPr>
                <w:rFonts w:cs="Calibri"/>
                <w:color w:val="FF0000"/>
                <w:sz w:val="16"/>
                <w:szCs w:val="16"/>
              </w:rPr>
            </w:pPr>
            <w:r w:rsidRPr="00FA6C9C">
              <w:rPr>
                <w:rFonts w:cs="Calibri"/>
                <w:sz w:val="16"/>
                <w:szCs w:val="16"/>
              </w:rPr>
              <w:t xml:space="preserve">Búrkové </w:t>
            </w:r>
            <w:r>
              <w:rPr>
                <w:rFonts w:cs="Calibri"/>
                <w:sz w:val="16"/>
                <w:szCs w:val="16"/>
              </w:rPr>
              <w:t>javy</w:t>
            </w:r>
          </w:p>
        </w:tc>
        <w:tc>
          <w:tcPr>
            <w:tcW w:w="2496" w:type="dxa"/>
            <w:tcBorders>
              <w:top w:val="double" w:sz="4" w:space="0" w:color="auto"/>
              <w:bottom w:val="single" w:sz="4" w:space="0" w:color="auto"/>
              <w:right w:val="double" w:sz="4" w:space="0" w:color="auto"/>
            </w:tcBorders>
            <w:shd w:val="clear" w:color="auto" w:fill="FFFF97"/>
            <w:vAlign w:val="center"/>
          </w:tcPr>
          <w:p w14:paraId="0BDA3118" w14:textId="77777777" w:rsidR="00BE690A" w:rsidRPr="00BE329E" w:rsidRDefault="00BE690A" w:rsidP="00931169">
            <w:pPr>
              <w:rPr>
                <w:sz w:val="18"/>
              </w:rPr>
            </w:pPr>
          </w:p>
        </w:tc>
      </w:tr>
      <w:tr w:rsidR="00BE690A" w:rsidRPr="00BE329E" w14:paraId="4CD347AA" w14:textId="77777777" w:rsidTr="00BE690A">
        <w:trPr>
          <w:gridAfter w:val="1"/>
          <w:wAfter w:w="34" w:type="dxa"/>
          <w:cantSplit/>
          <w:trHeight w:val="70"/>
        </w:trPr>
        <w:tc>
          <w:tcPr>
            <w:tcW w:w="521" w:type="dxa"/>
            <w:vMerge/>
            <w:tcBorders>
              <w:left w:val="double" w:sz="4" w:space="0" w:color="auto"/>
              <w:right w:val="double" w:sz="4" w:space="0" w:color="auto"/>
            </w:tcBorders>
            <w:shd w:val="clear" w:color="auto" w:fill="FFFFFF"/>
            <w:textDirection w:val="btLr"/>
            <w:vAlign w:val="center"/>
          </w:tcPr>
          <w:p w14:paraId="513DC862" w14:textId="77777777" w:rsidR="00BE690A" w:rsidRPr="00BE329E" w:rsidRDefault="00BE690A" w:rsidP="00931169">
            <w:pPr>
              <w:rPr>
                <w:b/>
                <w:sz w:val="18"/>
              </w:rPr>
            </w:pPr>
          </w:p>
        </w:tc>
        <w:tc>
          <w:tcPr>
            <w:tcW w:w="918" w:type="dxa"/>
            <w:gridSpan w:val="2"/>
            <w:tcBorders>
              <w:top w:val="double" w:sz="4" w:space="0" w:color="auto"/>
              <w:left w:val="double" w:sz="4" w:space="0" w:color="auto"/>
              <w:bottom w:val="double" w:sz="4" w:space="0" w:color="auto"/>
              <w:right w:val="double" w:sz="4" w:space="0" w:color="auto"/>
            </w:tcBorders>
            <w:shd w:val="clear" w:color="auto" w:fill="FFFFFF"/>
            <w:vAlign w:val="center"/>
          </w:tcPr>
          <w:p w14:paraId="4A3D3F14" w14:textId="77777777" w:rsidR="00BE690A" w:rsidRPr="00BE329E" w:rsidRDefault="00BE690A" w:rsidP="00931169">
            <w:pPr>
              <w:rPr>
                <w:b/>
                <w:sz w:val="18"/>
              </w:rPr>
            </w:pPr>
            <w:r w:rsidRPr="00BE329E">
              <w:rPr>
                <w:b/>
                <w:sz w:val="18"/>
              </w:rPr>
              <w:t>Stredná</w:t>
            </w:r>
          </w:p>
        </w:tc>
        <w:tc>
          <w:tcPr>
            <w:tcW w:w="2995" w:type="dxa"/>
            <w:tcBorders>
              <w:top w:val="single" w:sz="4" w:space="0" w:color="auto"/>
              <w:left w:val="double" w:sz="4" w:space="0" w:color="auto"/>
            </w:tcBorders>
            <w:shd w:val="clear" w:color="auto" w:fill="FFFF97"/>
            <w:vAlign w:val="center"/>
          </w:tcPr>
          <w:p w14:paraId="2AA9B630" w14:textId="77777777" w:rsidR="00BE690A" w:rsidRPr="00FA6C9C" w:rsidRDefault="00BE690A" w:rsidP="00931169">
            <w:pPr>
              <w:rPr>
                <w:rFonts w:cs="Calibri"/>
                <w:sz w:val="16"/>
                <w:szCs w:val="16"/>
              </w:rPr>
            </w:pPr>
          </w:p>
        </w:tc>
        <w:tc>
          <w:tcPr>
            <w:tcW w:w="2250" w:type="dxa"/>
            <w:tcBorders>
              <w:right w:val="single" w:sz="4" w:space="0" w:color="auto"/>
            </w:tcBorders>
            <w:shd w:val="clear" w:color="auto" w:fill="FFA48F"/>
            <w:vAlign w:val="center"/>
          </w:tcPr>
          <w:p w14:paraId="4BBF13B2" w14:textId="77777777" w:rsidR="00BE690A" w:rsidRDefault="00BE690A" w:rsidP="00931169">
            <w:pPr>
              <w:rPr>
                <w:rFonts w:cs="Calibri"/>
                <w:sz w:val="16"/>
                <w:szCs w:val="16"/>
              </w:rPr>
            </w:pPr>
            <w:r w:rsidRPr="00FA6C9C">
              <w:rPr>
                <w:rFonts w:cs="Calibri"/>
                <w:sz w:val="16"/>
                <w:szCs w:val="16"/>
              </w:rPr>
              <w:t>Silný vietor</w:t>
            </w:r>
          </w:p>
          <w:p w14:paraId="7C637FB5" w14:textId="77777777" w:rsidR="00BE690A" w:rsidRPr="00C92614" w:rsidRDefault="00BE690A" w:rsidP="00931169">
            <w:pPr>
              <w:rPr>
                <w:rFonts w:cs="Calibri"/>
                <w:color w:val="FF0000"/>
                <w:sz w:val="16"/>
                <w:szCs w:val="16"/>
              </w:rPr>
            </w:pPr>
            <w:r w:rsidRPr="00FA6C9C">
              <w:rPr>
                <w:rFonts w:cs="Calibri"/>
                <w:sz w:val="16"/>
                <w:szCs w:val="16"/>
              </w:rPr>
              <w:t>Zosuvy</w:t>
            </w:r>
          </w:p>
        </w:tc>
        <w:tc>
          <w:tcPr>
            <w:tcW w:w="2496" w:type="dxa"/>
            <w:tcBorders>
              <w:top w:val="single" w:sz="4" w:space="0" w:color="auto"/>
              <w:left w:val="single" w:sz="4" w:space="0" w:color="auto"/>
              <w:bottom w:val="single" w:sz="4" w:space="0" w:color="auto"/>
              <w:right w:val="double" w:sz="4" w:space="0" w:color="auto"/>
            </w:tcBorders>
            <w:shd w:val="clear" w:color="auto" w:fill="FFA48F"/>
            <w:vAlign w:val="center"/>
          </w:tcPr>
          <w:p w14:paraId="1027401D" w14:textId="77777777" w:rsidR="00BE690A" w:rsidRPr="00BE329E" w:rsidRDefault="00BE690A" w:rsidP="00931169">
            <w:pPr>
              <w:rPr>
                <w:sz w:val="18"/>
              </w:rPr>
            </w:pPr>
          </w:p>
        </w:tc>
      </w:tr>
      <w:tr w:rsidR="00BE690A" w:rsidRPr="00BE329E" w14:paraId="35A30F3C" w14:textId="77777777" w:rsidTr="00BE690A">
        <w:trPr>
          <w:gridAfter w:val="1"/>
          <w:wAfter w:w="34" w:type="dxa"/>
          <w:cantSplit/>
          <w:trHeight w:val="173"/>
        </w:trPr>
        <w:tc>
          <w:tcPr>
            <w:tcW w:w="521" w:type="dxa"/>
            <w:vMerge/>
            <w:tcBorders>
              <w:left w:val="double" w:sz="4" w:space="0" w:color="auto"/>
              <w:bottom w:val="double" w:sz="4" w:space="0" w:color="auto"/>
              <w:right w:val="double" w:sz="4" w:space="0" w:color="auto"/>
            </w:tcBorders>
            <w:shd w:val="clear" w:color="auto" w:fill="FFFFFF"/>
            <w:textDirection w:val="btLr"/>
            <w:vAlign w:val="center"/>
          </w:tcPr>
          <w:p w14:paraId="60712843" w14:textId="77777777" w:rsidR="00BE690A" w:rsidRPr="00BE329E" w:rsidRDefault="00BE690A" w:rsidP="00931169">
            <w:pPr>
              <w:rPr>
                <w:b/>
                <w:sz w:val="18"/>
              </w:rPr>
            </w:pPr>
          </w:p>
        </w:tc>
        <w:tc>
          <w:tcPr>
            <w:tcW w:w="918" w:type="dxa"/>
            <w:gridSpan w:val="2"/>
            <w:tcBorders>
              <w:top w:val="double" w:sz="4" w:space="0" w:color="auto"/>
              <w:left w:val="double" w:sz="4" w:space="0" w:color="auto"/>
              <w:bottom w:val="double" w:sz="4" w:space="0" w:color="auto"/>
              <w:right w:val="double" w:sz="4" w:space="0" w:color="auto"/>
            </w:tcBorders>
            <w:shd w:val="clear" w:color="auto" w:fill="FFFFFF"/>
            <w:vAlign w:val="center"/>
          </w:tcPr>
          <w:p w14:paraId="70227491" w14:textId="77777777" w:rsidR="00BE690A" w:rsidRPr="00BE329E" w:rsidRDefault="00BE690A" w:rsidP="00931169">
            <w:pPr>
              <w:rPr>
                <w:b/>
                <w:sz w:val="18"/>
              </w:rPr>
            </w:pPr>
            <w:r w:rsidRPr="00BE329E">
              <w:rPr>
                <w:b/>
                <w:sz w:val="18"/>
              </w:rPr>
              <w:t>Vysoká</w:t>
            </w:r>
          </w:p>
        </w:tc>
        <w:tc>
          <w:tcPr>
            <w:tcW w:w="2995" w:type="dxa"/>
            <w:tcBorders>
              <w:left w:val="double" w:sz="4" w:space="0" w:color="auto"/>
              <w:bottom w:val="double" w:sz="4" w:space="0" w:color="auto"/>
            </w:tcBorders>
            <w:shd w:val="clear" w:color="auto" w:fill="FFFF97"/>
            <w:vAlign w:val="center"/>
          </w:tcPr>
          <w:p w14:paraId="74DEE3E5" w14:textId="77777777" w:rsidR="00BE690A" w:rsidRPr="00BE329E" w:rsidRDefault="00BE690A" w:rsidP="00931169">
            <w:pPr>
              <w:rPr>
                <w:sz w:val="18"/>
              </w:rPr>
            </w:pPr>
          </w:p>
        </w:tc>
        <w:tc>
          <w:tcPr>
            <w:tcW w:w="2250" w:type="dxa"/>
            <w:tcBorders>
              <w:bottom w:val="double" w:sz="4" w:space="0" w:color="auto"/>
              <w:right w:val="single" w:sz="4" w:space="0" w:color="auto"/>
            </w:tcBorders>
            <w:shd w:val="clear" w:color="auto" w:fill="FFA48F"/>
            <w:vAlign w:val="center"/>
          </w:tcPr>
          <w:p w14:paraId="25D9C6E6" w14:textId="77777777" w:rsidR="00BE690A" w:rsidRPr="00BE329E" w:rsidRDefault="00BE690A" w:rsidP="00931169">
            <w:pPr>
              <w:rPr>
                <w:sz w:val="18"/>
              </w:rPr>
            </w:pPr>
          </w:p>
        </w:tc>
        <w:tc>
          <w:tcPr>
            <w:tcW w:w="2496" w:type="dxa"/>
            <w:tcBorders>
              <w:top w:val="single" w:sz="4" w:space="0" w:color="auto"/>
              <w:left w:val="single" w:sz="4" w:space="0" w:color="auto"/>
              <w:bottom w:val="double" w:sz="4" w:space="0" w:color="auto"/>
              <w:right w:val="double" w:sz="4" w:space="0" w:color="auto"/>
            </w:tcBorders>
            <w:shd w:val="clear" w:color="auto" w:fill="FFA48F"/>
            <w:vAlign w:val="center"/>
          </w:tcPr>
          <w:p w14:paraId="2EB01F07" w14:textId="77777777" w:rsidR="00BE690A" w:rsidRPr="00BE329E" w:rsidRDefault="00BE690A" w:rsidP="00931169">
            <w:pPr>
              <w:rPr>
                <w:sz w:val="18"/>
              </w:rPr>
            </w:pPr>
          </w:p>
        </w:tc>
      </w:tr>
      <w:tr w:rsidR="00BE690A" w:rsidRPr="00896374" w14:paraId="0F6E43C1"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29" w:type="dxa"/>
            <w:gridSpan w:val="2"/>
            <w:tcBorders>
              <w:bottom w:val="single" w:sz="4" w:space="0" w:color="auto"/>
            </w:tcBorders>
            <w:shd w:val="clear" w:color="auto" w:fill="auto"/>
            <w:vAlign w:val="center"/>
          </w:tcPr>
          <w:p w14:paraId="4B8C3368" w14:textId="77777777" w:rsidR="00BE690A" w:rsidRPr="00896374" w:rsidRDefault="00BE690A" w:rsidP="00931169">
            <w:pPr>
              <w:rPr>
                <w:sz w:val="18"/>
              </w:rPr>
            </w:pPr>
            <w:r w:rsidRPr="00896374">
              <w:rPr>
                <w:sz w:val="18"/>
              </w:rPr>
              <w:t>Vysvetlivky</w:t>
            </w:r>
          </w:p>
        </w:tc>
        <w:tc>
          <w:tcPr>
            <w:tcW w:w="8185" w:type="dxa"/>
            <w:gridSpan w:val="5"/>
            <w:shd w:val="clear" w:color="auto" w:fill="auto"/>
            <w:vAlign w:val="center"/>
          </w:tcPr>
          <w:p w14:paraId="5C9D08FA" w14:textId="77777777" w:rsidR="00BE690A" w:rsidRPr="00896374" w:rsidRDefault="00BE690A" w:rsidP="00931169">
            <w:pPr>
              <w:rPr>
                <w:sz w:val="18"/>
              </w:rPr>
            </w:pPr>
          </w:p>
        </w:tc>
      </w:tr>
      <w:tr w:rsidR="00BE690A" w:rsidRPr="00BE329E" w14:paraId="4701BCE9"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trHeight w:val="170"/>
        </w:trPr>
        <w:tc>
          <w:tcPr>
            <w:tcW w:w="1029" w:type="dxa"/>
            <w:gridSpan w:val="2"/>
            <w:tcBorders>
              <w:top w:val="single" w:sz="4" w:space="0" w:color="auto"/>
              <w:left w:val="single" w:sz="4" w:space="0" w:color="auto"/>
              <w:bottom w:val="single" w:sz="4" w:space="0" w:color="auto"/>
              <w:right w:val="single" w:sz="4" w:space="0" w:color="auto"/>
            </w:tcBorders>
            <w:shd w:val="clear" w:color="auto" w:fill="FFA48F"/>
            <w:vAlign w:val="center"/>
          </w:tcPr>
          <w:p w14:paraId="1429E9EE" w14:textId="77777777" w:rsidR="00BE690A" w:rsidRPr="00BE329E" w:rsidRDefault="00BE690A" w:rsidP="00931169">
            <w:pPr>
              <w:rPr>
                <w:sz w:val="18"/>
              </w:rPr>
            </w:pPr>
          </w:p>
        </w:tc>
        <w:tc>
          <w:tcPr>
            <w:tcW w:w="8185" w:type="dxa"/>
            <w:gridSpan w:val="5"/>
            <w:shd w:val="clear" w:color="auto" w:fill="auto"/>
            <w:vAlign w:val="center"/>
          </w:tcPr>
          <w:p w14:paraId="27000663" w14:textId="77777777" w:rsidR="00BE690A" w:rsidRPr="00BE329E" w:rsidRDefault="00BE690A" w:rsidP="00931169">
            <w:pPr>
              <w:rPr>
                <w:sz w:val="18"/>
              </w:rPr>
            </w:pPr>
            <w:r w:rsidRPr="00BE329E">
              <w:rPr>
                <w:sz w:val="18"/>
              </w:rPr>
              <w:t>vysoká zraniteľnosť - klimatický jav môže mať významný vplyv na projekt a súvisiace procesy</w:t>
            </w:r>
          </w:p>
        </w:tc>
      </w:tr>
      <w:tr w:rsidR="00BE690A" w:rsidRPr="00BE329E" w14:paraId="7F6BF79B"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29" w:type="dxa"/>
            <w:gridSpan w:val="2"/>
            <w:tcBorders>
              <w:top w:val="single" w:sz="4" w:space="0" w:color="auto"/>
              <w:left w:val="single" w:sz="4" w:space="0" w:color="auto"/>
              <w:bottom w:val="single" w:sz="4" w:space="0" w:color="auto"/>
              <w:right w:val="single" w:sz="4" w:space="0" w:color="auto"/>
            </w:tcBorders>
            <w:shd w:val="clear" w:color="auto" w:fill="FFFF97"/>
            <w:vAlign w:val="center"/>
          </w:tcPr>
          <w:p w14:paraId="28B91249" w14:textId="77777777" w:rsidR="00BE690A" w:rsidRPr="00BE329E" w:rsidRDefault="00BE690A" w:rsidP="00931169">
            <w:pPr>
              <w:rPr>
                <w:sz w:val="18"/>
              </w:rPr>
            </w:pPr>
          </w:p>
        </w:tc>
        <w:tc>
          <w:tcPr>
            <w:tcW w:w="8185" w:type="dxa"/>
            <w:gridSpan w:val="5"/>
            <w:shd w:val="clear" w:color="auto" w:fill="auto"/>
            <w:vAlign w:val="center"/>
          </w:tcPr>
          <w:p w14:paraId="5EFF339D" w14:textId="77777777" w:rsidR="00BE690A" w:rsidRPr="00BE329E" w:rsidRDefault="00BE690A" w:rsidP="00931169">
            <w:pPr>
              <w:rPr>
                <w:sz w:val="18"/>
              </w:rPr>
            </w:pPr>
            <w:r w:rsidRPr="00BE329E">
              <w:rPr>
                <w:sz w:val="18"/>
              </w:rPr>
              <w:t>stredná zraniteľnosť - klimatický jav môže mať mierny vplyv na projekt a súvisiace procesy</w:t>
            </w:r>
          </w:p>
        </w:tc>
      </w:tr>
      <w:tr w:rsidR="00BE690A" w:rsidRPr="00BE329E" w14:paraId="72A98DA1" w14:textId="77777777" w:rsidTr="00BE690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1029" w:type="dxa"/>
            <w:gridSpan w:val="2"/>
            <w:tcBorders>
              <w:top w:val="single" w:sz="4" w:space="0" w:color="auto"/>
              <w:left w:val="single" w:sz="4" w:space="0" w:color="auto"/>
              <w:bottom w:val="single" w:sz="4" w:space="0" w:color="auto"/>
              <w:right w:val="single" w:sz="4" w:space="0" w:color="auto"/>
            </w:tcBorders>
            <w:shd w:val="clear" w:color="auto" w:fill="D6E3BC"/>
            <w:vAlign w:val="center"/>
          </w:tcPr>
          <w:p w14:paraId="6C06F2E3" w14:textId="77777777" w:rsidR="00BE690A" w:rsidRPr="00BE329E" w:rsidRDefault="00BE690A" w:rsidP="00931169">
            <w:pPr>
              <w:rPr>
                <w:sz w:val="18"/>
              </w:rPr>
            </w:pPr>
          </w:p>
        </w:tc>
        <w:tc>
          <w:tcPr>
            <w:tcW w:w="8185" w:type="dxa"/>
            <w:gridSpan w:val="5"/>
            <w:shd w:val="clear" w:color="auto" w:fill="auto"/>
            <w:vAlign w:val="center"/>
          </w:tcPr>
          <w:p w14:paraId="61A0D8C9" w14:textId="77777777" w:rsidR="00BE690A" w:rsidRPr="00BE329E" w:rsidRDefault="00BE690A" w:rsidP="00931169">
            <w:pPr>
              <w:rPr>
                <w:sz w:val="18"/>
              </w:rPr>
            </w:pPr>
            <w:r w:rsidRPr="00BE329E">
              <w:rPr>
                <w:sz w:val="18"/>
              </w:rPr>
              <w:t>nízka zraniteľnosť - klimatický jav nemá žiadny vplyv na projekt a súvisiace procesy</w:t>
            </w:r>
          </w:p>
        </w:tc>
      </w:tr>
    </w:tbl>
    <w:p w14:paraId="6DAB47EE" w14:textId="77777777" w:rsidR="00BE690A" w:rsidRDefault="00BE690A" w:rsidP="00931169">
      <w:pPr>
        <w:pStyle w:val="BANormlnyvrazn"/>
        <w:spacing w:after="0" w:line="240" w:lineRule="auto"/>
        <w:ind w:firstLine="708"/>
        <w:rPr>
          <w:b w:val="0"/>
          <w:lang w:val="sk-SK"/>
        </w:rPr>
      </w:pPr>
      <w:r>
        <w:rPr>
          <w:b w:val="0"/>
          <w:lang w:val="sk-SK"/>
        </w:rPr>
        <w:t xml:space="preserve">Vykonanými analýzami bola vyhodnotená zraniteľnosť projektu voči pôsobeniu rizikových klimatických javov. </w:t>
      </w:r>
      <w:r w:rsidRPr="00E67474">
        <w:rPr>
          <w:lang w:val="sk-SK"/>
        </w:rPr>
        <w:t>Najmenšiu odolnosť zo stavebno-konštrukčného hľadiska projekt vykazuje pre javy silný vietor, snehové javy, námrazové javy, búrkové javy, povodne a zosuvy – ide o javy s najvýraznejším vplyvom na žel. infraštruktúru riešeného územia, ktorých pôsobenie v budúcnosti bude pravdepodobne výraznejšie v porovnaní so súčasným stavom.</w:t>
      </w:r>
      <w:r>
        <w:rPr>
          <w:b w:val="0"/>
          <w:lang w:val="sk-SK"/>
        </w:rPr>
        <w:t xml:space="preserve"> Následky uvedených javov vyvolávajú poruchy a poškodenia prvkov žel. infraštruktúry, ktoré je potrebné odstrániť s využitím doplnkovej energie a dodatkových nákladov v porovnaní so štandardnými prevádzkovými postupmi ŽSR. </w:t>
      </w:r>
      <w:r w:rsidRPr="00E67474">
        <w:rPr>
          <w:lang w:val="sk-SK"/>
        </w:rPr>
        <w:t>Žel. prevádzka na dotknutom úseku trate vykazuje najvyššiu zraniteľnosť pre klimatické faktory silný vietor a zosuvy</w:t>
      </w:r>
      <w:r>
        <w:rPr>
          <w:b w:val="0"/>
          <w:lang w:val="sk-SK"/>
        </w:rPr>
        <w:t xml:space="preserve"> – vyvolané následky ich pôsobenia spôsobujú dočasné zastavanie žel. dopravy v zasiahnutom traťovom úseku a vyžadujú dodatočné vstupy nad rámec bežných prevádzkových postupov.</w:t>
      </w:r>
    </w:p>
    <w:p w14:paraId="5EF36BC5" w14:textId="77777777" w:rsidR="00BE690A" w:rsidRPr="002952E5" w:rsidRDefault="00BE690A" w:rsidP="00931169">
      <w:pPr>
        <w:pStyle w:val="Nadpis2"/>
      </w:pPr>
      <w:bookmarkStart w:id="64" w:name="_Toc24659587"/>
      <w:bookmarkStart w:id="65" w:name="_Toc24660433"/>
      <w:bookmarkStart w:id="66" w:name="_Toc24661443"/>
      <w:bookmarkStart w:id="67" w:name="_Toc88652932"/>
      <w:r w:rsidRPr="002952E5">
        <w:t>Posúdenie miery rizika a návrh adaptačných opatrení</w:t>
      </w:r>
      <w:r>
        <w:t>:</w:t>
      </w:r>
      <w:bookmarkEnd w:id="64"/>
      <w:bookmarkEnd w:id="65"/>
      <w:bookmarkEnd w:id="66"/>
      <w:bookmarkEnd w:id="67"/>
    </w:p>
    <w:p w14:paraId="3B7A5D94" w14:textId="77777777" w:rsidR="00BE690A" w:rsidRPr="00794572" w:rsidRDefault="00BE690A" w:rsidP="00931169">
      <w:pPr>
        <w:keepNext/>
        <w:ind w:firstLine="708"/>
      </w:pPr>
      <w:r>
        <w:t xml:space="preserve">Pre klimatické javy projektu, u ktorých bola stanovená stredná alebo vysoká zraniteľnosť bola posúdená miera rizika vzniku nepriaznivej situácie a závažnosti jej dopadu na projekt. </w:t>
      </w:r>
      <w:r w:rsidRPr="000B7C5C">
        <w:t>Miera rizika bola určená na základe pravdepodobnosti, že daná udalosť nastane a veľkosti potenciálneho dopadu.</w:t>
      </w:r>
      <w:r>
        <w:t xml:space="preserve"> </w:t>
      </w:r>
      <w:r w:rsidRPr="00572489">
        <w:t xml:space="preserve">Zároveň boli </w:t>
      </w:r>
      <w:r w:rsidRPr="00794572">
        <w:t>identifikované úseky príp. objekty rizikové z hľadiska vzniku nepriaznivej situácie.</w:t>
      </w:r>
    </w:p>
    <w:p w14:paraId="6064B7A7" w14:textId="77777777" w:rsidR="00BE690A" w:rsidRDefault="00BE690A" w:rsidP="00931169">
      <w:pPr>
        <w:ind w:firstLine="708"/>
      </w:pPr>
      <w:r>
        <w:t xml:space="preserve">Pokladom pre vykonanie rizikovej analýzy z hľadiska dopadov zmeny klímy na projekt boli údaje o navrhovanom technickom riešení jednotlivých variantov a údaje zozbierané v predošlých dvoch krokoch posúdenia (predovšetkým informácie o prejavoch zmeny klímy na žel. infraštruktúre a doterajších prejavoch klimatických </w:t>
      </w:r>
      <w:r w:rsidRPr="00794572">
        <w:t xml:space="preserve">charakteristík a ich pravdepodobnom vývoji). Identifikácia rizikových úsekov žel. trate resp. stavebných objektov bola </w:t>
      </w:r>
      <w:r w:rsidRPr="00572489">
        <w:t>riešená v spolupráci s odborníkmi z príslušných</w:t>
      </w:r>
      <w:r w:rsidRPr="0012779D">
        <w:t xml:space="preserve"> technických oblastí</w:t>
      </w:r>
      <w:r>
        <w:t>.</w:t>
      </w:r>
    </w:p>
    <w:p w14:paraId="12E6670D" w14:textId="77777777" w:rsidR="00BE690A" w:rsidRPr="00260F27" w:rsidRDefault="00BE690A" w:rsidP="00931169">
      <w:pPr>
        <w:ind w:firstLine="708"/>
      </w:pPr>
      <w:r w:rsidRPr="00260F27">
        <w:t>Pre určené rizikové klimatické javy boli na základe odborných skúseností spracovateľov a</w:t>
      </w:r>
      <w:r>
        <w:t> </w:t>
      </w:r>
      <w:r w:rsidRPr="00260F27">
        <w:t>konzultantov</w:t>
      </w:r>
      <w:r>
        <w:t xml:space="preserve"> z radov projektantov</w:t>
      </w:r>
      <w:r w:rsidRPr="00260F27">
        <w:t xml:space="preserve"> navrhnuté opatrenia pre účely prispôsobenia projektu očakávaným prejavom zmeny klímy v dotknutej lokalite</w:t>
      </w:r>
      <w:r>
        <w:t xml:space="preserve"> a pre </w:t>
      </w:r>
      <w:r w:rsidRPr="00260F27">
        <w:t xml:space="preserve">zmiernenie prípadných negatívnych následkov ich pôsobenia. </w:t>
      </w:r>
    </w:p>
    <w:p w14:paraId="4D134215" w14:textId="77777777" w:rsidR="00BE690A" w:rsidRDefault="00BE690A" w:rsidP="00931169">
      <w:pPr>
        <w:keepNext/>
      </w:pPr>
    </w:p>
    <w:p w14:paraId="2C0C07FC" w14:textId="7FFAA184" w:rsidR="00BE690A" w:rsidRPr="000B7C5C" w:rsidRDefault="00BE690A" w:rsidP="00931169">
      <w:pPr>
        <w:keepNext/>
      </w:pPr>
      <w:r w:rsidRPr="000B7C5C">
        <w:t>Využitá bola päťstupňová hodnotiaca škála pravdepodobnosti výskytu javu:</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1843"/>
        <w:gridCol w:w="6662"/>
      </w:tblGrid>
      <w:tr w:rsidR="00BE690A" w:rsidRPr="00CB45E8" w14:paraId="1B37E0A9" w14:textId="77777777" w:rsidTr="00BE690A">
        <w:trPr>
          <w:jc w:val="center"/>
        </w:trPr>
        <w:tc>
          <w:tcPr>
            <w:tcW w:w="2410" w:type="dxa"/>
            <w:gridSpan w:val="2"/>
            <w:shd w:val="clear" w:color="auto" w:fill="FFFFFF"/>
            <w:vAlign w:val="center"/>
          </w:tcPr>
          <w:p w14:paraId="649B131B" w14:textId="77777777" w:rsidR="00BE690A" w:rsidRPr="00F659C0" w:rsidRDefault="00BE690A" w:rsidP="00931169">
            <w:pPr>
              <w:keepNext/>
              <w:rPr>
                <w:rFonts w:eastAsia="Calibri"/>
                <w:b/>
                <w:sz w:val="18"/>
              </w:rPr>
            </w:pPr>
            <w:r w:rsidRPr="00F659C0">
              <w:rPr>
                <w:rFonts w:eastAsia="Calibri"/>
                <w:b/>
                <w:sz w:val="18"/>
              </w:rPr>
              <w:t>Miera pravdepodobnosti vzniku rizika</w:t>
            </w:r>
          </w:p>
        </w:tc>
        <w:tc>
          <w:tcPr>
            <w:tcW w:w="6662" w:type="dxa"/>
            <w:shd w:val="clear" w:color="auto" w:fill="FFFFFF"/>
            <w:vAlign w:val="center"/>
          </w:tcPr>
          <w:p w14:paraId="2C38D45E" w14:textId="77777777" w:rsidR="00BE690A" w:rsidRPr="00F659C0" w:rsidRDefault="00BE690A" w:rsidP="00931169">
            <w:pPr>
              <w:keepNext/>
              <w:rPr>
                <w:rFonts w:eastAsia="Calibri"/>
                <w:b/>
                <w:sz w:val="18"/>
              </w:rPr>
            </w:pPr>
            <w:r w:rsidRPr="00F659C0">
              <w:rPr>
                <w:rFonts w:eastAsia="Calibri"/>
                <w:b/>
                <w:sz w:val="18"/>
              </w:rPr>
              <w:t>Popis</w:t>
            </w:r>
          </w:p>
        </w:tc>
      </w:tr>
      <w:tr w:rsidR="00BE690A" w:rsidRPr="00CB45E8" w14:paraId="64343E0C" w14:textId="77777777" w:rsidTr="00BE690A">
        <w:trPr>
          <w:jc w:val="center"/>
        </w:trPr>
        <w:tc>
          <w:tcPr>
            <w:tcW w:w="567" w:type="dxa"/>
            <w:shd w:val="clear" w:color="auto" w:fill="EAF1DD" w:themeFill="accent3" w:themeFillTint="33"/>
            <w:vAlign w:val="center"/>
          </w:tcPr>
          <w:p w14:paraId="49B263F3" w14:textId="77777777" w:rsidR="00BE690A" w:rsidRPr="00F659C0" w:rsidRDefault="00BE690A" w:rsidP="00931169">
            <w:pPr>
              <w:keepNext/>
              <w:rPr>
                <w:rFonts w:eastAsia="Calibri"/>
                <w:sz w:val="18"/>
              </w:rPr>
            </w:pPr>
            <w:r w:rsidRPr="00F659C0">
              <w:rPr>
                <w:rFonts w:eastAsia="Calibri"/>
                <w:sz w:val="18"/>
              </w:rPr>
              <w:t>1</w:t>
            </w:r>
          </w:p>
        </w:tc>
        <w:tc>
          <w:tcPr>
            <w:tcW w:w="1843" w:type="dxa"/>
            <w:shd w:val="clear" w:color="auto" w:fill="EAF1DD" w:themeFill="accent3" w:themeFillTint="33"/>
            <w:vAlign w:val="center"/>
          </w:tcPr>
          <w:p w14:paraId="5BB12FBA" w14:textId="77777777" w:rsidR="00BE690A" w:rsidRPr="00F659C0" w:rsidRDefault="00BE690A" w:rsidP="00931169">
            <w:pPr>
              <w:keepNext/>
              <w:rPr>
                <w:rFonts w:eastAsia="Calibri"/>
                <w:sz w:val="18"/>
              </w:rPr>
            </w:pPr>
            <w:r w:rsidRPr="00F659C0">
              <w:rPr>
                <w:rFonts w:eastAsia="Calibri"/>
                <w:sz w:val="18"/>
              </w:rPr>
              <w:t>vzácna</w:t>
            </w:r>
          </w:p>
        </w:tc>
        <w:tc>
          <w:tcPr>
            <w:tcW w:w="6662" w:type="dxa"/>
            <w:shd w:val="clear" w:color="auto" w:fill="auto"/>
            <w:vAlign w:val="center"/>
          </w:tcPr>
          <w:p w14:paraId="3780D33B" w14:textId="77777777" w:rsidR="00BE690A" w:rsidRPr="00F659C0" w:rsidRDefault="00BE690A" w:rsidP="00931169">
            <w:pPr>
              <w:keepNext/>
              <w:rPr>
                <w:rFonts w:eastAsia="Calibri"/>
                <w:sz w:val="18"/>
              </w:rPr>
            </w:pPr>
            <w:r w:rsidRPr="00F659C0">
              <w:rPr>
                <w:rFonts w:eastAsia="Calibri"/>
                <w:sz w:val="18"/>
              </w:rPr>
              <w:t>Vysoko nepravdepodobné, že k výskytu javu dôjde (5% pravdepodobnosť výskytu).</w:t>
            </w:r>
          </w:p>
        </w:tc>
      </w:tr>
      <w:tr w:rsidR="00BE690A" w:rsidRPr="00CB45E8" w14:paraId="2A6E16B3" w14:textId="77777777" w:rsidTr="00BE690A">
        <w:trPr>
          <w:jc w:val="center"/>
        </w:trPr>
        <w:tc>
          <w:tcPr>
            <w:tcW w:w="567" w:type="dxa"/>
            <w:shd w:val="clear" w:color="auto" w:fill="D6E3BC"/>
            <w:vAlign w:val="center"/>
          </w:tcPr>
          <w:p w14:paraId="433D345E" w14:textId="77777777" w:rsidR="00BE690A" w:rsidRPr="00F659C0" w:rsidRDefault="00BE690A" w:rsidP="00931169">
            <w:pPr>
              <w:rPr>
                <w:rFonts w:eastAsia="Calibri"/>
                <w:sz w:val="18"/>
              </w:rPr>
            </w:pPr>
            <w:r w:rsidRPr="00F659C0">
              <w:rPr>
                <w:rFonts w:eastAsia="Calibri"/>
                <w:sz w:val="18"/>
              </w:rPr>
              <w:t>2</w:t>
            </w:r>
          </w:p>
        </w:tc>
        <w:tc>
          <w:tcPr>
            <w:tcW w:w="1843" w:type="dxa"/>
            <w:shd w:val="clear" w:color="auto" w:fill="D6E3BC"/>
            <w:vAlign w:val="center"/>
          </w:tcPr>
          <w:p w14:paraId="1E0EC41B" w14:textId="77777777" w:rsidR="00BE690A" w:rsidRPr="00F659C0" w:rsidRDefault="00BE690A" w:rsidP="00931169">
            <w:pPr>
              <w:rPr>
                <w:rFonts w:eastAsia="Calibri"/>
                <w:sz w:val="18"/>
              </w:rPr>
            </w:pPr>
            <w:r w:rsidRPr="00F659C0">
              <w:rPr>
                <w:rFonts w:eastAsia="Calibri"/>
                <w:sz w:val="18"/>
              </w:rPr>
              <w:t>nepravdepodobná</w:t>
            </w:r>
          </w:p>
        </w:tc>
        <w:tc>
          <w:tcPr>
            <w:tcW w:w="6662" w:type="dxa"/>
            <w:shd w:val="clear" w:color="auto" w:fill="auto"/>
            <w:vAlign w:val="center"/>
          </w:tcPr>
          <w:p w14:paraId="3785FE00" w14:textId="77777777" w:rsidR="00BE690A" w:rsidRPr="00F659C0" w:rsidRDefault="00BE690A" w:rsidP="00931169">
            <w:pPr>
              <w:rPr>
                <w:rFonts w:eastAsia="Calibri"/>
                <w:sz w:val="18"/>
              </w:rPr>
            </w:pPr>
            <w:r w:rsidRPr="00F659C0">
              <w:rPr>
                <w:rFonts w:eastAsia="Calibri"/>
                <w:sz w:val="18"/>
              </w:rPr>
              <w:t>Nepravdepodobná udalosť (20% pravdepodobnosť výskytu).</w:t>
            </w:r>
          </w:p>
        </w:tc>
      </w:tr>
      <w:tr w:rsidR="00BE690A" w:rsidRPr="00CB45E8" w14:paraId="78C52B34" w14:textId="77777777" w:rsidTr="00BE690A">
        <w:trPr>
          <w:jc w:val="center"/>
        </w:trPr>
        <w:tc>
          <w:tcPr>
            <w:tcW w:w="567" w:type="dxa"/>
            <w:shd w:val="clear" w:color="auto" w:fill="FFFF97"/>
            <w:vAlign w:val="center"/>
          </w:tcPr>
          <w:p w14:paraId="5C699C8E" w14:textId="77777777" w:rsidR="00BE690A" w:rsidRPr="00F659C0" w:rsidRDefault="00BE690A" w:rsidP="00931169">
            <w:pPr>
              <w:rPr>
                <w:rFonts w:eastAsia="Calibri"/>
                <w:sz w:val="18"/>
              </w:rPr>
            </w:pPr>
            <w:r w:rsidRPr="00F659C0">
              <w:rPr>
                <w:rFonts w:eastAsia="Calibri"/>
                <w:sz w:val="18"/>
              </w:rPr>
              <w:t>3</w:t>
            </w:r>
          </w:p>
        </w:tc>
        <w:tc>
          <w:tcPr>
            <w:tcW w:w="1843" w:type="dxa"/>
            <w:shd w:val="clear" w:color="auto" w:fill="FFFF97"/>
            <w:vAlign w:val="center"/>
          </w:tcPr>
          <w:p w14:paraId="5AA7D105" w14:textId="77777777" w:rsidR="00BE690A" w:rsidRPr="00F659C0" w:rsidRDefault="00BE690A" w:rsidP="00931169">
            <w:pPr>
              <w:rPr>
                <w:rFonts w:eastAsia="Calibri"/>
                <w:sz w:val="18"/>
              </w:rPr>
            </w:pPr>
            <w:r w:rsidRPr="00F659C0">
              <w:rPr>
                <w:rFonts w:eastAsia="Calibri"/>
                <w:sz w:val="18"/>
              </w:rPr>
              <w:t>mierna</w:t>
            </w:r>
          </w:p>
        </w:tc>
        <w:tc>
          <w:tcPr>
            <w:tcW w:w="6662" w:type="dxa"/>
            <w:shd w:val="clear" w:color="auto" w:fill="auto"/>
            <w:vAlign w:val="center"/>
          </w:tcPr>
          <w:p w14:paraId="730A9A0F" w14:textId="77777777" w:rsidR="00BE690A" w:rsidRPr="00F659C0" w:rsidRDefault="00BE690A" w:rsidP="00931169">
            <w:pPr>
              <w:rPr>
                <w:rFonts w:eastAsia="Calibri"/>
                <w:sz w:val="18"/>
              </w:rPr>
            </w:pPr>
            <w:r w:rsidRPr="00F659C0">
              <w:rPr>
                <w:rFonts w:eastAsia="Calibri"/>
                <w:sz w:val="18"/>
              </w:rPr>
              <w:t>K výskytu javu došlo v podobnom území (50% pravdepodobnosť výskytu).</w:t>
            </w:r>
          </w:p>
        </w:tc>
      </w:tr>
      <w:tr w:rsidR="00BE690A" w:rsidRPr="00CB45E8" w14:paraId="78366965" w14:textId="77777777" w:rsidTr="00BE690A">
        <w:trPr>
          <w:jc w:val="center"/>
        </w:trPr>
        <w:tc>
          <w:tcPr>
            <w:tcW w:w="567" w:type="dxa"/>
            <w:shd w:val="clear" w:color="auto" w:fill="FBD4B4" w:themeFill="accent6" w:themeFillTint="66"/>
            <w:vAlign w:val="center"/>
          </w:tcPr>
          <w:p w14:paraId="3F17708A" w14:textId="77777777" w:rsidR="00BE690A" w:rsidRPr="00F659C0" w:rsidRDefault="00BE690A" w:rsidP="00931169">
            <w:pPr>
              <w:rPr>
                <w:rFonts w:eastAsia="Calibri"/>
                <w:sz w:val="18"/>
              </w:rPr>
            </w:pPr>
            <w:r w:rsidRPr="00F659C0">
              <w:rPr>
                <w:rFonts w:eastAsia="Calibri"/>
                <w:sz w:val="18"/>
              </w:rPr>
              <w:lastRenderedPageBreak/>
              <w:t>4</w:t>
            </w:r>
          </w:p>
        </w:tc>
        <w:tc>
          <w:tcPr>
            <w:tcW w:w="1843" w:type="dxa"/>
            <w:shd w:val="clear" w:color="auto" w:fill="FBD4B4" w:themeFill="accent6" w:themeFillTint="66"/>
            <w:vAlign w:val="center"/>
          </w:tcPr>
          <w:p w14:paraId="01452159" w14:textId="77777777" w:rsidR="00BE690A" w:rsidRPr="00F659C0" w:rsidRDefault="00BE690A" w:rsidP="00931169">
            <w:pPr>
              <w:rPr>
                <w:rFonts w:eastAsia="Calibri"/>
                <w:sz w:val="18"/>
              </w:rPr>
            </w:pPr>
            <w:r w:rsidRPr="00F659C0">
              <w:rPr>
                <w:rFonts w:eastAsia="Calibri"/>
                <w:sz w:val="18"/>
              </w:rPr>
              <w:t>pravdepodobná</w:t>
            </w:r>
          </w:p>
        </w:tc>
        <w:tc>
          <w:tcPr>
            <w:tcW w:w="6662" w:type="dxa"/>
            <w:shd w:val="clear" w:color="auto" w:fill="auto"/>
            <w:vAlign w:val="center"/>
          </w:tcPr>
          <w:p w14:paraId="541D042F" w14:textId="77777777" w:rsidR="00BE690A" w:rsidRPr="00F659C0" w:rsidRDefault="00BE690A" w:rsidP="00931169">
            <w:pPr>
              <w:rPr>
                <w:rFonts w:eastAsia="Calibri"/>
                <w:sz w:val="18"/>
              </w:rPr>
            </w:pPr>
            <w:r w:rsidRPr="00F659C0">
              <w:rPr>
                <w:rFonts w:eastAsia="Calibri"/>
                <w:sz w:val="18"/>
              </w:rPr>
              <w:t>Výskyt javu je pravdepodobný (80% pravdepodobnosť výskytu).</w:t>
            </w:r>
          </w:p>
        </w:tc>
      </w:tr>
      <w:tr w:rsidR="00BE690A" w:rsidRPr="00CB45E8" w14:paraId="3DD479D5" w14:textId="77777777" w:rsidTr="00BE690A">
        <w:trPr>
          <w:jc w:val="center"/>
        </w:trPr>
        <w:tc>
          <w:tcPr>
            <w:tcW w:w="567" w:type="dxa"/>
            <w:shd w:val="clear" w:color="auto" w:fill="FFA48F"/>
            <w:vAlign w:val="center"/>
          </w:tcPr>
          <w:p w14:paraId="5A7649B1" w14:textId="77777777" w:rsidR="00BE690A" w:rsidRPr="00F659C0" w:rsidRDefault="00BE690A" w:rsidP="00931169">
            <w:pPr>
              <w:rPr>
                <w:rFonts w:eastAsia="Calibri"/>
                <w:sz w:val="18"/>
              </w:rPr>
            </w:pPr>
            <w:r w:rsidRPr="00F659C0">
              <w:rPr>
                <w:rFonts w:eastAsia="Calibri"/>
                <w:sz w:val="18"/>
              </w:rPr>
              <w:t>5</w:t>
            </w:r>
          </w:p>
        </w:tc>
        <w:tc>
          <w:tcPr>
            <w:tcW w:w="1843" w:type="dxa"/>
            <w:shd w:val="clear" w:color="auto" w:fill="FFA48F"/>
            <w:vAlign w:val="center"/>
          </w:tcPr>
          <w:p w14:paraId="06F5EAD7" w14:textId="77777777" w:rsidR="00BE690A" w:rsidRPr="00F659C0" w:rsidRDefault="00BE690A" w:rsidP="00931169">
            <w:pPr>
              <w:rPr>
                <w:rFonts w:eastAsia="Calibri"/>
                <w:sz w:val="18"/>
              </w:rPr>
            </w:pPr>
            <w:r w:rsidRPr="00F659C0">
              <w:rPr>
                <w:rFonts w:eastAsia="Calibri"/>
                <w:sz w:val="18"/>
              </w:rPr>
              <w:t>takmer istá</w:t>
            </w:r>
          </w:p>
        </w:tc>
        <w:tc>
          <w:tcPr>
            <w:tcW w:w="6662" w:type="dxa"/>
            <w:shd w:val="clear" w:color="auto" w:fill="auto"/>
            <w:vAlign w:val="center"/>
          </w:tcPr>
          <w:p w14:paraId="233EDDEC" w14:textId="77777777" w:rsidR="00BE690A" w:rsidRPr="00F659C0" w:rsidRDefault="00BE690A" w:rsidP="00931169">
            <w:pPr>
              <w:rPr>
                <w:rFonts w:eastAsia="Calibri"/>
                <w:sz w:val="18"/>
              </w:rPr>
            </w:pPr>
            <w:r w:rsidRPr="00F659C0">
              <w:rPr>
                <w:rFonts w:eastAsia="Calibri"/>
                <w:sz w:val="18"/>
              </w:rPr>
              <w:t>Výskyt javu je veľmi pravdepodobný (95% pravdepodobnosť výskytu).</w:t>
            </w:r>
          </w:p>
        </w:tc>
      </w:tr>
    </w:tbl>
    <w:p w14:paraId="1B52A4B7" w14:textId="77777777" w:rsidR="00BE690A" w:rsidRPr="000B7C5C" w:rsidRDefault="00BE690A" w:rsidP="00931169">
      <w:r w:rsidRPr="000B7C5C">
        <w:t xml:space="preserve">Využitá bola päťstupňová hodnotiaca škála závažnosti dôsledkov javu: </w:t>
      </w:r>
    </w:p>
    <w:tbl>
      <w:tblPr>
        <w:tblW w:w="907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67"/>
        <w:gridCol w:w="1843"/>
        <w:gridCol w:w="6662"/>
      </w:tblGrid>
      <w:tr w:rsidR="00BE690A" w:rsidRPr="00CB45E8" w14:paraId="69E0B47F" w14:textId="77777777" w:rsidTr="00BE690A">
        <w:trPr>
          <w:jc w:val="center"/>
        </w:trPr>
        <w:tc>
          <w:tcPr>
            <w:tcW w:w="2410" w:type="dxa"/>
            <w:gridSpan w:val="2"/>
            <w:shd w:val="clear" w:color="auto" w:fill="FFFFFF"/>
            <w:vAlign w:val="center"/>
          </w:tcPr>
          <w:p w14:paraId="4C85CD22" w14:textId="77777777" w:rsidR="00BE690A" w:rsidRPr="00F659C0" w:rsidRDefault="00BE690A" w:rsidP="00931169">
            <w:pPr>
              <w:rPr>
                <w:rFonts w:eastAsia="Calibri"/>
                <w:b/>
                <w:sz w:val="18"/>
              </w:rPr>
            </w:pPr>
            <w:r w:rsidRPr="00F659C0">
              <w:rPr>
                <w:rFonts w:eastAsia="Calibri"/>
                <w:b/>
                <w:sz w:val="18"/>
              </w:rPr>
              <w:t>Miera závažnosti dôsledkov rizika</w:t>
            </w:r>
          </w:p>
        </w:tc>
        <w:tc>
          <w:tcPr>
            <w:tcW w:w="6662" w:type="dxa"/>
            <w:shd w:val="clear" w:color="auto" w:fill="FFFFFF"/>
            <w:vAlign w:val="center"/>
          </w:tcPr>
          <w:p w14:paraId="441B6439" w14:textId="77777777" w:rsidR="00BE690A" w:rsidRPr="00F659C0" w:rsidRDefault="00BE690A" w:rsidP="00931169">
            <w:pPr>
              <w:rPr>
                <w:rFonts w:eastAsia="Calibri"/>
                <w:b/>
                <w:sz w:val="18"/>
              </w:rPr>
            </w:pPr>
            <w:r w:rsidRPr="00F659C0">
              <w:rPr>
                <w:rFonts w:eastAsia="Calibri"/>
                <w:b/>
                <w:sz w:val="18"/>
              </w:rPr>
              <w:t>Popis</w:t>
            </w:r>
          </w:p>
        </w:tc>
      </w:tr>
      <w:tr w:rsidR="00BE690A" w:rsidRPr="00CB45E8" w14:paraId="0CA0BEF1" w14:textId="77777777" w:rsidTr="00BE690A">
        <w:trPr>
          <w:jc w:val="center"/>
        </w:trPr>
        <w:tc>
          <w:tcPr>
            <w:tcW w:w="567" w:type="dxa"/>
            <w:shd w:val="clear" w:color="auto" w:fill="E2EFD9"/>
            <w:vAlign w:val="center"/>
          </w:tcPr>
          <w:p w14:paraId="6C796B83" w14:textId="77777777" w:rsidR="00BE690A" w:rsidRPr="00F659C0" w:rsidRDefault="00BE690A" w:rsidP="00931169">
            <w:pPr>
              <w:rPr>
                <w:rFonts w:eastAsia="Calibri"/>
                <w:sz w:val="18"/>
              </w:rPr>
            </w:pPr>
            <w:r w:rsidRPr="00F659C0">
              <w:rPr>
                <w:rFonts w:eastAsia="Calibri"/>
                <w:sz w:val="18"/>
              </w:rPr>
              <w:t>1</w:t>
            </w:r>
          </w:p>
        </w:tc>
        <w:tc>
          <w:tcPr>
            <w:tcW w:w="1843" w:type="dxa"/>
            <w:shd w:val="clear" w:color="auto" w:fill="EAF1DD" w:themeFill="accent3" w:themeFillTint="33"/>
            <w:vAlign w:val="center"/>
          </w:tcPr>
          <w:p w14:paraId="091E78B4" w14:textId="77777777" w:rsidR="00BE690A" w:rsidRPr="00F659C0" w:rsidRDefault="00BE690A" w:rsidP="00931169">
            <w:pPr>
              <w:rPr>
                <w:rFonts w:eastAsia="Calibri"/>
                <w:sz w:val="18"/>
              </w:rPr>
            </w:pPr>
            <w:r w:rsidRPr="00F659C0">
              <w:rPr>
                <w:rFonts w:eastAsia="Calibri"/>
                <w:sz w:val="18"/>
              </w:rPr>
              <w:t>zanedbateľná</w:t>
            </w:r>
          </w:p>
        </w:tc>
        <w:tc>
          <w:tcPr>
            <w:tcW w:w="6662" w:type="dxa"/>
            <w:shd w:val="clear" w:color="auto" w:fill="auto"/>
            <w:vAlign w:val="center"/>
          </w:tcPr>
          <w:p w14:paraId="71094B75" w14:textId="77777777" w:rsidR="00BE690A" w:rsidRPr="00F659C0" w:rsidRDefault="00BE690A" w:rsidP="00931169">
            <w:pPr>
              <w:rPr>
                <w:rFonts w:eastAsia="Calibri"/>
                <w:sz w:val="18"/>
              </w:rPr>
            </w:pPr>
            <w:r w:rsidRPr="00F659C0">
              <w:rPr>
                <w:rFonts w:eastAsia="Calibri"/>
                <w:sz w:val="18"/>
              </w:rPr>
              <w:t>Žiadny vplyv resp. vplyv je absorbovaný cez normálnu činnosť.</w:t>
            </w:r>
          </w:p>
        </w:tc>
      </w:tr>
      <w:tr w:rsidR="00BE690A" w:rsidRPr="00CB45E8" w14:paraId="68275EB3" w14:textId="77777777" w:rsidTr="00BE690A">
        <w:trPr>
          <w:jc w:val="center"/>
        </w:trPr>
        <w:tc>
          <w:tcPr>
            <w:tcW w:w="567" w:type="dxa"/>
            <w:shd w:val="clear" w:color="auto" w:fill="D6E3BC"/>
            <w:vAlign w:val="center"/>
          </w:tcPr>
          <w:p w14:paraId="0DC9EBB6" w14:textId="77777777" w:rsidR="00BE690A" w:rsidRPr="00F659C0" w:rsidRDefault="00BE690A" w:rsidP="00931169">
            <w:pPr>
              <w:rPr>
                <w:rFonts w:eastAsia="Calibri"/>
                <w:sz w:val="18"/>
              </w:rPr>
            </w:pPr>
            <w:r w:rsidRPr="00F659C0">
              <w:rPr>
                <w:rFonts w:eastAsia="Calibri"/>
                <w:sz w:val="18"/>
              </w:rPr>
              <w:t>2</w:t>
            </w:r>
          </w:p>
        </w:tc>
        <w:tc>
          <w:tcPr>
            <w:tcW w:w="1843" w:type="dxa"/>
            <w:shd w:val="clear" w:color="auto" w:fill="D6E3BC"/>
            <w:vAlign w:val="center"/>
          </w:tcPr>
          <w:p w14:paraId="16645586" w14:textId="77777777" w:rsidR="00BE690A" w:rsidRPr="00F659C0" w:rsidRDefault="00BE690A" w:rsidP="00931169">
            <w:pPr>
              <w:rPr>
                <w:rFonts w:eastAsia="Calibri"/>
                <w:sz w:val="18"/>
              </w:rPr>
            </w:pPr>
            <w:r w:rsidRPr="00F659C0">
              <w:rPr>
                <w:rFonts w:eastAsia="Calibri"/>
                <w:sz w:val="18"/>
              </w:rPr>
              <w:t>malá</w:t>
            </w:r>
          </w:p>
        </w:tc>
        <w:tc>
          <w:tcPr>
            <w:tcW w:w="6662" w:type="dxa"/>
            <w:shd w:val="clear" w:color="auto" w:fill="auto"/>
            <w:vAlign w:val="center"/>
          </w:tcPr>
          <w:p w14:paraId="2231B632" w14:textId="77777777" w:rsidR="00BE690A" w:rsidRPr="00F659C0" w:rsidRDefault="00BE690A" w:rsidP="00931169">
            <w:pPr>
              <w:rPr>
                <w:rFonts w:eastAsia="Calibri"/>
                <w:sz w:val="18"/>
              </w:rPr>
            </w:pPr>
            <w:r w:rsidRPr="00F659C0">
              <w:rPr>
                <w:rFonts w:eastAsia="Calibri"/>
                <w:sz w:val="18"/>
              </w:rPr>
              <w:t>Nežiaduca udalosť sa dá absorbovať cez kontinuitu činnosti resp. štandardné riešenie v rámci technického návrhu alebo žel. prevádzky.</w:t>
            </w:r>
          </w:p>
        </w:tc>
      </w:tr>
      <w:tr w:rsidR="00BE690A" w:rsidRPr="00CB45E8" w14:paraId="544068C1" w14:textId="77777777" w:rsidTr="00BE690A">
        <w:trPr>
          <w:jc w:val="center"/>
        </w:trPr>
        <w:tc>
          <w:tcPr>
            <w:tcW w:w="567" w:type="dxa"/>
            <w:shd w:val="clear" w:color="auto" w:fill="FFFF97"/>
            <w:vAlign w:val="center"/>
          </w:tcPr>
          <w:p w14:paraId="4968DE41" w14:textId="77777777" w:rsidR="00BE690A" w:rsidRPr="00F659C0" w:rsidRDefault="00BE690A" w:rsidP="00931169">
            <w:pPr>
              <w:rPr>
                <w:rFonts w:eastAsia="Calibri"/>
                <w:sz w:val="18"/>
              </w:rPr>
            </w:pPr>
            <w:r w:rsidRPr="00F659C0">
              <w:rPr>
                <w:rFonts w:eastAsia="Calibri"/>
                <w:sz w:val="18"/>
              </w:rPr>
              <w:t>3</w:t>
            </w:r>
          </w:p>
        </w:tc>
        <w:tc>
          <w:tcPr>
            <w:tcW w:w="1843" w:type="dxa"/>
            <w:shd w:val="clear" w:color="auto" w:fill="FFFF97"/>
            <w:vAlign w:val="center"/>
          </w:tcPr>
          <w:p w14:paraId="57234CA9" w14:textId="77777777" w:rsidR="00BE690A" w:rsidRPr="00F659C0" w:rsidRDefault="00BE690A" w:rsidP="00931169">
            <w:pPr>
              <w:rPr>
                <w:rFonts w:eastAsia="Calibri"/>
                <w:sz w:val="18"/>
              </w:rPr>
            </w:pPr>
            <w:r w:rsidRPr="00F659C0">
              <w:rPr>
                <w:rFonts w:eastAsia="Calibri"/>
                <w:sz w:val="18"/>
              </w:rPr>
              <w:t>mierna</w:t>
            </w:r>
          </w:p>
        </w:tc>
        <w:tc>
          <w:tcPr>
            <w:tcW w:w="6662" w:type="dxa"/>
            <w:shd w:val="clear" w:color="auto" w:fill="auto"/>
            <w:vAlign w:val="center"/>
          </w:tcPr>
          <w:p w14:paraId="0040E290" w14:textId="77777777" w:rsidR="00BE690A" w:rsidRPr="00F659C0" w:rsidRDefault="00BE690A" w:rsidP="00931169">
            <w:pPr>
              <w:rPr>
                <w:rFonts w:eastAsia="Calibri"/>
                <w:sz w:val="18"/>
              </w:rPr>
            </w:pPr>
            <w:r w:rsidRPr="00F659C0">
              <w:rPr>
                <w:rFonts w:eastAsia="Calibri"/>
                <w:sz w:val="18"/>
              </w:rPr>
              <w:t>Závažná udalosť, ktorá na nápravu vyžaduje dodatočné opatrenia resp. úpravu technického riešenia alebo krízové riadenie žel. prevádzky.</w:t>
            </w:r>
          </w:p>
        </w:tc>
      </w:tr>
      <w:tr w:rsidR="00BE690A" w:rsidRPr="00CB45E8" w14:paraId="7BBA1302" w14:textId="77777777" w:rsidTr="00BE690A">
        <w:trPr>
          <w:jc w:val="center"/>
        </w:trPr>
        <w:tc>
          <w:tcPr>
            <w:tcW w:w="567" w:type="dxa"/>
            <w:shd w:val="clear" w:color="auto" w:fill="FBD4B4" w:themeFill="accent6" w:themeFillTint="66"/>
            <w:vAlign w:val="center"/>
          </w:tcPr>
          <w:p w14:paraId="45FFA807" w14:textId="77777777" w:rsidR="00BE690A" w:rsidRPr="00F659C0" w:rsidRDefault="00BE690A" w:rsidP="00931169">
            <w:pPr>
              <w:rPr>
                <w:rFonts w:eastAsia="Calibri"/>
                <w:sz w:val="18"/>
              </w:rPr>
            </w:pPr>
            <w:r w:rsidRPr="00F659C0">
              <w:rPr>
                <w:rFonts w:eastAsia="Calibri"/>
                <w:sz w:val="18"/>
              </w:rPr>
              <w:t>4</w:t>
            </w:r>
          </w:p>
        </w:tc>
        <w:tc>
          <w:tcPr>
            <w:tcW w:w="1843" w:type="dxa"/>
            <w:shd w:val="clear" w:color="auto" w:fill="FBD4B4" w:themeFill="accent6" w:themeFillTint="66"/>
            <w:vAlign w:val="center"/>
          </w:tcPr>
          <w:p w14:paraId="7BDDFCB1" w14:textId="77777777" w:rsidR="00BE690A" w:rsidRPr="00F659C0" w:rsidRDefault="00BE690A" w:rsidP="00931169">
            <w:pPr>
              <w:rPr>
                <w:rFonts w:eastAsia="Calibri"/>
                <w:sz w:val="18"/>
              </w:rPr>
            </w:pPr>
            <w:r w:rsidRPr="00F659C0">
              <w:rPr>
                <w:rFonts w:eastAsia="Calibri"/>
                <w:sz w:val="18"/>
              </w:rPr>
              <w:t>závažná</w:t>
            </w:r>
          </w:p>
        </w:tc>
        <w:tc>
          <w:tcPr>
            <w:tcW w:w="6662" w:type="dxa"/>
            <w:shd w:val="clear" w:color="auto" w:fill="auto"/>
            <w:vAlign w:val="center"/>
          </w:tcPr>
          <w:p w14:paraId="0E33FE93" w14:textId="77777777" w:rsidR="00BE690A" w:rsidRPr="00F659C0" w:rsidRDefault="00BE690A" w:rsidP="00931169">
            <w:pPr>
              <w:rPr>
                <w:rFonts w:eastAsia="Calibri"/>
                <w:sz w:val="18"/>
              </w:rPr>
            </w:pPr>
            <w:r w:rsidRPr="00F659C0">
              <w:rPr>
                <w:rFonts w:eastAsia="Calibri"/>
                <w:sz w:val="18"/>
              </w:rPr>
              <w:t>Kritická udalosť, ktorá na nápravu vyžaduje mimoriadne opatrenia resp. zásadné zmeny technického riešenia alebo mimoriadne krízové riadenie žel. prevádzky.</w:t>
            </w:r>
          </w:p>
        </w:tc>
      </w:tr>
      <w:tr w:rsidR="00BE690A" w:rsidRPr="00CB45E8" w14:paraId="623524AF" w14:textId="77777777" w:rsidTr="00BE690A">
        <w:trPr>
          <w:jc w:val="center"/>
        </w:trPr>
        <w:tc>
          <w:tcPr>
            <w:tcW w:w="567" w:type="dxa"/>
            <w:shd w:val="clear" w:color="auto" w:fill="FFA48F"/>
            <w:vAlign w:val="center"/>
          </w:tcPr>
          <w:p w14:paraId="2C782A1D" w14:textId="77777777" w:rsidR="00BE690A" w:rsidRPr="00F659C0" w:rsidRDefault="00BE690A" w:rsidP="00931169">
            <w:pPr>
              <w:rPr>
                <w:rFonts w:eastAsia="Calibri"/>
                <w:sz w:val="18"/>
              </w:rPr>
            </w:pPr>
            <w:r w:rsidRPr="00F659C0">
              <w:rPr>
                <w:rFonts w:eastAsia="Calibri"/>
                <w:sz w:val="18"/>
              </w:rPr>
              <w:t>5</w:t>
            </w:r>
          </w:p>
        </w:tc>
        <w:tc>
          <w:tcPr>
            <w:tcW w:w="1843" w:type="dxa"/>
            <w:shd w:val="clear" w:color="auto" w:fill="FFA48F"/>
            <w:vAlign w:val="center"/>
          </w:tcPr>
          <w:p w14:paraId="18F47414" w14:textId="77777777" w:rsidR="00BE690A" w:rsidRPr="00F659C0" w:rsidRDefault="00BE690A" w:rsidP="00931169">
            <w:pPr>
              <w:rPr>
                <w:rFonts w:eastAsia="Calibri"/>
                <w:sz w:val="18"/>
              </w:rPr>
            </w:pPr>
            <w:r w:rsidRPr="00F659C0">
              <w:rPr>
                <w:rFonts w:eastAsia="Calibri"/>
                <w:sz w:val="18"/>
              </w:rPr>
              <w:t>katastrofická</w:t>
            </w:r>
          </w:p>
        </w:tc>
        <w:tc>
          <w:tcPr>
            <w:tcW w:w="6662" w:type="dxa"/>
            <w:shd w:val="clear" w:color="auto" w:fill="auto"/>
            <w:vAlign w:val="center"/>
          </w:tcPr>
          <w:p w14:paraId="7515D910" w14:textId="77777777" w:rsidR="00BE690A" w:rsidRPr="00F659C0" w:rsidRDefault="00BE690A" w:rsidP="00931169">
            <w:pPr>
              <w:rPr>
                <w:rFonts w:eastAsia="Calibri"/>
                <w:sz w:val="18"/>
              </w:rPr>
            </w:pPr>
            <w:r w:rsidRPr="00F659C0">
              <w:rPr>
                <w:rFonts w:eastAsia="Calibri"/>
                <w:sz w:val="18"/>
              </w:rPr>
              <w:t>Katastrofa s potenciálom zastavenia činnosti alebo kolapsu systému, ktoré vyvolá zničenie technickej stavby alebo trvalé uzatvorenie prevádzky.</w:t>
            </w:r>
          </w:p>
        </w:tc>
      </w:tr>
    </w:tbl>
    <w:p w14:paraId="5B36D2DF" w14:textId="77777777" w:rsidR="005940CA" w:rsidRDefault="005940CA" w:rsidP="00931169">
      <w:pPr>
        <w:keepNext/>
      </w:pPr>
    </w:p>
    <w:p w14:paraId="2BCD40BE" w14:textId="1BC36E95" w:rsidR="00BE690A" w:rsidRDefault="00BE690A" w:rsidP="00931169">
      <w:pPr>
        <w:keepNext/>
      </w:pPr>
      <w:r w:rsidRPr="007600F5">
        <w:t xml:space="preserve">Výsledná tabuľka </w:t>
      </w:r>
      <w:r w:rsidR="005940CA">
        <w:t xml:space="preserve">8 </w:t>
      </w:r>
      <w:r w:rsidRPr="007600F5">
        <w:t>rizík:</w:t>
      </w:r>
      <w:r w:rsidRPr="00677BEF">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993"/>
        <w:gridCol w:w="443"/>
        <w:gridCol w:w="426"/>
        <w:gridCol w:w="3236"/>
        <w:gridCol w:w="3969"/>
      </w:tblGrid>
      <w:tr w:rsidR="00BE690A" w:rsidRPr="00C92614" w14:paraId="4C920A68" w14:textId="77777777" w:rsidTr="00BE690A">
        <w:trPr>
          <w:tblHeader/>
          <w:jc w:val="center"/>
        </w:trPr>
        <w:tc>
          <w:tcPr>
            <w:tcW w:w="993" w:type="dxa"/>
            <w:vMerge w:val="restart"/>
            <w:shd w:val="clear" w:color="auto" w:fill="auto"/>
            <w:vAlign w:val="center"/>
          </w:tcPr>
          <w:p w14:paraId="7C397377" w14:textId="77777777" w:rsidR="00BE690A" w:rsidRPr="007A16A5" w:rsidRDefault="00BE690A" w:rsidP="00931169">
            <w:pPr>
              <w:keepNext/>
              <w:contextualSpacing/>
              <w:rPr>
                <w:rFonts w:cs="Calibri"/>
                <w:b/>
                <w:sz w:val="18"/>
                <w:szCs w:val="16"/>
              </w:rPr>
            </w:pPr>
            <w:r w:rsidRPr="007A16A5">
              <w:rPr>
                <w:rFonts w:cs="Calibri"/>
                <w:b/>
                <w:sz w:val="18"/>
                <w:szCs w:val="16"/>
              </w:rPr>
              <w:t>Rizikový klimatický jav</w:t>
            </w:r>
          </w:p>
        </w:tc>
        <w:tc>
          <w:tcPr>
            <w:tcW w:w="869" w:type="dxa"/>
            <w:gridSpan w:val="2"/>
            <w:shd w:val="clear" w:color="auto" w:fill="auto"/>
            <w:vAlign w:val="center"/>
          </w:tcPr>
          <w:p w14:paraId="430F9025" w14:textId="77777777" w:rsidR="00BE690A" w:rsidRPr="007A16A5" w:rsidRDefault="00BE690A" w:rsidP="00931169">
            <w:pPr>
              <w:keepNext/>
              <w:contextualSpacing/>
              <w:rPr>
                <w:rFonts w:cs="Calibri"/>
                <w:b/>
                <w:sz w:val="18"/>
                <w:szCs w:val="16"/>
              </w:rPr>
            </w:pPr>
            <w:r w:rsidRPr="007A16A5">
              <w:rPr>
                <w:rFonts w:cs="Calibri"/>
                <w:b/>
                <w:sz w:val="18"/>
                <w:szCs w:val="16"/>
              </w:rPr>
              <w:t>Miera rizika</w:t>
            </w:r>
          </w:p>
        </w:tc>
        <w:tc>
          <w:tcPr>
            <w:tcW w:w="3236" w:type="dxa"/>
            <w:vMerge w:val="restart"/>
            <w:vAlign w:val="center"/>
          </w:tcPr>
          <w:p w14:paraId="4719B548" w14:textId="77777777" w:rsidR="00BE690A" w:rsidRDefault="00BE690A" w:rsidP="00931169">
            <w:pPr>
              <w:keepNext/>
              <w:contextualSpacing/>
              <w:rPr>
                <w:rFonts w:cs="Calibri"/>
                <w:b/>
                <w:sz w:val="18"/>
                <w:szCs w:val="16"/>
              </w:rPr>
            </w:pPr>
            <w:r>
              <w:rPr>
                <w:rFonts w:cs="Calibri"/>
                <w:b/>
                <w:sz w:val="18"/>
                <w:szCs w:val="16"/>
              </w:rPr>
              <w:t>Riziko</w:t>
            </w:r>
          </w:p>
        </w:tc>
        <w:tc>
          <w:tcPr>
            <w:tcW w:w="3969" w:type="dxa"/>
            <w:vMerge w:val="restart"/>
            <w:shd w:val="clear" w:color="auto" w:fill="auto"/>
            <w:vAlign w:val="center"/>
          </w:tcPr>
          <w:p w14:paraId="404C5CD4" w14:textId="77777777" w:rsidR="00BE690A" w:rsidRPr="007A16A5" w:rsidRDefault="00BE690A" w:rsidP="00931169">
            <w:pPr>
              <w:keepNext/>
              <w:contextualSpacing/>
              <w:rPr>
                <w:rFonts w:cs="Calibri"/>
                <w:b/>
                <w:sz w:val="18"/>
                <w:szCs w:val="16"/>
              </w:rPr>
            </w:pPr>
            <w:r>
              <w:rPr>
                <w:rFonts w:cs="Calibri"/>
                <w:b/>
                <w:sz w:val="18"/>
                <w:szCs w:val="16"/>
              </w:rPr>
              <w:t>Popis</w:t>
            </w:r>
          </w:p>
        </w:tc>
      </w:tr>
      <w:tr w:rsidR="00BE690A" w:rsidRPr="00C92614" w14:paraId="143286B5" w14:textId="77777777" w:rsidTr="00BE690A">
        <w:trPr>
          <w:trHeight w:val="220"/>
          <w:jc w:val="center"/>
        </w:trPr>
        <w:tc>
          <w:tcPr>
            <w:tcW w:w="993" w:type="dxa"/>
            <w:vMerge/>
            <w:shd w:val="clear" w:color="auto" w:fill="FFFFFF"/>
          </w:tcPr>
          <w:p w14:paraId="19A60602" w14:textId="77777777" w:rsidR="00BE690A" w:rsidRPr="00C92614" w:rsidRDefault="00BE690A" w:rsidP="00931169">
            <w:pPr>
              <w:pStyle w:val="Nadpis3"/>
              <w:rPr>
                <w:color w:val="FF0000"/>
              </w:rPr>
            </w:pPr>
            <w:bookmarkStart w:id="68" w:name="_Toc532556121"/>
            <w:bookmarkStart w:id="69" w:name="_Toc532822307"/>
            <w:bookmarkEnd w:id="68"/>
            <w:bookmarkEnd w:id="69"/>
          </w:p>
        </w:tc>
        <w:tc>
          <w:tcPr>
            <w:tcW w:w="443" w:type="dxa"/>
            <w:shd w:val="clear" w:color="auto" w:fill="auto"/>
            <w:vAlign w:val="center"/>
          </w:tcPr>
          <w:p w14:paraId="1141467B" w14:textId="77777777" w:rsidR="00BE690A" w:rsidRPr="007A16A5" w:rsidRDefault="00BE690A" w:rsidP="00931169">
            <w:pPr>
              <w:keepNext/>
              <w:ind w:left="212" w:hanging="142"/>
              <w:contextualSpacing/>
              <w:rPr>
                <w:rFonts w:cs="Calibri"/>
                <w:b/>
                <w:sz w:val="18"/>
                <w:szCs w:val="16"/>
              </w:rPr>
            </w:pPr>
            <w:r w:rsidRPr="007A16A5">
              <w:rPr>
                <w:rFonts w:cs="Calibri"/>
                <w:b/>
                <w:sz w:val="18"/>
                <w:szCs w:val="16"/>
              </w:rPr>
              <w:t>P</w:t>
            </w:r>
          </w:p>
        </w:tc>
        <w:tc>
          <w:tcPr>
            <w:tcW w:w="426" w:type="dxa"/>
            <w:shd w:val="clear" w:color="auto" w:fill="auto"/>
            <w:vAlign w:val="center"/>
          </w:tcPr>
          <w:p w14:paraId="1039A8AA" w14:textId="77777777" w:rsidR="00BE690A" w:rsidRPr="007A16A5" w:rsidRDefault="00BE690A" w:rsidP="00931169">
            <w:pPr>
              <w:keepNext/>
              <w:contextualSpacing/>
              <w:rPr>
                <w:rFonts w:cs="Calibri"/>
                <w:b/>
                <w:sz w:val="18"/>
                <w:szCs w:val="16"/>
              </w:rPr>
            </w:pPr>
            <w:r w:rsidRPr="007A16A5">
              <w:rPr>
                <w:rFonts w:cs="Calibri"/>
                <w:b/>
                <w:sz w:val="18"/>
                <w:szCs w:val="16"/>
              </w:rPr>
              <w:t>D</w:t>
            </w:r>
          </w:p>
        </w:tc>
        <w:tc>
          <w:tcPr>
            <w:tcW w:w="3236" w:type="dxa"/>
            <w:vMerge/>
          </w:tcPr>
          <w:p w14:paraId="0F083C48" w14:textId="77777777" w:rsidR="00BE690A" w:rsidRPr="007A16A5" w:rsidRDefault="00BE690A" w:rsidP="00931169">
            <w:pPr>
              <w:keepNext/>
              <w:ind w:left="212" w:hanging="142"/>
              <w:contextualSpacing/>
              <w:rPr>
                <w:rFonts w:cs="Calibri"/>
                <w:sz w:val="18"/>
                <w:szCs w:val="16"/>
              </w:rPr>
            </w:pPr>
          </w:p>
        </w:tc>
        <w:tc>
          <w:tcPr>
            <w:tcW w:w="3969" w:type="dxa"/>
            <w:vMerge/>
            <w:shd w:val="clear" w:color="auto" w:fill="FFFFFF"/>
          </w:tcPr>
          <w:p w14:paraId="49FD4450" w14:textId="77777777" w:rsidR="00BE690A" w:rsidRPr="007A16A5" w:rsidRDefault="00BE690A" w:rsidP="00931169">
            <w:pPr>
              <w:keepNext/>
              <w:ind w:left="212" w:hanging="142"/>
              <w:contextualSpacing/>
              <w:rPr>
                <w:rFonts w:cs="Calibri"/>
                <w:sz w:val="18"/>
                <w:szCs w:val="16"/>
              </w:rPr>
            </w:pPr>
          </w:p>
        </w:tc>
      </w:tr>
      <w:tr w:rsidR="00BE690A" w:rsidRPr="00C92614" w14:paraId="3152FAAD" w14:textId="77777777" w:rsidTr="00BE690A">
        <w:trPr>
          <w:trHeight w:val="687"/>
          <w:jc w:val="center"/>
        </w:trPr>
        <w:tc>
          <w:tcPr>
            <w:tcW w:w="993" w:type="dxa"/>
            <w:shd w:val="clear" w:color="auto" w:fill="FFFFFF"/>
          </w:tcPr>
          <w:p w14:paraId="716698D4" w14:textId="77777777" w:rsidR="00BE690A" w:rsidRPr="007A16A5" w:rsidRDefault="00BE690A" w:rsidP="00931169">
            <w:pPr>
              <w:contextualSpacing/>
              <w:rPr>
                <w:rFonts w:cs="Calibri"/>
                <w:sz w:val="16"/>
                <w:szCs w:val="16"/>
              </w:rPr>
            </w:pPr>
            <w:r w:rsidRPr="007A16A5">
              <w:rPr>
                <w:rFonts w:cs="Calibri"/>
                <w:sz w:val="16"/>
                <w:szCs w:val="16"/>
              </w:rPr>
              <w:t>Silný vietor</w:t>
            </w:r>
          </w:p>
        </w:tc>
        <w:tc>
          <w:tcPr>
            <w:tcW w:w="443" w:type="dxa"/>
            <w:shd w:val="clear" w:color="auto" w:fill="FFFF97"/>
            <w:vAlign w:val="center"/>
          </w:tcPr>
          <w:p w14:paraId="0801FD5F" w14:textId="77777777" w:rsidR="00BE690A" w:rsidRPr="000D0959" w:rsidRDefault="00BE690A" w:rsidP="00931169">
            <w:pPr>
              <w:contextualSpacing/>
              <w:rPr>
                <w:rFonts w:cs="Calibri"/>
                <w:sz w:val="16"/>
                <w:szCs w:val="16"/>
              </w:rPr>
            </w:pPr>
            <w:r w:rsidRPr="000D0959">
              <w:rPr>
                <w:rFonts w:cs="Calibri"/>
                <w:sz w:val="16"/>
                <w:szCs w:val="16"/>
              </w:rPr>
              <w:t>3</w:t>
            </w:r>
          </w:p>
        </w:tc>
        <w:tc>
          <w:tcPr>
            <w:tcW w:w="426" w:type="dxa"/>
            <w:shd w:val="clear" w:color="auto" w:fill="D6E3BC"/>
            <w:vAlign w:val="center"/>
          </w:tcPr>
          <w:p w14:paraId="4F61DED5" w14:textId="77777777" w:rsidR="00BE690A" w:rsidRPr="00372F5F" w:rsidRDefault="00BE690A" w:rsidP="00931169">
            <w:pPr>
              <w:contextualSpacing/>
              <w:rPr>
                <w:rFonts w:cs="Calibri"/>
                <w:sz w:val="16"/>
                <w:szCs w:val="16"/>
              </w:rPr>
            </w:pPr>
            <w:r w:rsidRPr="00372F5F">
              <w:rPr>
                <w:rFonts w:cs="Calibri"/>
                <w:sz w:val="16"/>
                <w:szCs w:val="16"/>
              </w:rPr>
              <w:t>2</w:t>
            </w:r>
          </w:p>
        </w:tc>
        <w:tc>
          <w:tcPr>
            <w:tcW w:w="3236" w:type="dxa"/>
            <w:shd w:val="clear" w:color="auto" w:fill="FFFFFF"/>
          </w:tcPr>
          <w:p w14:paraId="78AE697E" w14:textId="77777777" w:rsidR="00BE690A" w:rsidRPr="00372F5F" w:rsidRDefault="00BE690A" w:rsidP="00931169">
            <w:pPr>
              <w:pStyle w:val="Odsekzoznamu"/>
              <w:numPr>
                <w:ilvl w:val="0"/>
                <w:numId w:val="37"/>
              </w:numPr>
              <w:spacing w:after="0" w:line="240" w:lineRule="auto"/>
              <w:ind w:left="152" w:hanging="141"/>
              <w:jc w:val="both"/>
              <w:rPr>
                <w:rFonts w:ascii="Calibri" w:hAnsi="Calibri" w:cs="Calibri"/>
                <w:sz w:val="16"/>
                <w:szCs w:val="16"/>
              </w:rPr>
            </w:pPr>
            <w:r w:rsidRPr="00372F5F">
              <w:rPr>
                <w:rFonts w:ascii="Calibri" w:hAnsi="Calibri" w:cs="Calibri"/>
                <w:sz w:val="16"/>
                <w:szCs w:val="16"/>
              </w:rPr>
              <w:t xml:space="preserve">Zraniteľnosť projektu je spojená najmä s pádmi zlomených konárov a stromov na žel. trať alebo na trakčné vedenie príp. </w:t>
            </w:r>
            <w:r>
              <w:rPr>
                <w:rFonts w:ascii="Calibri" w:hAnsi="Calibri" w:cs="Calibri"/>
                <w:sz w:val="16"/>
                <w:szCs w:val="16"/>
              </w:rPr>
              <w:t>na súvisiace objekty žel. infraštruktúry.</w:t>
            </w:r>
          </w:p>
          <w:p w14:paraId="5611F7FD" w14:textId="77777777" w:rsidR="00BE690A" w:rsidRPr="00372F5F" w:rsidRDefault="00BE690A" w:rsidP="00931169">
            <w:pPr>
              <w:pStyle w:val="Odsekzoznamu"/>
              <w:numPr>
                <w:ilvl w:val="0"/>
                <w:numId w:val="37"/>
              </w:numPr>
              <w:spacing w:after="0" w:line="240" w:lineRule="auto"/>
              <w:ind w:left="152" w:hanging="141"/>
              <w:jc w:val="both"/>
              <w:rPr>
                <w:rFonts w:ascii="Calibri" w:hAnsi="Calibri" w:cs="Calibri"/>
                <w:sz w:val="16"/>
                <w:szCs w:val="16"/>
              </w:rPr>
            </w:pPr>
            <w:r w:rsidRPr="00372F5F">
              <w:rPr>
                <w:rFonts w:ascii="Calibri" w:hAnsi="Calibri" w:cs="Calibri"/>
                <w:sz w:val="16"/>
                <w:szCs w:val="16"/>
              </w:rPr>
              <w:t>Očakáva sa častejší výskyt silného vetra v spojení s búrkovými javmi najmä v teplej časti roka a mierny nárast priemernej a nárazovej rýchlosti vetra.</w:t>
            </w:r>
          </w:p>
        </w:tc>
        <w:tc>
          <w:tcPr>
            <w:tcW w:w="3969" w:type="dxa"/>
            <w:shd w:val="clear" w:color="auto" w:fill="FFFFFF"/>
          </w:tcPr>
          <w:p w14:paraId="0A639070" w14:textId="77777777" w:rsidR="00BE690A" w:rsidRDefault="00BE690A" w:rsidP="00931169">
            <w:pPr>
              <w:pStyle w:val="Odsekzoznamu"/>
              <w:spacing w:after="0" w:line="240" w:lineRule="auto"/>
              <w:ind w:left="0"/>
              <w:jc w:val="both"/>
              <w:rPr>
                <w:rFonts w:ascii="Calibri" w:hAnsi="Calibri" w:cs="Calibri"/>
                <w:sz w:val="16"/>
                <w:szCs w:val="16"/>
              </w:rPr>
            </w:pPr>
            <w:r>
              <w:rPr>
                <w:rFonts w:ascii="Calibri" w:hAnsi="Calibri" w:cs="Calibri"/>
                <w:sz w:val="16"/>
                <w:szCs w:val="16"/>
              </w:rPr>
              <w:t xml:space="preserve">Zvýšené riziko je na úsekoch trate, </w:t>
            </w:r>
            <w:r w:rsidRPr="00677BEF">
              <w:rPr>
                <w:rFonts w:ascii="Calibri" w:hAnsi="Calibri" w:cs="Calibri"/>
                <w:sz w:val="16"/>
                <w:szCs w:val="16"/>
              </w:rPr>
              <w:t xml:space="preserve">kde sa pozdĺž </w:t>
            </w:r>
            <w:r>
              <w:rPr>
                <w:rFonts w:ascii="Calibri" w:hAnsi="Calibri" w:cs="Calibri"/>
                <w:sz w:val="16"/>
                <w:szCs w:val="16"/>
              </w:rPr>
              <w:t>nej vyskytujú</w:t>
            </w:r>
            <w:r w:rsidRPr="00677BEF">
              <w:rPr>
                <w:rFonts w:ascii="Calibri" w:hAnsi="Calibri" w:cs="Calibri"/>
                <w:sz w:val="16"/>
                <w:szCs w:val="16"/>
              </w:rPr>
              <w:t xml:space="preserve"> vzrastlé dreviny</w:t>
            </w:r>
            <w:r>
              <w:rPr>
                <w:rFonts w:ascii="Calibri" w:hAnsi="Calibri" w:cs="Calibri"/>
                <w:sz w:val="16"/>
                <w:szCs w:val="16"/>
              </w:rPr>
              <w:t xml:space="preserve"> </w:t>
            </w:r>
            <w:r w:rsidRPr="006A78CF">
              <w:rPr>
                <w:rFonts w:ascii="Calibri" w:hAnsi="Calibri" w:cs="Calibri"/>
                <w:sz w:val="16"/>
                <w:szCs w:val="16"/>
              </w:rPr>
              <w:t>a úseky vedené nad terénom na</w:t>
            </w:r>
            <w:r>
              <w:rPr>
                <w:rFonts w:ascii="Calibri" w:hAnsi="Calibri" w:cs="Calibri"/>
                <w:sz w:val="16"/>
                <w:szCs w:val="16"/>
              </w:rPr>
              <w:t xml:space="preserve"> vysokých</w:t>
            </w:r>
            <w:r w:rsidRPr="006A78CF">
              <w:rPr>
                <w:rFonts w:ascii="Calibri" w:hAnsi="Calibri" w:cs="Calibri"/>
                <w:sz w:val="16"/>
                <w:szCs w:val="16"/>
              </w:rPr>
              <w:t xml:space="preserve"> mostných objektoch.</w:t>
            </w:r>
          </w:p>
          <w:p w14:paraId="28A8BEE7" w14:textId="77777777" w:rsidR="00BE690A" w:rsidRPr="00EA2BB4" w:rsidRDefault="00BE690A" w:rsidP="00931169">
            <w:pPr>
              <w:pStyle w:val="Odsekzoznamu"/>
              <w:spacing w:after="0" w:line="240" w:lineRule="auto"/>
              <w:ind w:left="0"/>
              <w:jc w:val="both"/>
              <w:rPr>
                <w:rFonts w:ascii="Calibri" w:hAnsi="Calibri" w:cs="Calibri"/>
                <w:sz w:val="16"/>
                <w:szCs w:val="16"/>
              </w:rPr>
            </w:pPr>
            <w:r>
              <w:rPr>
                <w:rFonts w:ascii="Calibri" w:hAnsi="Calibri" w:cs="Calibri"/>
                <w:b/>
                <w:sz w:val="16"/>
                <w:szCs w:val="16"/>
              </w:rPr>
              <w:t>Rizikové</w:t>
            </w:r>
            <w:r w:rsidRPr="000A4BB5">
              <w:rPr>
                <w:rFonts w:ascii="Calibri" w:hAnsi="Calibri" w:cs="Calibri"/>
                <w:b/>
                <w:sz w:val="16"/>
                <w:szCs w:val="16"/>
              </w:rPr>
              <w:t xml:space="preserve"> úseky</w:t>
            </w:r>
            <w:r>
              <w:rPr>
                <w:rFonts w:ascii="Calibri" w:hAnsi="Calibri" w:cs="Calibri"/>
                <w:b/>
                <w:sz w:val="16"/>
                <w:szCs w:val="16"/>
              </w:rPr>
              <w:t>/objekty</w:t>
            </w:r>
            <w:r>
              <w:rPr>
                <w:rFonts w:ascii="Calibri" w:hAnsi="Calibri" w:cs="Calibri"/>
                <w:sz w:val="16"/>
                <w:szCs w:val="16"/>
              </w:rPr>
              <w:t>:</w:t>
            </w:r>
          </w:p>
          <w:p w14:paraId="6CB06FD1" w14:textId="77777777" w:rsidR="00BE690A" w:rsidRPr="00372F5F"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 xml:space="preserve">úsek trate Krásno nad Kysucou – Čadca </w:t>
            </w:r>
          </w:p>
          <w:p w14:paraId="47BEA534" w14:textId="77777777" w:rsidR="00BE690A" w:rsidRPr="00372F5F" w:rsidRDefault="00BE690A" w:rsidP="00931169">
            <w:pPr>
              <w:pStyle w:val="Odsekzoznamu"/>
              <w:numPr>
                <w:ilvl w:val="0"/>
                <w:numId w:val="38"/>
              </w:numPr>
              <w:spacing w:after="0" w:line="240" w:lineRule="auto"/>
              <w:ind w:left="176" w:hanging="176"/>
              <w:jc w:val="both"/>
              <w:rPr>
                <w:rFonts w:ascii="Calibri" w:hAnsi="Calibri" w:cs="Calibri"/>
                <w:sz w:val="16"/>
                <w:szCs w:val="16"/>
              </w:rPr>
            </w:pPr>
            <w:r w:rsidRPr="00372F5F">
              <w:rPr>
                <w:rFonts w:ascii="Calibri" w:hAnsi="Calibri" w:cs="Calibri"/>
                <w:sz w:val="16"/>
                <w:szCs w:val="16"/>
              </w:rPr>
              <w:t>úsek Svrčinovec – štátna hranica SR/ČR</w:t>
            </w:r>
          </w:p>
          <w:p w14:paraId="77D49487" w14:textId="77777777" w:rsidR="00BE690A" w:rsidRPr="00CD313D" w:rsidRDefault="00BE690A" w:rsidP="00931169">
            <w:pPr>
              <w:pStyle w:val="Odsekzoznamu"/>
              <w:numPr>
                <w:ilvl w:val="0"/>
                <w:numId w:val="38"/>
              </w:numPr>
              <w:spacing w:after="0" w:line="240" w:lineRule="auto"/>
              <w:ind w:left="176" w:hanging="176"/>
              <w:jc w:val="both"/>
              <w:rPr>
                <w:rFonts w:ascii="Calibri" w:hAnsi="Calibri" w:cs="Calibri"/>
                <w:sz w:val="16"/>
                <w:szCs w:val="16"/>
              </w:rPr>
            </w:pPr>
            <w:r w:rsidRPr="00F32174">
              <w:rPr>
                <w:rFonts w:ascii="Calibri" w:hAnsi="Calibri" w:cs="Calibri"/>
                <w:sz w:val="16"/>
                <w:szCs w:val="16"/>
              </w:rPr>
              <w:t>úseky</w:t>
            </w:r>
            <w:r>
              <w:rPr>
                <w:rFonts w:ascii="Calibri" w:hAnsi="Calibri" w:cs="Calibri"/>
                <w:sz w:val="16"/>
                <w:szCs w:val="16"/>
              </w:rPr>
              <w:t xml:space="preserve"> trate</w:t>
            </w:r>
            <w:r w:rsidRPr="00F32174">
              <w:rPr>
                <w:rFonts w:ascii="Calibri" w:hAnsi="Calibri" w:cs="Calibri"/>
                <w:sz w:val="16"/>
                <w:szCs w:val="16"/>
              </w:rPr>
              <w:t xml:space="preserve"> vedené na </w:t>
            </w:r>
            <w:r>
              <w:rPr>
                <w:rFonts w:ascii="Calibri" w:hAnsi="Calibri" w:cs="Calibri"/>
                <w:sz w:val="16"/>
                <w:szCs w:val="16"/>
              </w:rPr>
              <w:t>mostoch a yysokých násypoch</w:t>
            </w:r>
          </w:p>
        </w:tc>
      </w:tr>
      <w:tr w:rsidR="00BE690A" w:rsidRPr="00C92614" w14:paraId="3863B8EE" w14:textId="77777777" w:rsidTr="00BE690A">
        <w:trPr>
          <w:trHeight w:val="687"/>
          <w:jc w:val="center"/>
        </w:trPr>
        <w:tc>
          <w:tcPr>
            <w:tcW w:w="993" w:type="dxa"/>
            <w:shd w:val="clear" w:color="auto" w:fill="FFFFFF"/>
          </w:tcPr>
          <w:p w14:paraId="57678D99" w14:textId="77777777" w:rsidR="00BE690A" w:rsidRPr="007A16A5" w:rsidRDefault="00BE690A" w:rsidP="00931169">
            <w:pPr>
              <w:contextualSpacing/>
              <w:rPr>
                <w:rFonts w:cs="Calibri"/>
                <w:sz w:val="16"/>
                <w:szCs w:val="16"/>
              </w:rPr>
            </w:pPr>
            <w:bookmarkStart w:id="70" w:name="_Toc532556122"/>
            <w:bookmarkStart w:id="71" w:name="_Toc532822308"/>
            <w:bookmarkEnd w:id="70"/>
            <w:bookmarkEnd w:id="71"/>
            <w:r w:rsidRPr="007A16A5">
              <w:rPr>
                <w:rFonts w:cs="Calibri"/>
                <w:sz w:val="16"/>
                <w:szCs w:val="16"/>
              </w:rPr>
              <w:t>Silné dažde</w:t>
            </w:r>
          </w:p>
        </w:tc>
        <w:tc>
          <w:tcPr>
            <w:tcW w:w="443" w:type="dxa"/>
            <w:shd w:val="clear" w:color="auto" w:fill="FFFF97"/>
            <w:vAlign w:val="center"/>
          </w:tcPr>
          <w:p w14:paraId="3AAFFCC0" w14:textId="77777777" w:rsidR="00BE690A" w:rsidRPr="00C92614" w:rsidRDefault="00BE690A" w:rsidP="00931169">
            <w:pPr>
              <w:contextualSpacing/>
              <w:rPr>
                <w:rFonts w:cs="Calibri"/>
                <w:color w:val="FF0000"/>
                <w:sz w:val="16"/>
                <w:szCs w:val="16"/>
              </w:rPr>
            </w:pPr>
            <w:r>
              <w:rPr>
                <w:rFonts w:cs="Calibri"/>
                <w:sz w:val="16"/>
                <w:szCs w:val="16"/>
              </w:rPr>
              <w:t>3</w:t>
            </w:r>
          </w:p>
        </w:tc>
        <w:tc>
          <w:tcPr>
            <w:tcW w:w="426" w:type="dxa"/>
            <w:shd w:val="clear" w:color="auto" w:fill="EAF1DD"/>
            <w:vAlign w:val="center"/>
          </w:tcPr>
          <w:p w14:paraId="0C80273F" w14:textId="77777777" w:rsidR="00BE690A" w:rsidRPr="00C92614" w:rsidRDefault="00BE690A" w:rsidP="00931169">
            <w:pPr>
              <w:contextualSpacing/>
              <w:rPr>
                <w:rFonts w:cs="Calibri"/>
                <w:color w:val="FF0000"/>
                <w:sz w:val="16"/>
                <w:szCs w:val="16"/>
              </w:rPr>
            </w:pPr>
            <w:r>
              <w:rPr>
                <w:rFonts w:cs="Calibri"/>
                <w:sz w:val="16"/>
                <w:szCs w:val="16"/>
              </w:rPr>
              <w:t>1</w:t>
            </w:r>
          </w:p>
        </w:tc>
        <w:tc>
          <w:tcPr>
            <w:tcW w:w="3236" w:type="dxa"/>
            <w:shd w:val="clear" w:color="auto" w:fill="FFFFFF"/>
          </w:tcPr>
          <w:p w14:paraId="2B6E5908" w14:textId="77777777" w:rsidR="00BE690A" w:rsidRDefault="00BE690A" w:rsidP="00931169">
            <w:pPr>
              <w:pStyle w:val="Odsekzoznamu"/>
              <w:numPr>
                <w:ilvl w:val="0"/>
                <w:numId w:val="37"/>
              </w:numPr>
              <w:spacing w:after="0" w:line="240" w:lineRule="auto"/>
              <w:ind w:left="152" w:hanging="152"/>
              <w:jc w:val="both"/>
              <w:rPr>
                <w:rFonts w:ascii="Calibri" w:hAnsi="Calibri" w:cs="Calibri"/>
                <w:sz w:val="16"/>
                <w:szCs w:val="16"/>
              </w:rPr>
            </w:pPr>
            <w:r w:rsidRPr="00D4726E">
              <w:rPr>
                <w:rFonts w:ascii="Calibri" w:hAnsi="Calibri" w:cs="Calibri"/>
                <w:sz w:val="16"/>
                <w:szCs w:val="16"/>
              </w:rPr>
              <w:t>Zraniteľnosť projektu je spojená predovšetkým</w:t>
            </w:r>
            <w:r>
              <w:rPr>
                <w:rFonts w:ascii="Calibri" w:hAnsi="Calibri" w:cs="Calibri"/>
                <w:sz w:val="16"/>
                <w:szCs w:val="16"/>
              </w:rPr>
              <w:t xml:space="preserve"> s priamym zaplavením štrkového lôžka aj v dôsledku záplav na priľahlých vodných tokoch, znížením stability zemného násypu a blízkych svahov v dôsledku nárastu hladín podzemnej vody, vznikom svahových deformácií pôsobením vodnej erózie a podmáčaním žel. trate následkom spomalenia odtoku vody z územia.</w:t>
            </w:r>
          </w:p>
          <w:p w14:paraId="435A43C6" w14:textId="77777777" w:rsidR="00BE690A" w:rsidRPr="00CD313D" w:rsidRDefault="00BE690A" w:rsidP="00931169">
            <w:pPr>
              <w:pStyle w:val="Odsekzoznamu"/>
              <w:numPr>
                <w:ilvl w:val="0"/>
                <w:numId w:val="37"/>
              </w:numPr>
              <w:spacing w:after="0" w:line="240" w:lineRule="auto"/>
              <w:ind w:left="152" w:hanging="152"/>
              <w:jc w:val="both"/>
              <w:rPr>
                <w:rFonts w:ascii="Calibri" w:hAnsi="Calibri" w:cs="Calibri"/>
                <w:sz w:val="16"/>
                <w:szCs w:val="16"/>
              </w:rPr>
            </w:pPr>
            <w:r w:rsidRPr="00D4726E">
              <w:rPr>
                <w:rFonts w:ascii="Calibri" w:hAnsi="Calibri" w:cs="Calibri"/>
                <w:sz w:val="16"/>
                <w:szCs w:val="16"/>
              </w:rPr>
              <w:t>Očakáva sa vyššia frekvencia a intenzita prívalových</w:t>
            </w:r>
            <w:r>
              <w:rPr>
                <w:rFonts w:ascii="Calibri" w:hAnsi="Calibri" w:cs="Calibri"/>
                <w:sz w:val="16"/>
                <w:szCs w:val="16"/>
              </w:rPr>
              <w:t xml:space="preserve"> zrážok</w:t>
            </w:r>
            <w:r w:rsidRPr="00D4726E">
              <w:rPr>
                <w:rFonts w:ascii="Calibri" w:hAnsi="Calibri" w:cs="Calibri"/>
                <w:sz w:val="16"/>
                <w:szCs w:val="16"/>
              </w:rPr>
              <w:t xml:space="preserve"> a intenzívnych dlhotrvajúcich zrážok.</w:t>
            </w:r>
          </w:p>
        </w:tc>
        <w:tc>
          <w:tcPr>
            <w:tcW w:w="3969" w:type="dxa"/>
            <w:shd w:val="clear" w:color="auto" w:fill="FFFFFF"/>
          </w:tcPr>
          <w:p w14:paraId="78E6E1C9" w14:textId="77777777" w:rsidR="00BE690A" w:rsidRPr="00B4272E" w:rsidRDefault="00BE690A" w:rsidP="00931169">
            <w:pPr>
              <w:pStyle w:val="Odsekzoznamu"/>
              <w:spacing w:after="0" w:line="240" w:lineRule="auto"/>
              <w:ind w:left="0"/>
              <w:jc w:val="both"/>
              <w:rPr>
                <w:rFonts w:ascii="Calibri" w:hAnsi="Calibri" w:cs="Calibri"/>
                <w:sz w:val="16"/>
                <w:szCs w:val="16"/>
              </w:rPr>
            </w:pPr>
            <w:r w:rsidRPr="00B4272E">
              <w:rPr>
                <w:rFonts w:ascii="Calibri" w:hAnsi="Calibri" w:cs="Calibri"/>
                <w:sz w:val="16"/>
                <w:szCs w:val="16"/>
              </w:rPr>
              <w:t>Zvýšené riziko je na úsekoch</w:t>
            </w:r>
            <w:r>
              <w:rPr>
                <w:rFonts w:ascii="Calibri" w:hAnsi="Calibri" w:cs="Calibri"/>
                <w:sz w:val="16"/>
                <w:szCs w:val="16"/>
              </w:rPr>
              <w:t xml:space="preserve"> vedených v hlbokých zárezoch, križujúcich vodné toky, </w:t>
            </w:r>
            <w:r w:rsidRPr="00B4272E">
              <w:rPr>
                <w:rFonts w:ascii="Calibri" w:hAnsi="Calibri" w:cs="Calibri"/>
                <w:sz w:val="16"/>
                <w:szCs w:val="16"/>
              </w:rPr>
              <w:t xml:space="preserve">vedených v inundačnom území </w:t>
            </w:r>
            <w:r>
              <w:rPr>
                <w:rFonts w:ascii="Calibri" w:hAnsi="Calibri" w:cs="Calibri"/>
                <w:sz w:val="16"/>
                <w:szCs w:val="16"/>
              </w:rPr>
              <w:t>rieky Kysuca a v úsekoch a objektoch vedených pod úrovňou terénu (tunelové objekty, podchody), ktorých prevádzka závisí na funkčnosti odvodňovacích systémov.</w:t>
            </w:r>
          </w:p>
          <w:p w14:paraId="4C70DA93" w14:textId="77777777" w:rsidR="00BE690A" w:rsidRPr="00EA2BB4" w:rsidRDefault="00BE690A" w:rsidP="00931169">
            <w:pPr>
              <w:pStyle w:val="Odsekzoznamu"/>
              <w:spacing w:after="0" w:line="240" w:lineRule="auto"/>
              <w:ind w:left="0"/>
              <w:jc w:val="both"/>
              <w:rPr>
                <w:rFonts w:ascii="Calibri" w:hAnsi="Calibri" w:cs="Calibri"/>
                <w:sz w:val="16"/>
                <w:szCs w:val="16"/>
              </w:rPr>
            </w:pPr>
            <w:r>
              <w:rPr>
                <w:rFonts w:ascii="Calibri" w:hAnsi="Calibri" w:cs="Calibri"/>
                <w:b/>
                <w:sz w:val="16"/>
                <w:szCs w:val="16"/>
              </w:rPr>
              <w:t>Rizikové</w:t>
            </w:r>
            <w:r w:rsidRPr="000A4BB5">
              <w:rPr>
                <w:rFonts w:ascii="Calibri" w:hAnsi="Calibri" w:cs="Calibri"/>
                <w:b/>
                <w:sz w:val="16"/>
                <w:szCs w:val="16"/>
              </w:rPr>
              <w:t xml:space="preserve"> úseky</w:t>
            </w:r>
            <w:r>
              <w:rPr>
                <w:rFonts w:ascii="Calibri" w:hAnsi="Calibri" w:cs="Calibri"/>
                <w:b/>
                <w:sz w:val="16"/>
                <w:szCs w:val="16"/>
              </w:rPr>
              <w:t>/objekty</w:t>
            </w:r>
            <w:r>
              <w:rPr>
                <w:rFonts w:ascii="Calibri" w:hAnsi="Calibri" w:cs="Calibri"/>
                <w:sz w:val="16"/>
                <w:szCs w:val="16"/>
              </w:rPr>
              <w:t>:</w:t>
            </w:r>
          </w:p>
          <w:p w14:paraId="207E0B4D" w14:textId="77777777" w:rsidR="00BE690A" w:rsidRPr="001C7D2C"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vedené v zárezoch</w:t>
            </w:r>
          </w:p>
          <w:p w14:paraId="1E8450E8" w14:textId="77777777" w:rsidR="00BE690A" w:rsidRPr="00B755AE"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vedené v inundačnom území rieky Kysuca</w:t>
            </w:r>
          </w:p>
          <w:p w14:paraId="55209624" w14:textId="77777777" w:rsidR="00BE690A" w:rsidRPr="00372F5F"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vedené v oblasti s potenciálnym rizikom vzniku povodní</w:t>
            </w:r>
          </w:p>
          <w:p w14:paraId="5E2CD651" w14:textId="77777777" w:rsidR="00BE690A" w:rsidRPr="00B755AE" w:rsidRDefault="00BE690A" w:rsidP="00931169">
            <w:pPr>
              <w:pStyle w:val="Odsekzoznamu"/>
              <w:numPr>
                <w:ilvl w:val="0"/>
                <w:numId w:val="38"/>
              </w:numPr>
              <w:spacing w:after="0" w:line="240" w:lineRule="auto"/>
              <w:ind w:left="176" w:hanging="176"/>
              <w:jc w:val="both"/>
              <w:rPr>
                <w:rFonts w:ascii="Calibri" w:hAnsi="Calibri" w:cs="Calibri"/>
                <w:sz w:val="16"/>
                <w:szCs w:val="16"/>
              </w:rPr>
            </w:pPr>
            <w:r w:rsidRPr="00F32174">
              <w:rPr>
                <w:rFonts w:ascii="Calibri" w:hAnsi="Calibri" w:cs="Calibri"/>
                <w:sz w:val="16"/>
                <w:szCs w:val="16"/>
              </w:rPr>
              <w:t>úseky</w:t>
            </w:r>
            <w:r>
              <w:rPr>
                <w:rFonts w:ascii="Calibri" w:hAnsi="Calibri" w:cs="Calibri"/>
                <w:sz w:val="16"/>
                <w:szCs w:val="16"/>
              </w:rPr>
              <w:t xml:space="preserve"> trate</w:t>
            </w:r>
            <w:r w:rsidRPr="00F32174">
              <w:rPr>
                <w:rFonts w:ascii="Calibri" w:hAnsi="Calibri" w:cs="Calibri"/>
                <w:sz w:val="16"/>
                <w:szCs w:val="16"/>
              </w:rPr>
              <w:t xml:space="preserve"> </w:t>
            </w:r>
            <w:r>
              <w:rPr>
                <w:rFonts w:ascii="Calibri" w:hAnsi="Calibri" w:cs="Calibri"/>
                <w:sz w:val="16"/>
                <w:szCs w:val="16"/>
              </w:rPr>
              <w:t>vedené tunelmi (varianty I.2 a I.3 v I. etape)</w:t>
            </w:r>
          </w:p>
          <w:p w14:paraId="7926C933" w14:textId="77777777" w:rsidR="00BE690A" w:rsidRPr="00B755AE"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stavebné objekty pod úrovňou terénu (podchody v zastávkach a staniciach)</w:t>
            </w:r>
          </w:p>
          <w:p w14:paraId="60019952" w14:textId="77777777" w:rsidR="00BE690A" w:rsidRPr="00CD313D"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vedené v blízkosti aktívnych a potenciálnych zosuvov</w:t>
            </w:r>
          </w:p>
        </w:tc>
      </w:tr>
      <w:tr w:rsidR="00BE690A" w:rsidRPr="00C92614" w14:paraId="79303BE5" w14:textId="77777777" w:rsidTr="00BE690A">
        <w:trPr>
          <w:trHeight w:val="185"/>
          <w:jc w:val="center"/>
        </w:trPr>
        <w:tc>
          <w:tcPr>
            <w:tcW w:w="993" w:type="dxa"/>
            <w:shd w:val="clear" w:color="auto" w:fill="FFFFFF"/>
          </w:tcPr>
          <w:p w14:paraId="64BA49A4" w14:textId="77777777" w:rsidR="00BE690A" w:rsidRDefault="00BE690A" w:rsidP="00931169">
            <w:pPr>
              <w:contextualSpacing/>
              <w:rPr>
                <w:rFonts w:cs="Calibri"/>
                <w:sz w:val="16"/>
                <w:szCs w:val="16"/>
              </w:rPr>
            </w:pPr>
            <w:r>
              <w:rPr>
                <w:rFonts w:cs="Calibri"/>
                <w:sz w:val="16"/>
                <w:szCs w:val="16"/>
              </w:rPr>
              <w:t>Vysoké teploty</w:t>
            </w:r>
          </w:p>
        </w:tc>
        <w:tc>
          <w:tcPr>
            <w:tcW w:w="443" w:type="dxa"/>
            <w:shd w:val="clear" w:color="auto" w:fill="D6E3BC"/>
            <w:vAlign w:val="center"/>
          </w:tcPr>
          <w:p w14:paraId="59A807D8" w14:textId="77777777" w:rsidR="00BE690A" w:rsidRPr="000D0959" w:rsidRDefault="00BE690A" w:rsidP="00931169">
            <w:pPr>
              <w:contextualSpacing/>
              <w:rPr>
                <w:rFonts w:cs="Calibri"/>
                <w:sz w:val="16"/>
                <w:szCs w:val="16"/>
              </w:rPr>
            </w:pPr>
            <w:r w:rsidRPr="000D0959">
              <w:rPr>
                <w:rFonts w:cs="Calibri"/>
                <w:sz w:val="16"/>
                <w:szCs w:val="16"/>
              </w:rPr>
              <w:t>2</w:t>
            </w:r>
          </w:p>
        </w:tc>
        <w:tc>
          <w:tcPr>
            <w:tcW w:w="426" w:type="dxa"/>
            <w:shd w:val="clear" w:color="auto" w:fill="D6E3BC"/>
            <w:vAlign w:val="center"/>
          </w:tcPr>
          <w:p w14:paraId="1E41DF8F" w14:textId="77777777" w:rsidR="00BE690A" w:rsidRPr="000D0959" w:rsidRDefault="00BE690A" w:rsidP="00931169">
            <w:pPr>
              <w:contextualSpacing/>
              <w:rPr>
                <w:rFonts w:cs="Calibri"/>
                <w:sz w:val="16"/>
                <w:szCs w:val="16"/>
              </w:rPr>
            </w:pPr>
            <w:r w:rsidRPr="000D0959">
              <w:rPr>
                <w:rFonts w:cs="Calibri"/>
                <w:sz w:val="16"/>
                <w:szCs w:val="16"/>
              </w:rPr>
              <w:t>2</w:t>
            </w:r>
          </w:p>
        </w:tc>
        <w:tc>
          <w:tcPr>
            <w:tcW w:w="3236" w:type="dxa"/>
            <w:shd w:val="clear" w:color="auto" w:fill="FFFFFF" w:themeFill="background1"/>
          </w:tcPr>
          <w:p w14:paraId="602A2E9D" w14:textId="77777777" w:rsidR="00BE690A" w:rsidRPr="009B74C8" w:rsidRDefault="00BE690A" w:rsidP="00931169">
            <w:pPr>
              <w:pStyle w:val="Odsekzoznamu"/>
              <w:numPr>
                <w:ilvl w:val="0"/>
                <w:numId w:val="37"/>
              </w:numPr>
              <w:spacing w:after="0" w:line="240" w:lineRule="auto"/>
              <w:ind w:left="152" w:hanging="152"/>
              <w:jc w:val="both"/>
              <w:rPr>
                <w:rFonts w:ascii="Calibri" w:hAnsi="Calibri" w:cs="Calibri"/>
                <w:sz w:val="16"/>
                <w:szCs w:val="16"/>
              </w:rPr>
            </w:pPr>
            <w:r w:rsidRPr="00D4726E">
              <w:rPr>
                <w:rFonts w:ascii="Calibri" w:hAnsi="Calibri" w:cs="Calibri"/>
                <w:sz w:val="16"/>
                <w:szCs w:val="16"/>
              </w:rPr>
              <w:t>Zraniteľnosť projektu je spojená predovšetkým</w:t>
            </w:r>
            <w:r>
              <w:rPr>
                <w:rFonts w:ascii="Calibri" w:hAnsi="Calibri" w:cs="Calibri"/>
                <w:sz w:val="16"/>
                <w:szCs w:val="16"/>
              </w:rPr>
              <w:t xml:space="preserve"> s pôsobením vysokých teplôt na technologické časti žel. infraštruktúry (predovšetkým na oznamovacie a zabezpečovacie zariadenia) a zvýšením rozťažnosti trakčného vedenia.</w:t>
            </w:r>
          </w:p>
          <w:p w14:paraId="4D4B29AE" w14:textId="77777777" w:rsidR="00BE690A" w:rsidRPr="009B74C8" w:rsidRDefault="00BE690A" w:rsidP="00931169">
            <w:pPr>
              <w:pStyle w:val="Odsekzoznamu"/>
              <w:numPr>
                <w:ilvl w:val="0"/>
                <w:numId w:val="37"/>
              </w:numPr>
              <w:spacing w:after="0" w:line="240" w:lineRule="auto"/>
              <w:ind w:left="152" w:hanging="152"/>
              <w:jc w:val="both"/>
              <w:rPr>
                <w:rFonts w:ascii="Calibri" w:hAnsi="Calibri" w:cs="Calibri"/>
                <w:sz w:val="16"/>
                <w:szCs w:val="16"/>
              </w:rPr>
            </w:pPr>
            <w:r w:rsidRPr="009B74C8">
              <w:rPr>
                <w:rFonts w:ascii="Calibri" w:hAnsi="Calibri" w:cs="Calibri"/>
                <w:sz w:val="16"/>
                <w:szCs w:val="16"/>
              </w:rPr>
              <w:t xml:space="preserve">Očakáva sa </w:t>
            </w:r>
            <w:r>
              <w:rPr>
                <w:rFonts w:ascii="Calibri" w:hAnsi="Calibri" w:cs="Calibri"/>
                <w:sz w:val="16"/>
                <w:szCs w:val="16"/>
              </w:rPr>
              <w:t>nárast priemerných teplôt vzduchu, vyšší počet letných a horúcich dní a častejší výskyt vĺn horúčav.</w:t>
            </w:r>
          </w:p>
        </w:tc>
        <w:tc>
          <w:tcPr>
            <w:tcW w:w="3969" w:type="dxa"/>
            <w:shd w:val="clear" w:color="auto" w:fill="FFFFFF" w:themeFill="background1"/>
          </w:tcPr>
          <w:p w14:paraId="578AE096" w14:textId="77777777" w:rsidR="00BE690A" w:rsidRPr="00B4272E" w:rsidRDefault="00BE690A" w:rsidP="00931169">
            <w:pPr>
              <w:contextualSpacing/>
              <w:rPr>
                <w:rFonts w:cs="Calibri"/>
                <w:sz w:val="16"/>
                <w:szCs w:val="16"/>
              </w:rPr>
            </w:pPr>
            <w:r w:rsidRPr="00A27E98">
              <w:rPr>
                <w:rFonts w:cs="Calibri"/>
                <w:sz w:val="16"/>
                <w:szCs w:val="16"/>
              </w:rPr>
              <w:t xml:space="preserve">Riziko pôsobenia tohto klimatického javu je nízke, avšak postupným nárastom horúcich dní s vysokými teplotami vzduchu je ohrozovaná funkčnosť niektorých technologických zariadení. </w:t>
            </w:r>
            <w:r>
              <w:rPr>
                <w:rFonts w:cs="Calibri"/>
                <w:sz w:val="16"/>
                <w:szCs w:val="16"/>
              </w:rPr>
              <w:t>Náhle ohrozenie</w:t>
            </w:r>
            <w:r w:rsidRPr="00A27E98">
              <w:rPr>
                <w:rFonts w:cs="Calibri"/>
                <w:sz w:val="16"/>
                <w:szCs w:val="16"/>
              </w:rPr>
              <w:t xml:space="preserve"> vlastností trakčného vedenia </w:t>
            </w:r>
            <w:r>
              <w:rPr>
                <w:rFonts w:cs="Calibri"/>
                <w:sz w:val="16"/>
                <w:szCs w:val="16"/>
              </w:rPr>
              <w:t xml:space="preserve">pôsobením vysokých teplôt bude zmiernené výmenou zastaraného TV novým a počas prevádzky vykonávaním pravidelných teplotných prehliadok trakčného vedenia v zmysle </w:t>
            </w:r>
            <w:r w:rsidRPr="00A27E98">
              <w:rPr>
                <w:rFonts w:cs="Calibri"/>
                <w:sz w:val="16"/>
                <w:szCs w:val="16"/>
              </w:rPr>
              <w:t>Metodického usmernenia riaditeľa Odboru oznamovacej a zabezpečovacej techniky a elektrotechniky GR ŽSR k minimalizácii prevádzkových porúch na zariadeniach EE spôsobených vplyvom nepriaznivých a extrémnych poveternostných a teplotných podmienok v sieti ŽSR</w:t>
            </w:r>
            <w:r>
              <w:rPr>
                <w:rFonts w:cs="Calibri"/>
                <w:sz w:val="16"/>
                <w:szCs w:val="16"/>
              </w:rPr>
              <w:t>.</w:t>
            </w:r>
          </w:p>
          <w:p w14:paraId="05D6B54F" w14:textId="77777777" w:rsidR="00BE690A" w:rsidRPr="00EA2BB4" w:rsidRDefault="00BE690A" w:rsidP="00931169">
            <w:pPr>
              <w:pStyle w:val="Odsekzoznamu"/>
              <w:spacing w:after="0" w:line="240" w:lineRule="auto"/>
              <w:ind w:left="0"/>
              <w:jc w:val="both"/>
              <w:rPr>
                <w:rFonts w:ascii="Calibri" w:hAnsi="Calibri" w:cs="Calibri"/>
                <w:sz w:val="16"/>
                <w:szCs w:val="16"/>
              </w:rPr>
            </w:pPr>
            <w:r>
              <w:rPr>
                <w:rFonts w:ascii="Calibri" w:hAnsi="Calibri" w:cs="Calibri"/>
                <w:b/>
                <w:sz w:val="16"/>
                <w:szCs w:val="16"/>
              </w:rPr>
              <w:t>Rizikové</w:t>
            </w:r>
            <w:r w:rsidRPr="000A4BB5">
              <w:rPr>
                <w:rFonts w:ascii="Calibri" w:hAnsi="Calibri" w:cs="Calibri"/>
                <w:b/>
                <w:sz w:val="16"/>
                <w:szCs w:val="16"/>
              </w:rPr>
              <w:t xml:space="preserve"> úseky</w:t>
            </w:r>
            <w:r>
              <w:rPr>
                <w:rFonts w:ascii="Calibri" w:hAnsi="Calibri" w:cs="Calibri"/>
                <w:b/>
                <w:sz w:val="16"/>
                <w:szCs w:val="16"/>
              </w:rPr>
              <w:t>/objekty</w:t>
            </w:r>
            <w:r>
              <w:rPr>
                <w:rFonts w:ascii="Calibri" w:hAnsi="Calibri" w:cs="Calibri"/>
                <w:sz w:val="16"/>
                <w:szCs w:val="16"/>
              </w:rPr>
              <w:t>:</w:t>
            </w:r>
          </w:p>
          <w:p w14:paraId="18F650DF" w14:textId="77777777" w:rsidR="00BE690A" w:rsidRPr="00A50DAA"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oznamovacie a zabezpečovacie zariadenia</w:t>
            </w:r>
          </w:p>
          <w:p w14:paraId="3C894531" w14:textId="77777777" w:rsidR="00BE690A" w:rsidRPr="00CD313D"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trakčné vedenie</w:t>
            </w:r>
          </w:p>
        </w:tc>
      </w:tr>
      <w:tr w:rsidR="00BE690A" w:rsidRPr="00C92614" w14:paraId="230021DF" w14:textId="77777777" w:rsidTr="00BE690A">
        <w:trPr>
          <w:trHeight w:val="450"/>
          <w:jc w:val="center"/>
        </w:trPr>
        <w:tc>
          <w:tcPr>
            <w:tcW w:w="993" w:type="dxa"/>
            <w:shd w:val="clear" w:color="auto" w:fill="FFFFFF"/>
          </w:tcPr>
          <w:p w14:paraId="4A76AAE4" w14:textId="77777777" w:rsidR="00BE690A" w:rsidRPr="00272F6C" w:rsidRDefault="00BE690A" w:rsidP="00931169">
            <w:pPr>
              <w:contextualSpacing/>
              <w:rPr>
                <w:rFonts w:cs="Calibri"/>
                <w:sz w:val="16"/>
                <w:szCs w:val="16"/>
              </w:rPr>
            </w:pPr>
            <w:r>
              <w:rPr>
                <w:rFonts w:cs="Calibri"/>
                <w:sz w:val="16"/>
                <w:szCs w:val="16"/>
              </w:rPr>
              <w:t>Snehové javy</w:t>
            </w:r>
          </w:p>
        </w:tc>
        <w:tc>
          <w:tcPr>
            <w:tcW w:w="443" w:type="dxa"/>
            <w:shd w:val="clear" w:color="auto" w:fill="FFFF97"/>
            <w:vAlign w:val="center"/>
          </w:tcPr>
          <w:p w14:paraId="4586B97B" w14:textId="77777777" w:rsidR="00BE690A" w:rsidRPr="00C92614" w:rsidRDefault="00BE690A" w:rsidP="00931169">
            <w:pPr>
              <w:contextualSpacing/>
              <w:rPr>
                <w:rFonts w:cs="Calibri"/>
                <w:color w:val="FF0000"/>
                <w:sz w:val="16"/>
                <w:szCs w:val="16"/>
              </w:rPr>
            </w:pPr>
            <w:r w:rsidRPr="000D0959">
              <w:rPr>
                <w:rFonts w:cs="Calibri"/>
                <w:sz w:val="16"/>
                <w:szCs w:val="16"/>
              </w:rPr>
              <w:t>3</w:t>
            </w:r>
          </w:p>
        </w:tc>
        <w:tc>
          <w:tcPr>
            <w:tcW w:w="426" w:type="dxa"/>
            <w:shd w:val="clear" w:color="auto" w:fill="D6E3BC"/>
            <w:vAlign w:val="center"/>
          </w:tcPr>
          <w:p w14:paraId="5C86768E" w14:textId="77777777" w:rsidR="00BE690A" w:rsidRPr="00F62269" w:rsidRDefault="00BE690A" w:rsidP="00931169">
            <w:pPr>
              <w:contextualSpacing/>
              <w:rPr>
                <w:rFonts w:cs="Calibri"/>
                <w:sz w:val="16"/>
                <w:szCs w:val="16"/>
              </w:rPr>
            </w:pPr>
            <w:r w:rsidRPr="00F62269">
              <w:rPr>
                <w:rFonts w:cs="Calibri"/>
                <w:sz w:val="16"/>
                <w:szCs w:val="16"/>
              </w:rPr>
              <w:t>2</w:t>
            </w:r>
          </w:p>
        </w:tc>
        <w:tc>
          <w:tcPr>
            <w:tcW w:w="3236" w:type="dxa"/>
            <w:shd w:val="clear" w:color="auto" w:fill="FFFFFF" w:themeFill="background1"/>
          </w:tcPr>
          <w:p w14:paraId="2D7EFB61" w14:textId="77777777" w:rsidR="00BE690A" w:rsidRPr="00252AC7" w:rsidRDefault="00BE690A" w:rsidP="00931169">
            <w:pPr>
              <w:pStyle w:val="Odsekzoznamu"/>
              <w:numPr>
                <w:ilvl w:val="0"/>
                <w:numId w:val="37"/>
              </w:numPr>
              <w:spacing w:after="0" w:line="240" w:lineRule="auto"/>
              <w:ind w:left="152" w:hanging="152"/>
              <w:jc w:val="both"/>
              <w:rPr>
                <w:rFonts w:ascii="Calibri" w:hAnsi="Calibri" w:cs="Calibri"/>
                <w:sz w:val="16"/>
                <w:szCs w:val="16"/>
              </w:rPr>
            </w:pPr>
            <w:r w:rsidRPr="00252AC7">
              <w:rPr>
                <w:rFonts w:ascii="Calibri" w:hAnsi="Calibri" w:cs="Calibri"/>
                <w:sz w:val="16"/>
                <w:szCs w:val="16"/>
              </w:rPr>
              <w:t xml:space="preserve">Zraniteľnosť projektu je spojená predovšetkým so zaťažením stavebných konštrukcií ťažkým snehom, pádmi konárov a stromov na trať a na súvisiacu žel. </w:t>
            </w:r>
            <w:r w:rsidRPr="00252AC7">
              <w:rPr>
                <w:rFonts w:ascii="Calibri" w:hAnsi="Calibri" w:cs="Calibri"/>
                <w:sz w:val="16"/>
                <w:szCs w:val="16"/>
              </w:rPr>
              <w:lastRenderedPageBreak/>
              <w:t>infraštruktúru v dôsledku vysokej váhy snehu, usádzaním snehu vo výhybkách</w:t>
            </w:r>
            <w:r>
              <w:rPr>
                <w:rFonts w:ascii="Calibri" w:hAnsi="Calibri" w:cs="Calibri"/>
                <w:sz w:val="16"/>
                <w:szCs w:val="16"/>
              </w:rPr>
              <w:t>, vznikom lokálnych lavín na strmých svahoch</w:t>
            </w:r>
            <w:r w:rsidRPr="00252AC7">
              <w:rPr>
                <w:rFonts w:ascii="Calibri" w:hAnsi="Calibri" w:cs="Calibri"/>
                <w:sz w:val="16"/>
                <w:szCs w:val="16"/>
              </w:rPr>
              <w:t xml:space="preserve"> a zvýšenými nárokmi na zimnú údržbu.</w:t>
            </w:r>
          </w:p>
          <w:p w14:paraId="7B7E9140" w14:textId="77777777" w:rsidR="00BE690A" w:rsidRPr="00252AC7" w:rsidRDefault="00BE690A" w:rsidP="00931169">
            <w:pPr>
              <w:pStyle w:val="Odsekzoznamu"/>
              <w:numPr>
                <w:ilvl w:val="0"/>
                <w:numId w:val="37"/>
              </w:numPr>
              <w:spacing w:after="0" w:line="240" w:lineRule="auto"/>
              <w:ind w:left="176" w:hanging="142"/>
              <w:jc w:val="both"/>
              <w:rPr>
                <w:rFonts w:ascii="Calibri" w:hAnsi="Calibri" w:cs="Calibri"/>
                <w:sz w:val="16"/>
                <w:szCs w:val="16"/>
              </w:rPr>
            </w:pPr>
            <w:r w:rsidRPr="00252AC7">
              <w:rPr>
                <w:rFonts w:ascii="Calibri" w:hAnsi="Calibri" w:cs="Calibri"/>
                <w:sz w:val="16"/>
                <w:szCs w:val="16"/>
              </w:rPr>
              <w:t>Očakáva sa pokles množstva snehových zrážok a doby ich trvania a zároveň ich nerovnomerné rozloženie a častejší výskyt snehových kalamít.</w:t>
            </w:r>
          </w:p>
        </w:tc>
        <w:tc>
          <w:tcPr>
            <w:tcW w:w="3969" w:type="dxa"/>
            <w:shd w:val="clear" w:color="auto" w:fill="FFFFFF" w:themeFill="background1"/>
          </w:tcPr>
          <w:p w14:paraId="41973C5C" w14:textId="77777777" w:rsidR="00BE690A" w:rsidRPr="00252AC7" w:rsidRDefault="00BE690A" w:rsidP="00931169">
            <w:pPr>
              <w:contextualSpacing/>
              <w:rPr>
                <w:rFonts w:cs="Calibri"/>
                <w:sz w:val="16"/>
                <w:szCs w:val="16"/>
              </w:rPr>
            </w:pPr>
            <w:r w:rsidRPr="00252AC7">
              <w:rPr>
                <w:rFonts w:cs="Calibri"/>
                <w:sz w:val="16"/>
                <w:szCs w:val="16"/>
              </w:rPr>
              <w:lastRenderedPageBreak/>
              <w:t xml:space="preserve">Riziko pôsobenia tohto klimatického javu je predovšetkým v lokálnom ovplyvnení žel. infraštruktúry, pričom vyvolané následky sú odstrániteľné bežnými prevádzkovými úkonmi správcu. </w:t>
            </w:r>
            <w:r>
              <w:rPr>
                <w:rFonts w:cs="Calibri"/>
                <w:sz w:val="16"/>
                <w:szCs w:val="16"/>
              </w:rPr>
              <w:t xml:space="preserve">Zvýšené riziko vzniku snehových lavín a zasypania </w:t>
            </w:r>
            <w:r>
              <w:rPr>
                <w:rFonts w:cs="Calibri"/>
                <w:sz w:val="16"/>
                <w:szCs w:val="16"/>
              </w:rPr>
              <w:lastRenderedPageBreak/>
              <w:t xml:space="preserve">trate s následným obmedzením prevádzky je v úsekoch vedených v hlbokých zárezoch so strmými svahmi. </w:t>
            </w:r>
            <w:r w:rsidRPr="00252AC7">
              <w:rPr>
                <w:rFonts w:cs="Calibri"/>
                <w:sz w:val="16"/>
                <w:szCs w:val="16"/>
              </w:rPr>
              <w:t>Zvýšené riziko pádov stromov a konárov na trať a trakčné vedenie je v úsekoch vedených v blízkosti lesných porastov.</w:t>
            </w:r>
            <w:r>
              <w:rPr>
                <w:rFonts w:cs="Calibri"/>
                <w:sz w:val="16"/>
                <w:szCs w:val="16"/>
              </w:rPr>
              <w:t xml:space="preserve"> </w:t>
            </w:r>
          </w:p>
          <w:p w14:paraId="61F375DA" w14:textId="77777777" w:rsidR="00BE690A" w:rsidRPr="00252AC7" w:rsidRDefault="00BE690A" w:rsidP="00931169">
            <w:pPr>
              <w:pStyle w:val="Odsekzoznamu"/>
              <w:spacing w:after="0" w:line="240" w:lineRule="auto"/>
              <w:ind w:left="0"/>
              <w:jc w:val="both"/>
              <w:rPr>
                <w:rFonts w:ascii="Calibri" w:hAnsi="Calibri" w:cs="Calibri"/>
                <w:sz w:val="16"/>
                <w:szCs w:val="16"/>
              </w:rPr>
            </w:pPr>
            <w:r w:rsidRPr="00252AC7">
              <w:rPr>
                <w:rFonts w:ascii="Calibri" w:hAnsi="Calibri" w:cs="Calibri"/>
                <w:b/>
                <w:sz w:val="16"/>
                <w:szCs w:val="16"/>
              </w:rPr>
              <w:t>Rizikové úseky/objekty</w:t>
            </w:r>
            <w:r w:rsidRPr="00252AC7">
              <w:rPr>
                <w:rFonts w:ascii="Calibri" w:hAnsi="Calibri" w:cs="Calibri"/>
                <w:sz w:val="16"/>
                <w:szCs w:val="16"/>
              </w:rPr>
              <w:t xml:space="preserve">: </w:t>
            </w:r>
          </w:p>
          <w:p w14:paraId="53FD23A1" w14:textId="77777777" w:rsidR="00BE690A" w:rsidRPr="00D0040F"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trate vedené v zárezoch s blízkymi strmými svahmi</w:t>
            </w:r>
          </w:p>
          <w:p w14:paraId="314CC5DC" w14:textId="77777777" w:rsidR="00BE690A" w:rsidRPr="00E12240" w:rsidRDefault="00BE690A" w:rsidP="00931169">
            <w:pPr>
              <w:pStyle w:val="Odsekzoznamu"/>
              <w:numPr>
                <w:ilvl w:val="0"/>
                <w:numId w:val="38"/>
              </w:numPr>
              <w:spacing w:after="0" w:line="240" w:lineRule="auto"/>
              <w:ind w:left="176" w:hanging="176"/>
              <w:jc w:val="both"/>
              <w:rPr>
                <w:rFonts w:ascii="Calibri" w:hAnsi="Calibri" w:cs="Calibri"/>
                <w:sz w:val="16"/>
                <w:szCs w:val="16"/>
              </w:rPr>
            </w:pPr>
            <w:r w:rsidRPr="00252AC7">
              <w:rPr>
                <w:rFonts w:ascii="Calibri" w:hAnsi="Calibri" w:cs="Calibri"/>
                <w:sz w:val="16"/>
                <w:szCs w:val="16"/>
              </w:rPr>
              <w:t xml:space="preserve">úsek trate Krásno nad Kysucou – Čadca </w:t>
            </w:r>
          </w:p>
          <w:p w14:paraId="694F51C0" w14:textId="77777777" w:rsidR="00BE690A" w:rsidRPr="00E12240" w:rsidRDefault="00BE690A" w:rsidP="00931169">
            <w:pPr>
              <w:pStyle w:val="Odsekzoznamu"/>
              <w:numPr>
                <w:ilvl w:val="0"/>
                <w:numId w:val="38"/>
              </w:numPr>
              <w:spacing w:after="0" w:line="240" w:lineRule="auto"/>
              <w:ind w:left="176" w:hanging="176"/>
              <w:jc w:val="both"/>
              <w:rPr>
                <w:rFonts w:ascii="Calibri" w:hAnsi="Calibri" w:cs="Calibri"/>
                <w:sz w:val="16"/>
                <w:szCs w:val="16"/>
              </w:rPr>
            </w:pPr>
            <w:r w:rsidRPr="00372F5F">
              <w:rPr>
                <w:rFonts w:ascii="Calibri" w:hAnsi="Calibri" w:cs="Calibri"/>
                <w:sz w:val="16"/>
                <w:szCs w:val="16"/>
              </w:rPr>
              <w:t>úsek Svrčinovec – štátna hranica SR/ČR</w:t>
            </w:r>
          </w:p>
        </w:tc>
      </w:tr>
      <w:tr w:rsidR="00BE690A" w:rsidRPr="00C92614" w14:paraId="2B3D6763" w14:textId="77777777" w:rsidTr="00BE690A">
        <w:trPr>
          <w:trHeight w:val="450"/>
          <w:jc w:val="center"/>
        </w:trPr>
        <w:tc>
          <w:tcPr>
            <w:tcW w:w="993" w:type="dxa"/>
            <w:shd w:val="clear" w:color="auto" w:fill="FFFFFF"/>
          </w:tcPr>
          <w:p w14:paraId="572029CC" w14:textId="77777777" w:rsidR="00BE690A" w:rsidRPr="00272F6C" w:rsidRDefault="00BE690A" w:rsidP="00931169">
            <w:pPr>
              <w:contextualSpacing/>
              <w:rPr>
                <w:rFonts w:cs="Calibri"/>
                <w:sz w:val="16"/>
                <w:szCs w:val="16"/>
              </w:rPr>
            </w:pPr>
            <w:r>
              <w:rPr>
                <w:rFonts w:cs="Calibri"/>
                <w:sz w:val="16"/>
                <w:szCs w:val="16"/>
              </w:rPr>
              <w:lastRenderedPageBreak/>
              <w:t>Námrazové javy</w:t>
            </w:r>
          </w:p>
        </w:tc>
        <w:tc>
          <w:tcPr>
            <w:tcW w:w="443" w:type="dxa"/>
            <w:shd w:val="clear" w:color="auto" w:fill="FFFF97"/>
            <w:vAlign w:val="center"/>
          </w:tcPr>
          <w:p w14:paraId="07F06362" w14:textId="77777777" w:rsidR="00BE690A" w:rsidRPr="000D0959" w:rsidRDefault="00BE690A" w:rsidP="00931169">
            <w:pPr>
              <w:contextualSpacing/>
              <w:rPr>
                <w:rFonts w:cs="Calibri"/>
                <w:sz w:val="16"/>
                <w:szCs w:val="16"/>
              </w:rPr>
            </w:pPr>
            <w:r w:rsidRPr="000D0959">
              <w:rPr>
                <w:rFonts w:cs="Calibri"/>
                <w:sz w:val="16"/>
                <w:szCs w:val="16"/>
              </w:rPr>
              <w:t>3</w:t>
            </w:r>
          </w:p>
        </w:tc>
        <w:tc>
          <w:tcPr>
            <w:tcW w:w="426" w:type="dxa"/>
            <w:shd w:val="clear" w:color="auto" w:fill="D6E3BC"/>
            <w:vAlign w:val="center"/>
          </w:tcPr>
          <w:p w14:paraId="2C216C23" w14:textId="77777777" w:rsidR="00BE690A" w:rsidRPr="000D0959" w:rsidRDefault="00BE690A" w:rsidP="00931169">
            <w:pPr>
              <w:contextualSpacing/>
              <w:rPr>
                <w:rFonts w:cs="Calibri"/>
                <w:sz w:val="16"/>
                <w:szCs w:val="16"/>
              </w:rPr>
            </w:pPr>
            <w:r w:rsidRPr="000D0959">
              <w:rPr>
                <w:rFonts w:cs="Calibri"/>
                <w:sz w:val="16"/>
                <w:szCs w:val="16"/>
              </w:rPr>
              <w:t>2</w:t>
            </w:r>
          </w:p>
        </w:tc>
        <w:tc>
          <w:tcPr>
            <w:tcW w:w="3236" w:type="dxa"/>
            <w:shd w:val="clear" w:color="auto" w:fill="FFFFFF" w:themeFill="background1"/>
          </w:tcPr>
          <w:p w14:paraId="193E43C6" w14:textId="77777777" w:rsidR="00BE690A" w:rsidRPr="00252AC7" w:rsidRDefault="00BE690A" w:rsidP="00931169">
            <w:pPr>
              <w:pStyle w:val="Odsekzoznamu"/>
              <w:numPr>
                <w:ilvl w:val="0"/>
                <w:numId w:val="37"/>
              </w:numPr>
              <w:spacing w:after="0" w:line="240" w:lineRule="auto"/>
              <w:ind w:left="152" w:hanging="152"/>
              <w:jc w:val="both"/>
              <w:rPr>
                <w:rFonts w:ascii="Calibri" w:hAnsi="Calibri" w:cs="Calibri"/>
                <w:sz w:val="16"/>
                <w:szCs w:val="16"/>
              </w:rPr>
            </w:pPr>
            <w:r w:rsidRPr="00F62269">
              <w:rPr>
                <w:rFonts w:ascii="Calibri" w:hAnsi="Calibri" w:cs="Calibri"/>
                <w:sz w:val="16"/>
                <w:szCs w:val="16"/>
              </w:rPr>
              <w:t xml:space="preserve">Zraniteľnosť projektu je spojená </w:t>
            </w:r>
            <w:r>
              <w:rPr>
                <w:rFonts w:ascii="Calibri" w:hAnsi="Calibri" w:cs="Calibri"/>
                <w:sz w:val="16"/>
                <w:szCs w:val="16"/>
              </w:rPr>
              <w:t xml:space="preserve">predovšetkým s tvorbou ľadu vo výhybkách a zmenami pružnosti niektorých materiálov. </w:t>
            </w:r>
          </w:p>
          <w:p w14:paraId="04BABA3B" w14:textId="77777777" w:rsidR="00BE690A" w:rsidRPr="00252AC7" w:rsidRDefault="00BE690A" w:rsidP="00931169">
            <w:pPr>
              <w:pStyle w:val="Odsekzoznamu"/>
              <w:numPr>
                <w:ilvl w:val="0"/>
                <w:numId w:val="37"/>
              </w:numPr>
              <w:spacing w:after="0" w:line="240" w:lineRule="auto"/>
              <w:ind w:left="152" w:hanging="152"/>
              <w:jc w:val="both"/>
              <w:rPr>
                <w:rFonts w:ascii="Calibri" w:hAnsi="Calibri" w:cs="Calibri"/>
                <w:sz w:val="16"/>
                <w:szCs w:val="16"/>
              </w:rPr>
            </w:pPr>
            <w:r w:rsidRPr="00252AC7">
              <w:rPr>
                <w:rFonts w:ascii="Calibri" w:hAnsi="Calibri" w:cs="Calibri"/>
                <w:sz w:val="16"/>
                <w:szCs w:val="16"/>
              </w:rPr>
              <w:t xml:space="preserve">Očakáva sa </w:t>
            </w:r>
            <w:r>
              <w:rPr>
                <w:rFonts w:ascii="Calibri" w:hAnsi="Calibri" w:cs="Calibri"/>
                <w:sz w:val="16"/>
                <w:szCs w:val="16"/>
              </w:rPr>
              <w:t>častejší výskyt námrazových javov.</w:t>
            </w:r>
          </w:p>
        </w:tc>
        <w:tc>
          <w:tcPr>
            <w:tcW w:w="3969" w:type="dxa"/>
            <w:shd w:val="clear" w:color="auto" w:fill="FFFFFF" w:themeFill="background1"/>
          </w:tcPr>
          <w:p w14:paraId="0A871EDC" w14:textId="77777777" w:rsidR="00BE690A" w:rsidRPr="00252AC7" w:rsidRDefault="00BE690A" w:rsidP="00931169">
            <w:pPr>
              <w:contextualSpacing/>
              <w:rPr>
                <w:rFonts w:cs="Calibri"/>
                <w:sz w:val="16"/>
                <w:szCs w:val="16"/>
              </w:rPr>
            </w:pPr>
            <w:r w:rsidRPr="00252AC7">
              <w:rPr>
                <w:rFonts w:cs="Calibri"/>
                <w:sz w:val="16"/>
                <w:szCs w:val="16"/>
              </w:rPr>
              <w:t xml:space="preserve">Riziko pôsobenia tohto klimatického javu je predovšetkým v lokálnom ovplyvnení žel. infraštruktúry, pričom vyvolané následky sú odstrániteľné bežnými prevádzkovými úkonmi správcu. </w:t>
            </w:r>
            <w:r>
              <w:rPr>
                <w:rFonts w:cs="Calibri"/>
                <w:sz w:val="16"/>
                <w:szCs w:val="16"/>
              </w:rPr>
              <w:t>Zvýšené riziko vzniku námrazy na žel. infraštruktúre je  v úsekoch vedených v blízkosti vodných tokoch.</w:t>
            </w:r>
          </w:p>
          <w:p w14:paraId="7CB7A4F3" w14:textId="77777777" w:rsidR="00BE690A" w:rsidRPr="00252AC7" w:rsidRDefault="00BE690A" w:rsidP="00931169">
            <w:pPr>
              <w:pStyle w:val="Odsekzoznamu"/>
              <w:spacing w:after="0" w:line="240" w:lineRule="auto"/>
              <w:ind w:left="0"/>
              <w:jc w:val="both"/>
              <w:rPr>
                <w:rFonts w:ascii="Calibri" w:hAnsi="Calibri" w:cs="Calibri"/>
                <w:sz w:val="16"/>
                <w:szCs w:val="16"/>
              </w:rPr>
            </w:pPr>
            <w:r w:rsidRPr="00252AC7">
              <w:rPr>
                <w:rFonts w:ascii="Calibri" w:hAnsi="Calibri" w:cs="Calibri"/>
                <w:b/>
                <w:sz w:val="16"/>
                <w:szCs w:val="16"/>
              </w:rPr>
              <w:t>Rizikové úseky/objekty</w:t>
            </w:r>
            <w:r w:rsidRPr="00252AC7">
              <w:rPr>
                <w:rFonts w:ascii="Calibri" w:hAnsi="Calibri" w:cs="Calibri"/>
                <w:sz w:val="16"/>
                <w:szCs w:val="16"/>
              </w:rPr>
              <w:t xml:space="preserve">: </w:t>
            </w:r>
          </w:p>
          <w:p w14:paraId="2C4005F9" w14:textId="77777777" w:rsidR="00BE690A" w:rsidRPr="00053EEB" w:rsidRDefault="00BE690A" w:rsidP="00931169">
            <w:pPr>
              <w:pStyle w:val="Odsekzoznamu"/>
              <w:numPr>
                <w:ilvl w:val="0"/>
                <w:numId w:val="38"/>
              </w:numPr>
              <w:spacing w:after="0" w:line="240" w:lineRule="auto"/>
              <w:ind w:left="176" w:hanging="176"/>
              <w:jc w:val="both"/>
              <w:rPr>
                <w:rFonts w:ascii="Calibri" w:hAnsi="Calibri" w:cs="Calibri"/>
                <w:sz w:val="16"/>
                <w:szCs w:val="16"/>
              </w:rPr>
            </w:pPr>
            <w:r w:rsidRPr="00252AC7">
              <w:rPr>
                <w:rFonts w:ascii="Calibri" w:hAnsi="Calibri" w:cs="Calibri"/>
                <w:sz w:val="16"/>
                <w:szCs w:val="16"/>
              </w:rPr>
              <w:t>úsek</w:t>
            </w:r>
            <w:r>
              <w:rPr>
                <w:rFonts w:ascii="Calibri" w:hAnsi="Calibri" w:cs="Calibri"/>
                <w:sz w:val="16"/>
                <w:szCs w:val="16"/>
              </w:rPr>
              <w:t>y</w:t>
            </w:r>
            <w:r w:rsidRPr="00252AC7">
              <w:rPr>
                <w:rFonts w:ascii="Calibri" w:hAnsi="Calibri" w:cs="Calibri"/>
                <w:sz w:val="16"/>
                <w:szCs w:val="16"/>
              </w:rPr>
              <w:t xml:space="preserve"> </w:t>
            </w:r>
            <w:r>
              <w:rPr>
                <w:rFonts w:ascii="Calibri" w:hAnsi="Calibri" w:cs="Calibri"/>
                <w:sz w:val="16"/>
                <w:szCs w:val="16"/>
              </w:rPr>
              <w:t>vedené pozdĺž riek Kysuca a Čierňanka</w:t>
            </w:r>
            <w:r w:rsidRPr="00252AC7">
              <w:rPr>
                <w:rFonts w:ascii="Calibri" w:hAnsi="Calibri" w:cs="Calibri"/>
                <w:sz w:val="16"/>
                <w:szCs w:val="16"/>
              </w:rPr>
              <w:t xml:space="preserve"> </w:t>
            </w:r>
          </w:p>
          <w:p w14:paraId="2F31F980" w14:textId="77777777" w:rsidR="00BE690A" w:rsidRPr="00CD313D"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mostné objekty ponad vodné toky</w:t>
            </w:r>
          </w:p>
        </w:tc>
      </w:tr>
      <w:tr w:rsidR="00BE690A" w:rsidRPr="00C92614" w14:paraId="7922FF6B" w14:textId="77777777" w:rsidTr="00BE690A">
        <w:trPr>
          <w:trHeight w:val="450"/>
          <w:jc w:val="center"/>
        </w:trPr>
        <w:tc>
          <w:tcPr>
            <w:tcW w:w="993" w:type="dxa"/>
            <w:shd w:val="clear" w:color="auto" w:fill="FFFFFF"/>
          </w:tcPr>
          <w:p w14:paraId="6DB40A2B" w14:textId="77777777" w:rsidR="00BE690A" w:rsidRPr="00C92614" w:rsidRDefault="00BE690A" w:rsidP="00931169">
            <w:pPr>
              <w:contextualSpacing/>
              <w:rPr>
                <w:rFonts w:cs="Calibri"/>
                <w:color w:val="FF0000"/>
                <w:sz w:val="16"/>
                <w:szCs w:val="16"/>
              </w:rPr>
            </w:pPr>
            <w:r w:rsidRPr="00272F6C">
              <w:rPr>
                <w:rFonts w:cs="Calibri"/>
                <w:sz w:val="16"/>
                <w:szCs w:val="16"/>
              </w:rPr>
              <w:t>Búrkové javy</w:t>
            </w:r>
          </w:p>
        </w:tc>
        <w:tc>
          <w:tcPr>
            <w:tcW w:w="443" w:type="dxa"/>
            <w:shd w:val="clear" w:color="auto" w:fill="FFFF97"/>
            <w:vAlign w:val="center"/>
          </w:tcPr>
          <w:p w14:paraId="2EF6FF38" w14:textId="77777777" w:rsidR="00BE690A" w:rsidRPr="000D0959" w:rsidRDefault="00BE690A" w:rsidP="00931169">
            <w:pPr>
              <w:contextualSpacing/>
              <w:rPr>
                <w:rFonts w:cs="Calibri"/>
                <w:sz w:val="16"/>
                <w:szCs w:val="16"/>
              </w:rPr>
            </w:pPr>
            <w:r w:rsidRPr="000D0959">
              <w:rPr>
                <w:rFonts w:cs="Calibri"/>
                <w:sz w:val="16"/>
                <w:szCs w:val="16"/>
              </w:rPr>
              <w:t>3</w:t>
            </w:r>
          </w:p>
        </w:tc>
        <w:tc>
          <w:tcPr>
            <w:tcW w:w="426" w:type="dxa"/>
            <w:shd w:val="clear" w:color="auto" w:fill="FFFF97"/>
            <w:vAlign w:val="center"/>
          </w:tcPr>
          <w:p w14:paraId="54A9DAE3" w14:textId="77777777" w:rsidR="00BE690A" w:rsidRPr="000D0959" w:rsidRDefault="00BE690A" w:rsidP="00931169">
            <w:pPr>
              <w:contextualSpacing/>
              <w:rPr>
                <w:rFonts w:cs="Calibri"/>
                <w:sz w:val="16"/>
                <w:szCs w:val="16"/>
              </w:rPr>
            </w:pPr>
            <w:r w:rsidRPr="000D0959">
              <w:rPr>
                <w:rFonts w:cs="Calibri"/>
                <w:sz w:val="16"/>
                <w:szCs w:val="16"/>
              </w:rPr>
              <w:t>3</w:t>
            </w:r>
          </w:p>
        </w:tc>
        <w:tc>
          <w:tcPr>
            <w:tcW w:w="3236" w:type="dxa"/>
            <w:shd w:val="clear" w:color="auto" w:fill="FFFFFF" w:themeFill="background1"/>
          </w:tcPr>
          <w:p w14:paraId="133F249D" w14:textId="77777777" w:rsidR="00BE690A" w:rsidRPr="00252AC7" w:rsidRDefault="00BE690A" w:rsidP="00931169">
            <w:pPr>
              <w:pStyle w:val="Odsekzoznamu"/>
              <w:keepNext/>
              <w:numPr>
                <w:ilvl w:val="0"/>
                <w:numId w:val="37"/>
              </w:numPr>
              <w:spacing w:after="0" w:line="240" w:lineRule="auto"/>
              <w:ind w:left="169" w:hanging="142"/>
              <w:jc w:val="both"/>
              <w:rPr>
                <w:rFonts w:ascii="Calibri" w:hAnsi="Calibri" w:cs="Calibri"/>
                <w:sz w:val="16"/>
                <w:szCs w:val="16"/>
              </w:rPr>
            </w:pPr>
            <w:r w:rsidRPr="00252AC7">
              <w:rPr>
                <w:rFonts w:ascii="Calibri" w:hAnsi="Calibri" w:cs="Calibri"/>
                <w:sz w:val="16"/>
                <w:szCs w:val="16"/>
              </w:rPr>
              <w:t>Zraniteľnosť projektu je spojená predovšetkým s poškodením žel. infraštruktúry a obmedzeniami žel. prevádzky v dôsledku pôsobenia elektrických výbojov, nárazového vetra a prudkých prívalových dažďov. Rizikom sú výpadky el. energie, poškodenia technologických zariadení, pády konárov a stromov na trať resp. na trakčné vedenie, zníženie stability žel. násypov a priľahlých svahov.</w:t>
            </w:r>
          </w:p>
          <w:p w14:paraId="786C4EF5" w14:textId="77777777" w:rsidR="00BE690A" w:rsidRPr="00CD313D" w:rsidRDefault="00BE690A" w:rsidP="00931169">
            <w:pPr>
              <w:pStyle w:val="Odsekzoznamu"/>
              <w:keepNext/>
              <w:numPr>
                <w:ilvl w:val="0"/>
                <w:numId w:val="37"/>
              </w:numPr>
              <w:spacing w:after="0" w:line="240" w:lineRule="auto"/>
              <w:ind w:left="169" w:hanging="142"/>
              <w:jc w:val="both"/>
              <w:rPr>
                <w:rFonts w:cs="Calibri"/>
                <w:sz w:val="16"/>
                <w:szCs w:val="16"/>
              </w:rPr>
            </w:pPr>
            <w:r w:rsidRPr="00252AC7">
              <w:rPr>
                <w:rFonts w:ascii="Calibri" w:hAnsi="Calibri" w:cs="Calibri"/>
                <w:sz w:val="16"/>
                <w:szCs w:val="16"/>
              </w:rPr>
              <w:t>Očakáva sa zosilnenie búrok v teplej časti roka s častejším výskytom silného vetra a prívalových dažďov</w:t>
            </w:r>
            <w:r w:rsidRPr="00252AC7">
              <w:rPr>
                <w:rFonts w:cs="Calibri"/>
                <w:sz w:val="16"/>
                <w:szCs w:val="16"/>
              </w:rPr>
              <w:t>.</w:t>
            </w:r>
          </w:p>
        </w:tc>
        <w:tc>
          <w:tcPr>
            <w:tcW w:w="3969" w:type="dxa"/>
            <w:shd w:val="clear" w:color="auto" w:fill="FFFFFF" w:themeFill="background1"/>
          </w:tcPr>
          <w:p w14:paraId="6E1E087C" w14:textId="77777777" w:rsidR="00BE690A" w:rsidRPr="00252AC7" w:rsidRDefault="00BE690A" w:rsidP="00931169">
            <w:pPr>
              <w:contextualSpacing/>
              <w:rPr>
                <w:rFonts w:cs="Calibri"/>
                <w:sz w:val="16"/>
                <w:szCs w:val="16"/>
              </w:rPr>
            </w:pPr>
            <w:r>
              <w:rPr>
                <w:rFonts w:cs="Calibri"/>
                <w:sz w:val="16"/>
                <w:szCs w:val="16"/>
              </w:rPr>
              <w:t>Klimatický jav pôsobí na celý dotknutý úsek žel. trate, predovšetkým na technologické zariadenia. Zvýšené riziko pôsobenia súvisiacich silných vetrov je v úsekoch s prítomnou vzrastlou vegetáciou popri trati, zvýšené riziko pôsobenia súvisiacich silných dažďov je na úsekoch vedených v hlbokých zárezoch, popri vodných tokoch, pod úrovňou terénu alebo v blízkosti zosuvných území.</w:t>
            </w:r>
          </w:p>
          <w:p w14:paraId="11386414" w14:textId="77777777" w:rsidR="00BE690A" w:rsidRDefault="00BE690A" w:rsidP="00931169">
            <w:pPr>
              <w:pStyle w:val="Odsekzoznamu"/>
              <w:spacing w:after="0" w:line="240" w:lineRule="auto"/>
              <w:ind w:left="0"/>
              <w:jc w:val="both"/>
              <w:rPr>
                <w:rFonts w:ascii="Calibri" w:hAnsi="Calibri" w:cs="Calibri"/>
                <w:sz w:val="16"/>
                <w:szCs w:val="16"/>
              </w:rPr>
            </w:pPr>
            <w:r w:rsidRPr="00252AC7">
              <w:rPr>
                <w:rFonts w:ascii="Calibri" w:hAnsi="Calibri" w:cs="Calibri"/>
                <w:b/>
                <w:sz w:val="16"/>
                <w:szCs w:val="16"/>
              </w:rPr>
              <w:t>Rizikové úseky/objekty</w:t>
            </w:r>
            <w:r w:rsidRPr="00252AC7">
              <w:rPr>
                <w:rFonts w:ascii="Calibri" w:hAnsi="Calibri" w:cs="Calibri"/>
                <w:sz w:val="16"/>
                <w:szCs w:val="16"/>
              </w:rPr>
              <w:t xml:space="preserve">: </w:t>
            </w:r>
          </w:p>
          <w:p w14:paraId="3B63FD73" w14:textId="77777777" w:rsidR="00BE690A" w:rsidRPr="00D0040F"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vedené v hlbokých zárezoch</w:t>
            </w:r>
          </w:p>
          <w:p w14:paraId="05FF08BC" w14:textId="77777777" w:rsidR="00BE690A" w:rsidRPr="00372F5F"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vedené v blízkosti vodných tokov</w:t>
            </w:r>
          </w:p>
          <w:p w14:paraId="23FED39D" w14:textId="77777777" w:rsidR="00BE690A" w:rsidRPr="00372F5F"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vedené v blízkosti lesných porastov</w:t>
            </w:r>
          </w:p>
          <w:p w14:paraId="0208F42C" w14:textId="77777777" w:rsidR="00BE690A" w:rsidRPr="00B755AE" w:rsidRDefault="00BE690A" w:rsidP="00931169">
            <w:pPr>
              <w:pStyle w:val="Odsekzoznamu"/>
              <w:numPr>
                <w:ilvl w:val="0"/>
                <w:numId w:val="38"/>
              </w:numPr>
              <w:spacing w:after="0" w:line="240" w:lineRule="auto"/>
              <w:ind w:left="176" w:hanging="176"/>
              <w:jc w:val="both"/>
              <w:rPr>
                <w:rFonts w:ascii="Calibri" w:hAnsi="Calibri" w:cs="Calibri"/>
                <w:sz w:val="16"/>
                <w:szCs w:val="16"/>
              </w:rPr>
            </w:pPr>
            <w:r w:rsidRPr="00F32174">
              <w:rPr>
                <w:rFonts w:ascii="Calibri" w:hAnsi="Calibri" w:cs="Calibri"/>
                <w:sz w:val="16"/>
                <w:szCs w:val="16"/>
              </w:rPr>
              <w:t>úseky</w:t>
            </w:r>
            <w:r>
              <w:rPr>
                <w:rFonts w:ascii="Calibri" w:hAnsi="Calibri" w:cs="Calibri"/>
                <w:sz w:val="16"/>
                <w:szCs w:val="16"/>
              </w:rPr>
              <w:t xml:space="preserve"> vedené v tuneli (varianty I. etapy)</w:t>
            </w:r>
          </w:p>
          <w:p w14:paraId="2C8BF010" w14:textId="77777777" w:rsidR="00BE690A" w:rsidRPr="00F32174"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úseky v blízkosti aktívnych a potenciálnych zosuvov</w:t>
            </w:r>
          </w:p>
          <w:p w14:paraId="0F855283" w14:textId="77777777" w:rsidR="00BE690A" w:rsidRPr="00A50DAA"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oznamovacie a zabezpečovacie zariadenia</w:t>
            </w:r>
          </w:p>
          <w:p w14:paraId="08BB14A7" w14:textId="77777777" w:rsidR="00BE690A" w:rsidRPr="00053EEB"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mostné objekty ponad vodné toky</w:t>
            </w:r>
          </w:p>
          <w:p w14:paraId="0C1412D4" w14:textId="77777777" w:rsidR="00BE690A" w:rsidRPr="00CD313D" w:rsidRDefault="00BE690A" w:rsidP="00931169">
            <w:pPr>
              <w:pStyle w:val="Odsekzoznamu"/>
              <w:numPr>
                <w:ilvl w:val="0"/>
                <w:numId w:val="38"/>
              </w:numPr>
              <w:spacing w:after="0" w:line="240" w:lineRule="auto"/>
              <w:ind w:left="176" w:hanging="176"/>
              <w:jc w:val="both"/>
              <w:rPr>
                <w:rFonts w:ascii="Calibri" w:hAnsi="Calibri" w:cs="Calibri"/>
                <w:sz w:val="16"/>
                <w:szCs w:val="16"/>
              </w:rPr>
            </w:pPr>
            <w:r>
              <w:rPr>
                <w:rFonts w:ascii="Calibri" w:hAnsi="Calibri" w:cs="Calibri"/>
                <w:sz w:val="16"/>
                <w:szCs w:val="16"/>
              </w:rPr>
              <w:t xml:space="preserve">stavebné objekty pod úrovňou terénu  </w:t>
            </w:r>
          </w:p>
        </w:tc>
      </w:tr>
      <w:tr w:rsidR="00BE690A" w:rsidRPr="00C92614" w14:paraId="1CEE4064" w14:textId="77777777" w:rsidTr="00BE690A">
        <w:trPr>
          <w:trHeight w:val="450"/>
          <w:jc w:val="center"/>
        </w:trPr>
        <w:tc>
          <w:tcPr>
            <w:tcW w:w="993" w:type="dxa"/>
            <w:shd w:val="clear" w:color="auto" w:fill="FFFFFF"/>
          </w:tcPr>
          <w:p w14:paraId="4EAD92BF" w14:textId="77777777" w:rsidR="00BE690A" w:rsidRPr="00272F6C" w:rsidRDefault="00BE690A" w:rsidP="00931169">
            <w:pPr>
              <w:contextualSpacing/>
              <w:rPr>
                <w:rFonts w:cs="Calibri"/>
                <w:sz w:val="16"/>
                <w:szCs w:val="16"/>
              </w:rPr>
            </w:pPr>
            <w:r>
              <w:rPr>
                <w:rFonts w:cs="Calibri"/>
                <w:sz w:val="16"/>
                <w:szCs w:val="16"/>
              </w:rPr>
              <w:t>Povodne</w:t>
            </w:r>
          </w:p>
        </w:tc>
        <w:tc>
          <w:tcPr>
            <w:tcW w:w="443" w:type="dxa"/>
            <w:shd w:val="clear" w:color="auto" w:fill="D6E3BC"/>
            <w:vAlign w:val="center"/>
          </w:tcPr>
          <w:p w14:paraId="73E3925C" w14:textId="77777777" w:rsidR="00BE690A" w:rsidRPr="000D0959" w:rsidRDefault="00BE690A" w:rsidP="00931169">
            <w:pPr>
              <w:contextualSpacing/>
              <w:rPr>
                <w:rFonts w:cs="Calibri"/>
                <w:sz w:val="16"/>
                <w:szCs w:val="16"/>
              </w:rPr>
            </w:pPr>
            <w:r w:rsidRPr="000D0959">
              <w:rPr>
                <w:rFonts w:cs="Calibri"/>
                <w:sz w:val="16"/>
                <w:szCs w:val="16"/>
              </w:rPr>
              <w:t>2</w:t>
            </w:r>
          </w:p>
        </w:tc>
        <w:tc>
          <w:tcPr>
            <w:tcW w:w="426" w:type="dxa"/>
            <w:shd w:val="clear" w:color="auto" w:fill="FFFF97"/>
            <w:vAlign w:val="center"/>
          </w:tcPr>
          <w:p w14:paraId="7C72BF9D" w14:textId="77777777" w:rsidR="00BE690A" w:rsidRPr="000D0959" w:rsidRDefault="00BE690A" w:rsidP="00931169">
            <w:pPr>
              <w:contextualSpacing/>
              <w:rPr>
                <w:rFonts w:cs="Calibri"/>
                <w:sz w:val="16"/>
                <w:szCs w:val="16"/>
              </w:rPr>
            </w:pPr>
            <w:r>
              <w:rPr>
                <w:rFonts w:cs="Calibri"/>
                <w:sz w:val="16"/>
                <w:szCs w:val="16"/>
              </w:rPr>
              <w:t>3</w:t>
            </w:r>
          </w:p>
        </w:tc>
        <w:tc>
          <w:tcPr>
            <w:tcW w:w="3236" w:type="dxa"/>
            <w:shd w:val="clear" w:color="auto" w:fill="FFFFFF" w:themeFill="background1"/>
          </w:tcPr>
          <w:p w14:paraId="592DF553" w14:textId="77777777" w:rsidR="00BE690A" w:rsidRPr="0068610C" w:rsidRDefault="00BE690A" w:rsidP="00931169">
            <w:pPr>
              <w:pStyle w:val="Odsekzoznamu"/>
              <w:numPr>
                <w:ilvl w:val="0"/>
                <w:numId w:val="46"/>
              </w:numPr>
              <w:spacing w:after="0" w:line="240" w:lineRule="auto"/>
              <w:ind w:left="176" w:hanging="142"/>
              <w:jc w:val="both"/>
              <w:rPr>
                <w:rFonts w:ascii="Calibri" w:hAnsi="Calibri" w:cs="Calibri"/>
                <w:sz w:val="16"/>
                <w:szCs w:val="16"/>
              </w:rPr>
            </w:pPr>
            <w:r w:rsidRPr="0068610C">
              <w:rPr>
                <w:rFonts w:ascii="Calibri" w:hAnsi="Calibri" w:cs="Calibri"/>
                <w:sz w:val="16"/>
                <w:szCs w:val="16"/>
              </w:rPr>
              <w:t>Zraniteľnosť projektu je spojená najmä s prípadným vybrežením vodných tokov, a následným podmáčaním podložia trate, znížením stability žel. násypu alebo priľahlých svahov a vzniku svahových deformácií, podomletím alebo poškodením opôr mostov ponad vodné toky alebo priamym zaplavením trate.</w:t>
            </w:r>
          </w:p>
          <w:p w14:paraId="532964C4" w14:textId="77777777" w:rsidR="00BE690A" w:rsidRPr="0068610C" w:rsidRDefault="00BE690A" w:rsidP="00931169">
            <w:pPr>
              <w:pStyle w:val="Odsekzoznamu"/>
              <w:numPr>
                <w:ilvl w:val="0"/>
                <w:numId w:val="46"/>
              </w:numPr>
              <w:spacing w:after="0" w:line="240" w:lineRule="auto"/>
              <w:ind w:left="176" w:hanging="142"/>
              <w:jc w:val="both"/>
              <w:rPr>
                <w:rFonts w:ascii="Calibri" w:hAnsi="Calibri" w:cs="Calibri"/>
                <w:sz w:val="16"/>
                <w:szCs w:val="16"/>
              </w:rPr>
            </w:pPr>
            <w:r w:rsidRPr="0068610C">
              <w:rPr>
                <w:rFonts w:ascii="Calibri" w:hAnsi="Calibri" w:cs="Calibri"/>
                <w:sz w:val="16"/>
                <w:szCs w:val="16"/>
              </w:rPr>
              <w:t>Očakáva sa síce pokles vodnosti tokov, ale častejší výskyt výdatných až prívalových dažďov a , ktoré môžu viesť k nárazovému zvýšeniu vodnosti tokov s následným vznikom povodní. Zvýšené riziko vzniku povodní je v nasledujúcich rokoch aj počas zimného obdobia v dôsledku vĺn oteplenia spojených s topením snehovej pokrývky a nárastom odtoku.</w:t>
            </w:r>
          </w:p>
        </w:tc>
        <w:tc>
          <w:tcPr>
            <w:tcW w:w="3969" w:type="dxa"/>
            <w:shd w:val="clear" w:color="auto" w:fill="FFFFFF" w:themeFill="background1"/>
          </w:tcPr>
          <w:p w14:paraId="760B9774" w14:textId="77777777" w:rsidR="00BE690A" w:rsidRPr="0068610C" w:rsidRDefault="00BE690A" w:rsidP="00931169">
            <w:pPr>
              <w:pStyle w:val="Odsekzoznamu"/>
              <w:spacing w:after="0" w:line="240" w:lineRule="auto"/>
              <w:ind w:left="0"/>
              <w:jc w:val="both"/>
              <w:rPr>
                <w:rFonts w:ascii="Calibri" w:hAnsi="Calibri" w:cs="Calibri"/>
                <w:sz w:val="16"/>
                <w:szCs w:val="16"/>
              </w:rPr>
            </w:pPr>
            <w:r w:rsidRPr="0068610C">
              <w:rPr>
                <w:rFonts w:ascii="Calibri" w:hAnsi="Calibri" w:cs="Calibri"/>
                <w:sz w:val="16"/>
                <w:szCs w:val="16"/>
              </w:rPr>
              <w:t>Zvýšené riziko je v úsekoch križujúcich otvorené korytá vodných tokov a v úsekoch vedených v inundačných územiach vodných tokov.</w:t>
            </w:r>
          </w:p>
          <w:p w14:paraId="35BE3EB1" w14:textId="77777777" w:rsidR="00BE690A" w:rsidRPr="0068610C" w:rsidRDefault="00BE690A" w:rsidP="00931169">
            <w:pPr>
              <w:pStyle w:val="Odsekzoznamu"/>
              <w:spacing w:after="0" w:line="240" w:lineRule="auto"/>
              <w:ind w:left="0"/>
              <w:jc w:val="both"/>
              <w:rPr>
                <w:rFonts w:ascii="Calibri" w:hAnsi="Calibri" w:cs="Calibri"/>
                <w:sz w:val="16"/>
                <w:szCs w:val="16"/>
              </w:rPr>
            </w:pPr>
            <w:r w:rsidRPr="0068610C">
              <w:rPr>
                <w:rFonts w:ascii="Calibri" w:hAnsi="Calibri" w:cs="Calibri"/>
                <w:b/>
                <w:sz w:val="16"/>
                <w:szCs w:val="16"/>
              </w:rPr>
              <w:t>Rizikové úseky/objekty</w:t>
            </w:r>
            <w:r w:rsidRPr="0068610C">
              <w:rPr>
                <w:rFonts w:ascii="Calibri" w:hAnsi="Calibri" w:cs="Calibri"/>
                <w:sz w:val="16"/>
                <w:szCs w:val="16"/>
              </w:rPr>
              <w:t xml:space="preserve">: </w:t>
            </w:r>
          </w:p>
          <w:p w14:paraId="5E77E863" w14:textId="77777777" w:rsidR="00BE690A" w:rsidRPr="0068610C" w:rsidRDefault="00BE690A" w:rsidP="00931169">
            <w:pPr>
              <w:pStyle w:val="Odsekzoznamu"/>
              <w:numPr>
                <w:ilvl w:val="0"/>
                <w:numId w:val="37"/>
              </w:numPr>
              <w:spacing w:after="0" w:line="240" w:lineRule="auto"/>
              <w:ind w:left="169" w:hanging="169"/>
              <w:jc w:val="both"/>
              <w:rPr>
                <w:rFonts w:ascii="Calibri" w:hAnsi="Calibri" w:cs="Calibri"/>
                <w:sz w:val="16"/>
                <w:szCs w:val="16"/>
              </w:rPr>
            </w:pPr>
            <w:r w:rsidRPr="0068610C">
              <w:rPr>
                <w:rFonts w:ascii="Calibri" w:hAnsi="Calibri" w:cs="Calibri"/>
                <w:sz w:val="16"/>
                <w:szCs w:val="16"/>
              </w:rPr>
              <w:t>úsek vedený v inundačnom území rieky Kysuca</w:t>
            </w:r>
          </w:p>
          <w:p w14:paraId="391B00DF" w14:textId="77777777" w:rsidR="00BE690A" w:rsidRPr="0068610C" w:rsidRDefault="00BE690A" w:rsidP="00931169">
            <w:pPr>
              <w:pStyle w:val="Odsekzoznamu"/>
              <w:numPr>
                <w:ilvl w:val="0"/>
                <w:numId w:val="37"/>
              </w:numPr>
              <w:spacing w:after="0" w:line="240" w:lineRule="auto"/>
              <w:ind w:left="169" w:hanging="169"/>
              <w:jc w:val="both"/>
              <w:rPr>
                <w:rFonts w:ascii="Calibri" w:hAnsi="Calibri" w:cs="Calibri"/>
                <w:sz w:val="16"/>
                <w:szCs w:val="16"/>
              </w:rPr>
            </w:pPr>
            <w:r w:rsidRPr="0068610C">
              <w:rPr>
                <w:rFonts w:ascii="Calibri" w:hAnsi="Calibri" w:cs="Calibri"/>
                <w:sz w:val="16"/>
                <w:szCs w:val="16"/>
              </w:rPr>
              <w:t xml:space="preserve">úseky križujúce vodné toky </w:t>
            </w:r>
          </w:p>
          <w:p w14:paraId="5BFD3BDC" w14:textId="77777777" w:rsidR="00BE690A" w:rsidRPr="00CD313D" w:rsidRDefault="00BE690A" w:rsidP="00931169">
            <w:pPr>
              <w:pStyle w:val="Odsekzoznamu"/>
              <w:spacing w:after="0" w:line="240" w:lineRule="auto"/>
              <w:ind w:left="0"/>
              <w:jc w:val="both"/>
              <w:rPr>
                <w:rFonts w:ascii="Calibri" w:hAnsi="Calibri" w:cs="Calibri"/>
                <w:sz w:val="16"/>
                <w:szCs w:val="16"/>
              </w:rPr>
            </w:pPr>
          </w:p>
        </w:tc>
      </w:tr>
      <w:tr w:rsidR="00BE690A" w:rsidRPr="00C92614" w14:paraId="3A1739D9" w14:textId="77777777" w:rsidTr="00BE690A">
        <w:trPr>
          <w:trHeight w:val="450"/>
          <w:jc w:val="center"/>
        </w:trPr>
        <w:tc>
          <w:tcPr>
            <w:tcW w:w="993" w:type="dxa"/>
            <w:shd w:val="clear" w:color="auto" w:fill="FFFFFF"/>
          </w:tcPr>
          <w:p w14:paraId="7B28EB28" w14:textId="77777777" w:rsidR="00BE690A" w:rsidRPr="00C92614" w:rsidRDefault="00BE690A" w:rsidP="00931169">
            <w:pPr>
              <w:contextualSpacing/>
              <w:rPr>
                <w:rFonts w:cs="Calibri"/>
                <w:color w:val="FF0000"/>
                <w:sz w:val="16"/>
                <w:szCs w:val="16"/>
              </w:rPr>
            </w:pPr>
            <w:r w:rsidRPr="00272F6C">
              <w:rPr>
                <w:rFonts w:cs="Calibri"/>
                <w:sz w:val="16"/>
                <w:szCs w:val="16"/>
              </w:rPr>
              <w:t>Zosuvy</w:t>
            </w:r>
          </w:p>
        </w:tc>
        <w:tc>
          <w:tcPr>
            <w:tcW w:w="443" w:type="dxa"/>
            <w:shd w:val="clear" w:color="auto" w:fill="FFFF97"/>
            <w:vAlign w:val="center"/>
          </w:tcPr>
          <w:p w14:paraId="6BD24B86" w14:textId="77777777" w:rsidR="00BE690A" w:rsidRPr="000D0959" w:rsidRDefault="00BE690A" w:rsidP="00931169">
            <w:pPr>
              <w:contextualSpacing/>
              <w:rPr>
                <w:rFonts w:cs="Calibri"/>
                <w:sz w:val="16"/>
                <w:szCs w:val="16"/>
              </w:rPr>
            </w:pPr>
            <w:r w:rsidRPr="000D0959">
              <w:rPr>
                <w:rFonts w:cs="Calibri"/>
                <w:sz w:val="16"/>
                <w:szCs w:val="16"/>
              </w:rPr>
              <w:t>3</w:t>
            </w:r>
          </w:p>
        </w:tc>
        <w:tc>
          <w:tcPr>
            <w:tcW w:w="426" w:type="dxa"/>
            <w:shd w:val="clear" w:color="auto" w:fill="FBD4B4" w:themeFill="accent6" w:themeFillTint="66"/>
            <w:vAlign w:val="center"/>
          </w:tcPr>
          <w:p w14:paraId="7DA84664" w14:textId="77777777" w:rsidR="00BE690A" w:rsidRPr="000D0959" w:rsidRDefault="00BE690A" w:rsidP="00931169">
            <w:pPr>
              <w:contextualSpacing/>
              <w:rPr>
                <w:rFonts w:cs="Calibri"/>
                <w:sz w:val="16"/>
                <w:szCs w:val="16"/>
              </w:rPr>
            </w:pPr>
            <w:r w:rsidRPr="000D0959">
              <w:rPr>
                <w:rFonts w:cs="Calibri"/>
                <w:sz w:val="16"/>
                <w:szCs w:val="16"/>
              </w:rPr>
              <w:t>4</w:t>
            </w:r>
          </w:p>
        </w:tc>
        <w:tc>
          <w:tcPr>
            <w:tcW w:w="3236" w:type="dxa"/>
            <w:shd w:val="clear" w:color="auto" w:fill="FFFFFF"/>
          </w:tcPr>
          <w:p w14:paraId="3BA16E21" w14:textId="77777777" w:rsidR="00BE690A" w:rsidRPr="00F659C0" w:rsidRDefault="00BE690A" w:rsidP="00931169">
            <w:pPr>
              <w:pStyle w:val="Odsekzoznamu"/>
              <w:numPr>
                <w:ilvl w:val="0"/>
                <w:numId w:val="39"/>
              </w:numPr>
              <w:spacing w:after="0" w:line="240" w:lineRule="auto"/>
              <w:ind w:left="169" w:hanging="142"/>
              <w:jc w:val="both"/>
              <w:rPr>
                <w:rFonts w:ascii="Calibri" w:hAnsi="Calibri" w:cs="Calibri"/>
                <w:sz w:val="16"/>
                <w:szCs w:val="16"/>
              </w:rPr>
            </w:pPr>
            <w:r w:rsidRPr="00F659C0">
              <w:rPr>
                <w:rFonts w:ascii="Calibri" w:hAnsi="Calibri" w:cs="Calibri"/>
                <w:sz w:val="16"/>
                <w:szCs w:val="16"/>
              </w:rPr>
              <w:t>Zraniteľnosť projektu je spojená s prípadnými zosuvmi sva</w:t>
            </w:r>
            <w:r>
              <w:rPr>
                <w:rFonts w:ascii="Calibri" w:hAnsi="Calibri" w:cs="Calibri"/>
                <w:sz w:val="16"/>
                <w:szCs w:val="16"/>
              </w:rPr>
              <w:t>hov a následnou zmenou geometrickej polohy koľaje, zrútením žel. násypu alebo zavalením žel. trate.</w:t>
            </w:r>
          </w:p>
          <w:p w14:paraId="3B0AAEF2" w14:textId="77777777" w:rsidR="00BE690A" w:rsidRPr="0068610C" w:rsidRDefault="00BE690A" w:rsidP="00931169">
            <w:pPr>
              <w:pStyle w:val="Odsekzoznamu"/>
              <w:numPr>
                <w:ilvl w:val="0"/>
                <w:numId w:val="39"/>
              </w:numPr>
              <w:spacing w:after="0" w:line="240" w:lineRule="auto"/>
              <w:ind w:left="169" w:hanging="142"/>
              <w:jc w:val="both"/>
              <w:rPr>
                <w:rFonts w:ascii="Calibri" w:hAnsi="Calibri" w:cs="Calibri"/>
                <w:sz w:val="16"/>
                <w:szCs w:val="16"/>
              </w:rPr>
            </w:pPr>
            <w:r w:rsidRPr="00F659C0">
              <w:rPr>
                <w:rFonts w:ascii="Calibri" w:hAnsi="Calibri" w:cs="Calibri"/>
                <w:sz w:val="16"/>
                <w:szCs w:val="16"/>
              </w:rPr>
              <w:t>Očakáva sa častejší výskyt prívalových dažďov, čo môže mať pri nepriaznivom podloží za následok častejší výskyt zosuvov.</w:t>
            </w:r>
          </w:p>
        </w:tc>
        <w:tc>
          <w:tcPr>
            <w:tcW w:w="3969" w:type="dxa"/>
            <w:shd w:val="clear" w:color="auto" w:fill="FFFFFF"/>
          </w:tcPr>
          <w:p w14:paraId="23E65448" w14:textId="77777777" w:rsidR="00BE690A" w:rsidRPr="0068610C" w:rsidRDefault="00BE690A" w:rsidP="00931169">
            <w:pPr>
              <w:pStyle w:val="Odsekzoznamu"/>
              <w:spacing w:after="0" w:line="240" w:lineRule="auto"/>
              <w:ind w:left="0"/>
              <w:jc w:val="both"/>
              <w:rPr>
                <w:rFonts w:ascii="Calibri" w:hAnsi="Calibri" w:cs="Calibri"/>
                <w:sz w:val="16"/>
                <w:szCs w:val="16"/>
              </w:rPr>
            </w:pPr>
            <w:r>
              <w:rPr>
                <w:rFonts w:ascii="Calibri" w:hAnsi="Calibri" w:cs="Calibri"/>
                <w:sz w:val="16"/>
                <w:szCs w:val="16"/>
              </w:rPr>
              <w:t>Riziko vzniku zosuvov je v celom úseku trate vzhľadom na zložité</w:t>
            </w:r>
            <w:r w:rsidRPr="0068610C">
              <w:rPr>
                <w:rFonts w:ascii="Calibri" w:hAnsi="Calibri" w:cs="Calibri"/>
                <w:sz w:val="16"/>
                <w:szCs w:val="16"/>
              </w:rPr>
              <w:t xml:space="preserve"> geologické podložie, morfológiu terénu a klimatické pomery</w:t>
            </w:r>
            <w:r>
              <w:rPr>
                <w:rFonts w:ascii="Calibri" w:hAnsi="Calibri" w:cs="Calibri"/>
                <w:sz w:val="16"/>
                <w:szCs w:val="16"/>
              </w:rPr>
              <w:t xml:space="preserve"> oblasti.  </w:t>
            </w:r>
            <w:r w:rsidRPr="0068610C">
              <w:rPr>
                <w:rFonts w:ascii="Calibri" w:hAnsi="Calibri" w:cs="Calibri"/>
                <w:sz w:val="16"/>
                <w:szCs w:val="16"/>
              </w:rPr>
              <w:t xml:space="preserve">Zvýšené riziko je v úsekoch </w:t>
            </w:r>
            <w:r>
              <w:rPr>
                <w:rFonts w:ascii="Calibri" w:hAnsi="Calibri" w:cs="Calibri"/>
                <w:sz w:val="16"/>
                <w:szCs w:val="16"/>
              </w:rPr>
              <w:t xml:space="preserve">prechádzajúcich v blízkosti aktívnych a potenciálnych zosuvov resp. pri tunelových objektoch. </w:t>
            </w:r>
          </w:p>
          <w:p w14:paraId="563C03E1" w14:textId="77777777" w:rsidR="00BE690A" w:rsidRPr="0068610C" w:rsidRDefault="00BE690A" w:rsidP="00931169">
            <w:pPr>
              <w:pStyle w:val="Odsekzoznamu"/>
              <w:spacing w:after="0" w:line="240" w:lineRule="auto"/>
              <w:ind w:left="0"/>
              <w:jc w:val="both"/>
              <w:rPr>
                <w:rFonts w:ascii="Calibri" w:hAnsi="Calibri" w:cs="Calibri"/>
                <w:sz w:val="16"/>
                <w:szCs w:val="16"/>
              </w:rPr>
            </w:pPr>
            <w:r w:rsidRPr="0068610C">
              <w:rPr>
                <w:rFonts w:ascii="Calibri" w:hAnsi="Calibri" w:cs="Calibri"/>
                <w:b/>
                <w:sz w:val="16"/>
                <w:szCs w:val="16"/>
              </w:rPr>
              <w:t>Rizikové úseky/objekty</w:t>
            </w:r>
            <w:r w:rsidRPr="0068610C">
              <w:rPr>
                <w:rFonts w:ascii="Calibri" w:hAnsi="Calibri" w:cs="Calibri"/>
                <w:sz w:val="16"/>
                <w:szCs w:val="16"/>
              </w:rPr>
              <w:t xml:space="preserve">: </w:t>
            </w:r>
          </w:p>
          <w:p w14:paraId="576DB1A4" w14:textId="77777777" w:rsidR="00BE690A" w:rsidRDefault="00BE690A" w:rsidP="00931169">
            <w:pPr>
              <w:pStyle w:val="Odsekzoznamu"/>
              <w:numPr>
                <w:ilvl w:val="0"/>
                <w:numId w:val="37"/>
              </w:numPr>
              <w:spacing w:after="0" w:line="240" w:lineRule="auto"/>
              <w:ind w:left="169" w:hanging="169"/>
              <w:jc w:val="both"/>
              <w:rPr>
                <w:rFonts w:ascii="Calibri" w:hAnsi="Calibri" w:cs="Calibri"/>
                <w:sz w:val="16"/>
                <w:szCs w:val="16"/>
              </w:rPr>
            </w:pPr>
            <w:r w:rsidRPr="0068610C">
              <w:rPr>
                <w:rFonts w:ascii="Calibri" w:hAnsi="Calibri" w:cs="Calibri"/>
                <w:sz w:val="16"/>
                <w:szCs w:val="16"/>
              </w:rPr>
              <w:t xml:space="preserve">úsek trate Krásno nad Kysucou – Čadca </w:t>
            </w:r>
            <w:r>
              <w:rPr>
                <w:rFonts w:ascii="Calibri" w:hAnsi="Calibri" w:cs="Calibri"/>
                <w:sz w:val="16"/>
                <w:szCs w:val="16"/>
              </w:rPr>
              <w:t>vedený tunelovými variantmi (I.2 a I.3)</w:t>
            </w:r>
          </w:p>
          <w:p w14:paraId="2644D7CA" w14:textId="77777777" w:rsidR="00BE690A" w:rsidRPr="00CD313D" w:rsidRDefault="00BE690A" w:rsidP="00931169">
            <w:pPr>
              <w:pStyle w:val="Odsekzoznamu"/>
              <w:numPr>
                <w:ilvl w:val="0"/>
                <w:numId w:val="37"/>
              </w:numPr>
              <w:spacing w:after="0" w:line="240" w:lineRule="auto"/>
              <w:ind w:left="169" w:hanging="169"/>
              <w:jc w:val="both"/>
              <w:rPr>
                <w:rFonts w:ascii="Calibri" w:hAnsi="Calibri" w:cs="Calibri"/>
                <w:sz w:val="16"/>
                <w:szCs w:val="16"/>
              </w:rPr>
            </w:pPr>
            <w:r w:rsidRPr="0068610C">
              <w:rPr>
                <w:rFonts w:ascii="Calibri" w:hAnsi="Calibri" w:cs="Calibri"/>
                <w:sz w:val="16"/>
                <w:szCs w:val="16"/>
              </w:rPr>
              <w:t>úsek Svrčinovec – štátna hranica SR/ČR</w:t>
            </w:r>
            <w:r>
              <w:rPr>
                <w:rFonts w:ascii="Calibri" w:hAnsi="Calibri" w:cs="Calibri"/>
                <w:sz w:val="16"/>
                <w:szCs w:val="16"/>
              </w:rPr>
              <w:t xml:space="preserve"> v súčasnom trasovaní</w:t>
            </w:r>
          </w:p>
        </w:tc>
      </w:tr>
    </w:tbl>
    <w:p w14:paraId="4B9B2B81" w14:textId="77777777" w:rsidR="00BE690A" w:rsidRDefault="00BE690A" w:rsidP="00931169">
      <w:pPr>
        <w:keepNext/>
      </w:pPr>
    </w:p>
    <w:p w14:paraId="28130F07" w14:textId="76DB06A7" w:rsidR="00BE690A" w:rsidRPr="00DE7659" w:rsidRDefault="00BE690A" w:rsidP="00931169">
      <w:pPr>
        <w:keepNext/>
      </w:pPr>
      <w:r w:rsidRPr="00DE7659">
        <w:t>Matica rizík projektu:</w:t>
      </w:r>
    </w:p>
    <w:tbl>
      <w:tblPr>
        <w:tblW w:w="928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
        <w:gridCol w:w="519"/>
        <w:gridCol w:w="1133"/>
        <w:gridCol w:w="1554"/>
        <w:gridCol w:w="1406"/>
        <w:gridCol w:w="1428"/>
        <w:gridCol w:w="1390"/>
        <w:gridCol w:w="1274"/>
        <w:gridCol w:w="74"/>
      </w:tblGrid>
      <w:tr w:rsidR="00BE690A" w:rsidRPr="009C3748" w14:paraId="5560491D" w14:textId="77777777" w:rsidTr="00BE690A">
        <w:trPr>
          <w:cantSplit/>
          <w:trHeight w:val="91"/>
        </w:trPr>
        <w:tc>
          <w:tcPr>
            <w:tcW w:w="2162" w:type="dxa"/>
            <w:gridSpan w:val="3"/>
            <w:vMerge w:val="restart"/>
            <w:shd w:val="clear" w:color="auto" w:fill="FFFFFF"/>
            <w:textDirection w:val="btLr"/>
            <w:vAlign w:val="center"/>
          </w:tcPr>
          <w:p w14:paraId="7E34472C" w14:textId="77777777" w:rsidR="00BE690A" w:rsidRPr="009C3748" w:rsidRDefault="00BE690A" w:rsidP="00931169">
            <w:pPr>
              <w:keepNext/>
              <w:rPr>
                <w:b/>
                <w:sz w:val="18"/>
                <w:szCs w:val="18"/>
              </w:rPr>
            </w:pPr>
          </w:p>
          <w:p w14:paraId="369B55B3" w14:textId="77777777" w:rsidR="00BE690A" w:rsidRPr="009C3748" w:rsidRDefault="00BE690A" w:rsidP="00931169">
            <w:pPr>
              <w:keepNext/>
              <w:rPr>
                <w:b/>
                <w:sz w:val="18"/>
                <w:szCs w:val="18"/>
              </w:rPr>
            </w:pPr>
          </w:p>
        </w:tc>
        <w:tc>
          <w:tcPr>
            <w:tcW w:w="7126" w:type="dxa"/>
            <w:gridSpan w:val="6"/>
            <w:shd w:val="clear" w:color="auto" w:fill="FFFFFF"/>
            <w:vAlign w:val="center"/>
          </w:tcPr>
          <w:p w14:paraId="00339178" w14:textId="77777777" w:rsidR="00BE690A" w:rsidRPr="009C3748" w:rsidRDefault="00BE690A" w:rsidP="00931169">
            <w:pPr>
              <w:keepNext/>
              <w:rPr>
                <w:b/>
                <w:sz w:val="18"/>
                <w:szCs w:val="18"/>
              </w:rPr>
            </w:pPr>
            <w:r w:rsidRPr="009C3748">
              <w:rPr>
                <w:b/>
                <w:sz w:val="18"/>
                <w:szCs w:val="18"/>
              </w:rPr>
              <w:t>Závažnosť dôsledku klimatického javu</w:t>
            </w:r>
          </w:p>
        </w:tc>
      </w:tr>
      <w:tr w:rsidR="00BE690A" w:rsidRPr="009C3748" w14:paraId="2078713F" w14:textId="77777777" w:rsidTr="00BE690A">
        <w:trPr>
          <w:cantSplit/>
          <w:trHeight w:val="205"/>
        </w:trPr>
        <w:tc>
          <w:tcPr>
            <w:tcW w:w="2162" w:type="dxa"/>
            <w:gridSpan w:val="3"/>
            <w:vMerge/>
            <w:shd w:val="clear" w:color="auto" w:fill="FFFFFF"/>
            <w:textDirection w:val="btLr"/>
            <w:vAlign w:val="center"/>
          </w:tcPr>
          <w:p w14:paraId="69E1B0EE" w14:textId="77777777" w:rsidR="00BE690A" w:rsidRPr="009C3748" w:rsidRDefault="00BE690A" w:rsidP="00931169">
            <w:pPr>
              <w:rPr>
                <w:b/>
                <w:sz w:val="18"/>
                <w:szCs w:val="18"/>
              </w:rPr>
            </w:pPr>
          </w:p>
        </w:tc>
        <w:tc>
          <w:tcPr>
            <w:tcW w:w="1554" w:type="dxa"/>
            <w:shd w:val="clear" w:color="auto" w:fill="FFFFFF"/>
            <w:vAlign w:val="center"/>
          </w:tcPr>
          <w:p w14:paraId="124D890F" w14:textId="77777777" w:rsidR="00BE690A" w:rsidRPr="009C3748" w:rsidRDefault="00BE690A" w:rsidP="00931169">
            <w:pPr>
              <w:rPr>
                <w:b/>
                <w:sz w:val="18"/>
                <w:szCs w:val="18"/>
              </w:rPr>
            </w:pPr>
            <w:r w:rsidRPr="009C3748">
              <w:rPr>
                <w:b/>
                <w:sz w:val="18"/>
                <w:szCs w:val="18"/>
              </w:rPr>
              <w:t>zanedbateľný</w:t>
            </w:r>
          </w:p>
        </w:tc>
        <w:tc>
          <w:tcPr>
            <w:tcW w:w="1406" w:type="dxa"/>
            <w:shd w:val="clear" w:color="auto" w:fill="FFFFFF"/>
            <w:vAlign w:val="center"/>
          </w:tcPr>
          <w:p w14:paraId="438FBBD2" w14:textId="77777777" w:rsidR="00BE690A" w:rsidRPr="009C3748" w:rsidRDefault="00BE690A" w:rsidP="00931169">
            <w:pPr>
              <w:rPr>
                <w:b/>
                <w:sz w:val="18"/>
                <w:szCs w:val="18"/>
              </w:rPr>
            </w:pPr>
            <w:r w:rsidRPr="009C3748">
              <w:rPr>
                <w:b/>
                <w:sz w:val="18"/>
                <w:szCs w:val="18"/>
              </w:rPr>
              <w:t>malý</w:t>
            </w:r>
          </w:p>
        </w:tc>
        <w:tc>
          <w:tcPr>
            <w:tcW w:w="1428" w:type="dxa"/>
            <w:shd w:val="clear" w:color="auto" w:fill="FFFFFF"/>
            <w:vAlign w:val="center"/>
          </w:tcPr>
          <w:p w14:paraId="7C254A0B" w14:textId="77777777" w:rsidR="00BE690A" w:rsidRPr="009C3748" w:rsidRDefault="00BE690A" w:rsidP="00931169">
            <w:pPr>
              <w:rPr>
                <w:b/>
                <w:sz w:val="18"/>
                <w:szCs w:val="18"/>
              </w:rPr>
            </w:pPr>
            <w:r w:rsidRPr="009C3748">
              <w:rPr>
                <w:b/>
                <w:sz w:val="18"/>
                <w:szCs w:val="18"/>
              </w:rPr>
              <w:t>mierny</w:t>
            </w:r>
          </w:p>
        </w:tc>
        <w:tc>
          <w:tcPr>
            <w:tcW w:w="1390" w:type="dxa"/>
            <w:shd w:val="clear" w:color="auto" w:fill="FFFFFF"/>
            <w:vAlign w:val="center"/>
          </w:tcPr>
          <w:p w14:paraId="3D967145" w14:textId="77777777" w:rsidR="00BE690A" w:rsidRPr="009C3748" w:rsidRDefault="00BE690A" w:rsidP="00931169">
            <w:pPr>
              <w:rPr>
                <w:b/>
                <w:sz w:val="18"/>
                <w:szCs w:val="18"/>
              </w:rPr>
            </w:pPr>
            <w:r w:rsidRPr="009C3748">
              <w:rPr>
                <w:b/>
                <w:sz w:val="18"/>
                <w:szCs w:val="18"/>
              </w:rPr>
              <w:t>závažný</w:t>
            </w:r>
          </w:p>
        </w:tc>
        <w:tc>
          <w:tcPr>
            <w:tcW w:w="1348" w:type="dxa"/>
            <w:gridSpan w:val="2"/>
            <w:shd w:val="clear" w:color="auto" w:fill="FFFFFF"/>
            <w:vAlign w:val="center"/>
          </w:tcPr>
          <w:p w14:paraId="4F8445D9" w14:textId="77777777" w:rsidR="00BE690A" w:rsidRPr="009C3748" w:rsidRDefault="00BE690A" w:rsidP="00931169">
            <w:pPr>
              <w:rPr>
                <w:b/>
                <w:sz w:val="18"/>
                <w:szCs w:val="18"/>
              </w:rPr>
            </w:pPr>
            <w:r w:rsidRPr="009C3748">
              <w:rPr>
                <w:b/>
                <w:sz w:val="18"/>
                <w:szCs w:val="18"/>
              </w:rPr>
              <w:t>katastrofický</w:t>
            </w:r>
          </w:p>
        </w:tc>
      </w:tr>
      <w:tr w:rsidR="00BE690A" w:rsidRPr="009C3748" w14:paraId="285A20ED" w14:textId="77777777" w:rsidTr="00BE690A">
        <w:trPr>
          <w:cantSplit/>
          <w:trHeight w:val="300"/>
        </w:trPr>
        <w:tc>
          <w:tcPr>
            <w:tcW w:w="510" w:type="dxa"/>
            <w:vMerge w:val="restart"/>
            <w:shd w:val="clear" w:color="auto" w:fill="FFFFFF"/>
            <w:textDirection w:val="btLr"/>
            <w:vAlign w:val="center"/>
          </w:tcPr>
          <w:p w14:paraId="479D4871" w14:textId="77777777" w:rsidR="00BE690A" w:rsidRPr="009C3748" w:rsidRDefault="00BE690A" w:rsidP="00931169">
            <w:pPr>
              <w:rPr>
                <w:b/>
                <w:sz w:val="18"/>
                <w:szCs w:val="18"/>
              </w:rPr>
            </w:pPr>
            <w:r w:rsidRPr="009C3748">
              <w:rPr>
                <w:b/>
                <w:sz w:val="18"/>
                <w:szCs w:val="18"/>
              </w:rPr>
              <w:t>Pravdepodobnosť</w:t>
            </w:r>
          </w:p>
        </w:tc>
        <w:tc>
          <w:tcPr>
            <w:tcW w:w="1652" w:type="dxa"/>
            <w:gridSpan w:val="2"/>
            <w:shd w:val="clear" w:color="auto" w:fill="FFFFFF"/>
            <w:vAlign w:val="center"/>
          </w:tcPr>
          <w:p w14:paraId="77F0E69F" w14:textId="77777777" w:rsidR="00BE690A" w:rsidRPr="009C3748" w:rsidRDefault="00BE690A" w:rsidP="00931169">
            <w:pPr>
              <w:rPr>
                <w:b/>
                <w:sz w:val="18"/>
                <w:szCs w:val="18"/>
              </w:rPr>
            </w:pPr>
            <w:r w:rsidRPr="009C3748">
              <w:rPr>
                <w:b/>
                <w:sz w:val="18"/>
                <w:szCs w:val="18"/>
              </w:rPr>
              <w:t>vzácna</w:t>
            </w:r>
          </w:p>
        </w:tc>
        <w:tc>
          <w:tcPr>
            <w:tcW w:w="1554" w:type="dxa"/>
            <w:shd w:val="clear" w:color="auto" w:fill="D6E3BC"/>
            <w:vAlign w:val="center"/>
          </w:tcPr>
          <w:p w14:paraId="6FCC5E37" w14:textId="77777777" w:rsidR="00BE690A" w:rsidRPr="002960D2" w:rsidRDefault="00BE690A" w:rsidP="00931169">
            <w:pPr>
              <w:rPr>
                <w:sz w:val="16"/>
                <w:szCs w:val="18"/>
              </w:rPr>
            </w:pPr>
          </w:p>
        </w:tc>
        <w:tc>
          <w:tcPr>
            <w:tcW w:w="1406" w:type="dxa"/>
            <w:shd w:val="clear" w:color="auto" w:fill="D6E3BC"/>
            <w:vAlign w:val="center"/>
          </w:tcPr>
          <w:p w14:paraId="0E4758F2" w14:textId="77777777" w:rsidR="00BE690A" w:rsidRPr="00C16BD4" w:rsidRDefault="00BE690A" w:rsidP="00931169">
            <w:pPr>
              <w:rPr>
                <w:color w:val="FF0000"/>
                <w:sz w:val="16"/>
                <w:szCs w:val="18"/>
              </w:rPr>
            </w:pPr>
          </w:p>
        </w:tc>
        <w:tc>
          <w:tcPr>
            <w:tcW w:w="1428" w:type="dxa"/>
            <w:shd w:val="clear" w:color="auto" w:fill="FFFF97"/>
            <w:vAlign w:val="center"/>
          </w:tcPr>
          <w:p w14:paraId="622C0438" w14:textId="77777777" w:rsidR="00BE690A" w:rsidRPr="002960D2" w:rsidRDefault="00BE690A" w:rsidP="00931169">
            <w:pPr>
              <w:rPr>
                <w:sz w:val="16"/>
                <w:szCs w:val="18"/>
              </w:rPr>
            </w:pPr>
          </w:p>
        </w:tc>
        <w:tc>
          <w:tcPr>
            <w:tcW w:w="1390" w:type="dxa"/>
            <w:shd w:val="clear" w:color="auto" w:fill="FBD4B4" w:themeFill="accent6" w:themeFillTint="66"/>
            <w:vAlign w:val="center"/>
          </w:tcPr>
          <w:p w14:paraId="4DAABD0C" w14:textId="77777777" w:rsidR="00BE690A" w:rsidRPr="002960D2" w:rsidRDefault="00BE690A" w:rsidP="00931169">
            <w:pPr>
              <w:rPr>
                <w:sz w:val="16"/>
                <w:szCs w:val="18"/>
              </w:rPr>
            </w:pPr>
          </w:p>
        </w:tc>
        <w:tc>
          <w:tcPr>
            <w:tcW w:w="1348" w:type="dxa"/>
            <w:gridSpan w:val="2"/>
            <w:shd w:val="clear" w:color="auto" w:fill="FFA48F"/>
            <w:vAlign w:val="center"/>
          </w:tcPr>
          <w:p w14:paraId="2A2353FF" w14:textId="77777777" w:rsidR="00BE690A" w:rsidRPr="002960D2" w:rsidRDefault="00BE690A" w:rsidP="00931169">
            <w:pPr>
              <w:rPr>
                <w:sz w:val="16"/>
                <w:szCs w:val="18"/>
              </w:rPr>
            </w:pPr>
          </w:p>
        </w:tc>
      </w:tr>
      <w:tr w:rsidR="00BE690A" w:rsidRPr="009C3748" w14:paraId="57C66701" w14:textId="77777777" w:rsidTr="00BE690A">
        <w:trPr>
          <w:cantSplit/>
          <w:trHeight w:val="360"/>
        </w:trPr>
        <w:tc>
          <w:tcPr>
            <w:tcW w:w="510" w:type="dxa"/>
            <w:vMerge/>
            <w:shd w:val="clear" w:color="auto" w:fill="FFFFFF"/>
            <w:textDirection w:val="btLr"/>
            <w:vAlign w:val="center"/>
          </w:tcPr>
          <w:p w14:paraId="24ADDBEC" w14:textId="77777777" w:rsidR="00BE690A" w:rsidRPr="009C3748" w:rsidRDefault="00BE690A" w:rsidP="00931169">
            <w:pPr>
              <w:rPr>
                <w:b/>
                <w:sz w:val="18"/>
                <w:szCs w:val="18"/>
              </w:rPr>
            </w:pPr>
          </w:p>
        </w:tc>
        <w:tc>
          <w:tcPr>
            <w:tcW w:w="1652" w:type="dxa"/>
            <w:gridSpan w:val="2"/>
            <w:shd w:val="clear" w:color="auto" w:fill="FFFFFF"/>
            <w:vAlign w:val="center"/>
          </w:tcPr>
          <w:p w14:paraId="3CDAAC93" w14:textId="77777777" w:rsidR="00BE690A" w:rsidRPr="009C3748" w:rsidRDefault="00BE690A" w:rsidP="00931169">
            <w:pPr>
              <w:rPr>
                <w:b/>
                <w:sz w:val="18"/>
                <w:szCs w:val="18"/>
              </w:rPr>
            </w:pPr>
            <w:r w:rsidRPr="009C3748">
              <w:rPr>
                <w:b/>
                <w:sz w:val="18"/>
                <w:szCs w:val="18"/>
              </w:rPr>
              <w:t>nepravdepodobná</w:t>
            </w:r>
          </w:p>
        </w:tc>
        <w:tc>
          <w:tcPr>
            <w:tcW w:w="1554" w:type="dxa"/>
            <w:shd w:val="clear" w:color="auto" w:fill="D6E3BC"/>
            <w:vAlign w:val="center"/>
          </w:tcPr>
          <w:p w14:paraId="2C1B53F4" w14:textId="77777777" w:rsidR="00BE690A" w:rsidRPr="002960D2" w:rsidRDefault="00BE690A" w:rsidP="00931169">
            <w:pPr>
              <w:rPr>
                <w:sz w:val="16"/>
                <w:szCs w:val="18"/>
              </w:rPr>
            </w:pPr>
          </w:p>
        </w:tc>
        <w:tc>
          <w:tcPr>
            <w:tcW w:w="1406" w:type="dxa"/>
            <w:shd w:val="clear" w:color="auto" w:fill="D6E3BC"/>
            <w:vAlign w:val="center"/>
          </w:tcPr>
          <w:p w14:paraId="2F70753C" w14:textId="77777777" w:rsidR="00BE690A" w:rsidRPr="00C92614" w:rsidRDefault="00BE690A" w:rsidP="00931169">
            <w:pPr>
              <w:rPr>
                <w:color w:val="FF0000"/>
                <w:sz w:val="16"/>
                <w:szCs w:val="18"/>
              </w:rPr>
            </w:pPr>
            <w:r w:rsidRPr="000D0959">
              <w:rPr>
                <w:sz w:val="16"/>
                <w:szCs w:val="18"/>
              </w:rPr>
              <w:t xml:space="preserve">Vysoké teploty </w:t>
            </w:r>
          </w:p>
        </w:tc>
        <w:tc>
          <w:tcPr>
            <w:tcW w:w="1428" w:type="dxa"/>
            <w:shd w:val="clear" w:color="auto" w:fill="FFFF97"/>
            <w:vAlign w:val="center"/>
          </w:tcPr>
          <w:p w14:paraId="084E3E1D" w14:textId="77777777" w:rsidR="00BE690A" w:rsidRPr="00C92614" w:rsidRDefault="00BE690A" w:rsidP="00931169">
            <w:pPr>
              <w:rPr>
                <w:color w:val="FF0000"/>
                <w:sz w:val="16"/>
                <w:szCs w:val="18"/>
              </w:rPr>
            </w:pPr>
            <w:r w:rsidRPr="000D0959">
              <w:rPr>
                <w:sz w:val="16"/>
                <w:szCs w:val="18"/>
              </w:rPr>
              <w:t>Povodne</w:t>
            </w:r>
          </w:p>
        </w:tc>
        <w:tc>
          <w:tcPr>
            <w:tcW w:w="1390" w:type="dxa"/>
            <w:shd w:val="clear" w:color="auto" w:fill="FBD4B4" w:themeFill="accent6" w:themeFillTint="66"/>
            <w:vAlign w:val="center"/>
          </w:tcPr>
          <w:p w14:paraId="3CB1A4AB" w14:textId="77777777" w:rsidR="00BE690A" w:rsidRPr="002960D2" w:rsidRDefault="00BE690A" w:rsidP="00931169">
            <w:pPr>
              <w:rPr>
                <w:sz w:val="16"/>
                <w:szCs w:val="18"/>
              </w:rPr>
            </w:pPr>
          </w:p>
        </w:tc>
        <w:tc>
          <w:tcPr>
            <w:tcW w:w="1348" w:type="dxa"/>
            <w:gridSpan w:val="2"/>
            <w:shd w:val="clear" w:color="auto" w:fill="FFA48F"/>
            <w:vAlign w:val="center"/>
          </w:tcPr>
          <w:p w14:paraId="06070E90" w14:textId="77777777" w:rsidR="00BE690A" w:rsidRPr="002960D2" w:rsidRDefault="00BE690A" w:rsidP="00931169">
            <w:pPr>
              <w:rPr>
                <w:sz w:val="16"/>
                <w:szCs w:val="18"/>
              </w:rPr>
            </w:pPr>
          </w:p>
        </w:tc>
      </w:tr>
      <w:tr w:rsidR="00BE690A" w:rsidRPr="009C3748" w14:paraId="53289192" w14:textId="77777777" w:rsidTr="00BE690A">
        <w:trPr>
          <w:cantSplit/>
          <w:trHeight w:val="264"/>
        </w:trPr>
        <w:tc>
          <w:tcPr>
            <w:tcW w:w="510" w:type="dxa"/>
            <w:vMerge/>
            <w:shd w:val="clear" w:color="auto" w:fill="FFFFFF"/>
            <w:textDirection w:val="btLr"/>
            <w:vAlign w:val="center"/>
          </w:tcPr>
          <w:p w14:paraId="716A7025" w14:textId="77777777" w:rsidR="00BE690A" w:rsidRPr="009C3748" w:rsidRDefault="00BE690A" w:rsidP="00931169">
            <w:pPr>
              <w:rPr>
                <w:b/>
                <w:sz w:val="18"/>
                <w:szCs w:val="18"/>
              </w:rPr>
            </w:pPr>
          </w:p>
        </w:tc>
        <w:tc>
          <w:tcPr>
            <w:tcW w:w="1652" w:type="dxa"/>
            <w:gridSpan w:val="2"/>
            <w:shd w:val="clear" w:color="auto" w:fill="FFFFFF"/>
            <w:vAlign w:val="center"/>
          </w:tcPr>
          <w:p w14:paraId="1B5D3308" w14:textId="77777777" w:rsidR="00BE690A" w:rsidRPr="009C3748" w:rsidRDefault="00BE690A" w:rsidP="00931169">
            <w:pPr>
              <w:rPr>
                <w:b/>
                <w:sz w:val="18"/>
                <w:szCs w:val="18"/>
              </w:rPr>
            </w:pPr>
            <w:r w:rsidRPr="009C3748">
              <w:rPr>
                <w:b/>
                <w:sz w:val="18"/>
                <w:szCs w:val="18"/>
              </w:rPr>
              <w:t>mierna</w:t>
            </w:r>
          </w:p>
        </w:tc>
        <w:tc>
          <w:tcPr>
            <w:tcW w:w="1554" w:type="dxa"/>
            <w:shd w:val="clear" w:color="auto" w:fill="D6E3BC"/>
            <w:vAlign w:val="center"/>
          </w:tcPr>
          <w:p w14:paraId="617B697C" w14:textId="77777777" w:rsidR="00BE690A" w:rsidRDefault="00BE690A" w:rsidP="00931169">
            <w:pPr>
              <w:rPr>
                <w:sz w:val="16"/>
                <w:szCs w:val="18"/>
              </w:rPr>
            </w:pPr>
            <w:r w:rsidRPr="000D0959">
              <w:rPr>
                <w:sz w:val="16"/>
                <w:szCs w:val="18"/>
              </w:rPr>
              <w:t xml:space="preserve">Silné dažde </w:t>
            </w:r>
          </w:p>
          <w:p w14:paraId="568AA0FF" w14:textId="77777777" w:rsidR="00BE690A" w:rsidRDefault="00BE690A" w:rsidP="00931169">
            <w:pPr>
              <w:rPr>
                <w:sz w:val="16"/>
                <w:szCs w:val="18"/>
              </w:rPr>
            </w:pPr>
            <w:r>
              <w:rPr>
                <w:sz w:val="16"/>
                <w:szCs w:val="18"/>
              </w:rPr>
              <w:t>Snehové javy</w:t>
            </w:r>
          </w:p>
          <w:p w14:paraId="1F4F4682" w14:textId="77777777" w:rsidR="00BE690A" w:rsidRPr="002960D2" w:rsidRDefault="00BE690A" w:rsidP="00931169">
            <w:pPr>
              <w:rPr>
                <w:sz w:val="16"/>
                <w:szCs w:val="18"/>
              </w:rPr>
            </w:pPr>
            <w:r>
              <w:rPr>
                <w:sz w:val="16"/>
                <w:szCs w:val="18"/>
              </w:rPr>
              <w:t>Námrazové javy</w:t>
            </w:r>
          </w:p>
        </w:tc>
        <w:tc>
          <w:tcPr>
            <w:tcW w:w="1406" w:type="dxa"/>
            <w:shd w:val="clear" w:color="auto" w:fill="FFFF97"/>
            <w:vAlign w:val="center"/>
          </w:tcPr>
          <w:p w14:paraId="3F50A3F9" w14:textId="77777777" w:rsidR="00BE690A" w:rsidRPr="000D0959" w:rsidRDefault="00BE690A" w:rsidP="00931169">
            <w:pPr>
              <w:rPr>
                <w:sz w:val="16"/>
                <w:szCs w:val="18"/>
              </w:rPr>
            </w:pPr>
            <w:r w:rsidRPr="000D0959">
              <w:rPr>
                <w:sz w:val="16"/>
                <w:szCs w:val="18"/>
              </w:rPr>
              <w:t>Silný vietor</w:t>
            </w:r>
          </w:p>
          <w:p w14:paraId="13AF4A85" w14:textId="77777777" w:rsidR="00BE690A" w:rsidRPr="00C92614" w:rsidRDefault="00BE690A" w:rsidP="00931169">
            <w:pPr>
              <w:rPr>
                <w:color w:val="FF0000"/>
                <w:sz w:val="16"/>
                <w:szCs w:val="18"/>
              </w:rPr>
            </w:pPr>
          </w:p>
        </w:tc>
        <w:tc>
          <w:tcPr>
            <w:tcW w:w="1428" w:type="dxa"/>
            <w:shd w:val="clear" w:color="auto" w:fill="FBD4B4" w:themeFill="accent6" w:themeFillTint="66"/>
            <w:vAlign w:val="center"/>
          </w:tcPr>
          <w:p w14:paraId="46CA9999" w14:textId="77777777" w:rsidR="00BE690A" w:rsidRPr="00C92614" w:rsidRDefault="00BE690A" w:rsidP="00931169">
            <w:pPr>
              <w:rPr>
                <w:color w:val="FF0000"/>
                <w:sz w:val="16"/>
                <w:szCs w:val="18"/>
              </w:rPr>
            </w:pPr>
            <w:r w:rsidRPr="000D0959">
              <w:rPr>
                <w:sz w:val="16"/>
                <w:szCs w:val="18"/>
              </w:rPr>
              <w:t>Búrkové javy</w:t>
            </w:r>
          </w:p>
        </w:tc>
        <w:tc>
          <w:tcPr>
            <w:tcW w:w="1390" w:type="dxa"/>
            <w:shd w:val="clear" w:color="auto" w:fill="FFA48F"/>
            <w:vAlign w:val="center"/>
          </w:tcPr>
          <w:p w14:paraId="65734EC8" w14:textId="77777777" w:rsidR="00BE690A" w:rsidRPr="002960D2" w:rsidRDefault="00BE690A" w:rsidP="00931169">
            <w:pPr>
              <w:rPr>
                <w:sz w:val="16"/>
                <w:szCs w:val="18"/>
              </w:rPr>
            </w:pPr>
            <w:r>
              <w:rPr>
                <w:sz w:val="16"/>
                <w:szCs w:val="18"/>
              </w:rPr>
              <w:t>Zosuvy</w:t>
            </w:r>
          </w:p>
        </w:tc>
        <w:tc>
          <w:tcPr>
            <w:tcW w:w="1348" w:type="dxa"/>
            <w:gridSpan w:val="2"/>
            <w:shd w:val="clear" w:color="auto" w:fill="FFA48F"/>
            <w:vAlign w:val="center"/>
          </w:tcPr>
          <w:p w14:paraId="13A24472" w14:textId="77777777" w:rsidR="00BE690A" w:rsidRPr="002960D2" w:rsidRDefault="00BE690A" w:rsidP="00931169">
            <w:pPr>
              <w:rPr>
                <w:sz w:val="16"/>
                <w:szCs w:val="18"/>
              </w:rPr>
            </w:pPr>
          </w:p>
        </w:tc>
      </w:tr>
      <w:tr w:rsidR="00BE690A" w:rsidRPr="009C3748" w14:paraId="2F504FF6" w14:textId="77777777" w:rsidTr="00BE690A">
        <w:trPr>
          <w:cantSplit/>
          <w:trHeight w:val="324"/>
        </w:trPr>
        <w:tc>
          <w:tcPr>
            <w:tcW w:w="510" w:type="dxa"/>
            <w:vMerge/>
            <w:shd w:val="clear" w:color="auto" w:fill="FFFFFF"/>
            <w:textDirection w:val="btLr"/>
            <w:vAlign w:val="center"/>
          </w:tcPr>
          <w:p w14:paraId="566564CE" w14:textId="77777777" w:rsidR="00BE690A" w:rsidRPr="009C3748" w:rsidRDefault="00BE690A" w:rsidP="00931169">
            <w:pPr>
              <w:rPr>
                <w:b/>
                <w:sz w:val="18"/>
                <w:szCs w:val="18"/>
              </w:rPr>
            </w:pPr>
          </w:p>
        </w:tc>
        <w:tc>
          <w:tcPr>
            <w:tcW w:w="1652" w:type="dxa"/>
            <w:gridSpan w:val="2"/>
            <w:shd w:val="clear" w:color="auto" w:fill="FFFFFF"/>
            <w:vAlign w:val="center"/>
          </w:tcPr>
          <w:p w14:paraId="0AD919B7" w14:textId="77777777" w:rsidR="00BE690A" w:rsidRPr="009C3748" w:rsidRDefault="00BE690A" w:rsidP="00931169">
            <w:pPr>
              <w:rPr>
                <w:b/>
                <w:sz w:val="18"/>
                <w:szCs w:val="18"/>
              </w:rPr>
            </w:pPr>
            <w:r w:rsidRPr="009C3748">
              <w:rPr>
                <w:b/>
                <w:sz w:val="18"/>
                <w:szCs w:val="18"/>
              </w:rPr>
              <w:t>pravdepodobná</w:t>
            </w:r>
          </w:p>
        </w:tc>
        <w:tc>
          <w:tcPr>
            <w:tcW w:w="1554" w:type="dxa"/>
            <w:shd w:val="clear" w:color="auto" w:fill="FFFF97"/>
            <w:vAlign w:val="center"/>
          </w:tcPr>
          <w:p w14:paraId="45BC4404" w14:textId="77777777" w:rsidR="00BE690A" w:rsidRPr="002960D2" w:rsidRDefault="00BE690A" w:rsidP="00931169">
            <w:pPr>
              <w:rPr>
                <w:sz w:val="16"/>
                <w:szCs w:val="18"/>
              </w:rPr>
            </w:pPr>
          </w:p>
        </w:tc>
        <w:tc>
          <w:tcPr>
            <w:tcW w:w="1406" w:type="dxa"/>
            <w:shd w:val="clear" w:color="auto" w:fill="FBD4B4" w:themeFill="accent6" w:themeFillTint="66"/>
            <w:vAlign w:val="center"/>
          </w:tcPr>
          <w:p w14:paraId="628A32AE" w14:textId="77777777" w:rsidR="00BE690A" w:rsidRPr="00C92614" w:rsidRDefault="00BE690A" w:rsidP="00931169">
            <w:pPr>
              <w:rPr>
                <w:color w:val="FF0000"/>
                <w:sz w:val="16"/>
                <w:szCs w:val="18"/>
              </w:rPr>
            </w:pPr>
          </w:p>
        </w:tc>
        <w:tc>
          <w:tcPr>
            <w:tcW w:w="1428" w:type="dxa"/>
            <w:shd w:val="clear" w:color="auto" w:fill="FBD4B4" w:themeFill="accent6" w:themeFillTint="66"/>
            <w:vAlign w:val="center"/>
          </w:tcPr>
          <w:p w14:paraId="6AC72642" w14:textId="77777777" w:rsidR="00BE690A" w:rsidRPr="00C92614" w:rsidRDefault="00BE690A" w:rsidP="00931169">
            <w:pPr>
              <w:rPr>
                <w:color w:val="FF0000"/>
                <w:sz w:val="16"/>
                <w:szCs w:val="18"/>
              </w:rPr>
            </w:pPr>
          </w:p>
        </w:tc>
        <w:tc>
          <w:tcPr>
            <w:tcW w:w="1390" w:type="dxa"/>
            <w:shd w:val="clear" w:color="auto" w:fill="FFA48F"/>
            <w:vAlign w:val="center"/>
          </w:tcPr>
          <w:p w14:paraId="7513A523" w14:textId="77777777" w:rsidR="00BE690A" w:rsidRPr="002960D2" w:rsidRDefault="00BE690A" w:rsidP="00931169">
            <w:pPr>
              <w:rPr>
                <w:sz w:val="16"/>
                <w:szCs w:val="18"/>
              </w:rPr>
            </w:pPr>
          </w:p>
        </w:tc>
        <w:tc>
          <w:tcPr>
            <w:tcW w:w="1348" w:type="dxa"/>
            <w:gridSpan w:val="2"/>
            <w:shd w:val="clear" w:color="auto" w:fill="FFA48F"/>
            <w:vAlign w:val="center"/>
          </w:tcPr>
          <w:p w14:paraId="0DB336F7" w14:textId="77777777" w:rsidR="00BE690A" w:rsidRPr="002960D2" w:rsidRDefault="00BE690A" w:rsidP="00931169">
            <w:pPr>
              <w:rPr>
                <w:sz w:val="16"/>
                <w:szCs w:val="18"/>
              </w:rPr>
            </w:pPr>
          </w:p>
        </w:tc>
      </w:tr>
      <w:tr w:rsidR="00BE690A" w:rsidRPr="009C3748" w14:paraId="587B3CE8" w14:textId="77777777" w:rsidTr="00BE690A">
        <w:trPr>
          <w:cantSplit/>
          <w:trHeight w:val="232"/>
        </w:trPr>
        <w:tc>
          <w:tcPr>
            <w:tcW w:w="510" w:type="dxa"/>
            <w:vMerge/>
            <w:shd w:val="clear" w:color="auto" w:fill="FFFFFF"/>
            <w:textDirection w:val="btLr"/>
            <w:vAlign w:val="center"/>
          </w:tcPr>
          <w:p w14:paraId="37186CFB" w14:textId="77777777" w:rsidR="00BE690A" w:rsidRPr="009C3748" w:rsidRDefault="00BE690A" w:rsidP="00931169">
            <w:pPr>
              <w:rPr>
                <w:b/>
                <w:sz w:val="18"/>
                <w:szCs w:val="18"/>
              </w:rPr>
            </w:pPr>
          </w:p>
        </w:tc>
        <w:tc>
          <w:tcPr>
            <w:tcW w:w="1652" w:type="dxa"/>
            <w:gridSpan w:val="2"/>
            <w:shd w:val="clear" w:color="auto" w:fill="FFFFFF"/>
            <w:vAlign w:val="center"/>
          </w:tcPr>
          <w:p w14:paraId="3F19A024" w14:textId="77777777" w:rsidR="00BE690A" w:rsidRPr="009C3748" w:rsidRDefault="00BE690A" w:rsidP="00931169">
            <w:pPr>
              <w:rPr>
                <w:b/>
                <w:sz w:val="18"/>
                <w:szCs w:val="18"/>
              </w:rPr>
            </w:pPr>
            <w:r w:rsidRPr="009C3748">
              <w:rPr>
                <w:b/>
                <w:sz w:val="18"/>
                <w:szCs w:val="18"/>
              </w:rPr>
              <w:t>takmer istá</w:t>
            </w:r>
          </w:p>
        </w:tc>
        <w:tc>
          <w:tcPr>
            <w:tcW w:w="1554" w:type="dxa"/>
            <w:shd w:val="clear" w:color="auto" w:fill="FBD4B4" w:themeFill="accent6" w:themeFillTint="66"/>
            <w:vAlign w:val="center"/>
          </w:tcPr>
          <w:p w14:paraId="55215F71" w14:textId="77777777" w:rsidR="00BE690A" w:rsidRPr="002960D2" w:rsidRDefault="00BE690A" w:rsidP="00931169">
            <w:pPr>
              <w:rPr>
                <w:sz w:val="16"/>
                <w:szCs w:val="18"/>
              </w:rPr>
            </w:pPr>
          </w:p>
        </w:tc>
        <w:tc>
          <w:tcPr>
            <w:tcW w:w="1406" w:type="dxa"/>
            <w:shd w:val="clear" w:color="auto" w:fill="FBD4B4" w:themeFill="accent6" w:themeFillTint="66"/>
            <w:vAlign w:val="center"/>
          </w:tcPr>
          <w:p w14:paraId="7C574E22" w14:textId="77777777" w:rsidR="00BE690A" w:rsidRPr="002960D2" w:rsidRDefault="00BE690A" w:rsidP="00931169">
            <w:pPr>
              <w:rPr>
                <w:sz w:val="16"/>
                <w:szCs w:val="18"/>
              </w:rPr>
            </w:pPr>
          </w:p>
        </w:tc>
        <w:tc>
          <w:tcPr>
            <w:tcW w:w="1428" w:type="dxa"/>
            <w:shd w:val="clear" w:color="auto" w:fill="FFA48F"/>
            <w:vAlign w:val="center"/>
          </w:tcPr>
          <w:p w14:paraId="3C5D779F" w14:textId="77777777" w:rsidR="00BE690A" w:rsidRPr="002960D2" w:rsidRDefault="00BE690A" w:rsidP="00931169">
            <w:pPr>
              <w:rPr>
                <w:sz w:val="16"/>
                <w:szCs w:val="18"/>
              </w:rPr>
            </w:pPr>
          </w:p>
        </w:tc>
        <w:tc>
          <w:tcPr>
            <w:tcW w:w="1390" w:type="dxa"/>
            <w:shd w:val="clear" w:color="auto" w:fill="FFA48F"/>
            <w:vAlign w:val="center"/>
          </w:tcPr>
          <w:p w14:paraId="68C2DF9B" w14:textId="77777777" w:rsidR="00BE690A" w:rsidRPr="002960D2" w:rsidRDefault="00BE690A" w:rsidP="00931169">
            <w:pPr>
              <w:rPr>
                <w:sz w:val="16"/>
                <w:szCs w:val="18"/>
              </w:rPr>
            </w:pPr>
          </w:p>
        </w:tc>
        <w:tc>
          <w:tcPr>
            <w:tcW w:w="1348" w:type="dxa"/>
            <w:gridSpan w:val="2"/>
            <w:shd w:val="clear" w:color="auto" w:fill="FFA48F"/>
            <w:vAlign w:val="center"/>
          </w:tcPr>
          <w:p w14:paraId="17093D24" w14:textId="77777777" w:rsidR="00BE690A" w:rsidRPr="002960D2" w:rsidRDefault="00BE690A" w:rsidP="00931169">
            <w:pPr>
              <w:rPr>
                <w:sz w:val="16"/>
                <w:szCs w:val="18"/>
              </w:rPr>
            </w:pPr>
          </w:p>
        </w:tc>
      </w:tr>
      <w:tr w:rsidR="00BE690A" w:rsidRPr="009C3748" w14:paraId="3F5B06CD" w14:textId="77777777" w:rsidTr="00BE690A">
        <w:trPr>
          <w:gridAfter w:val="1"/>
          <w:wAfter w:w="74" w:type="dxa"/>
        </w:trPr>
        <w:tc>
          <w:tcPr>
            <w:tcW w:w="1029" w:type="dxa"/>
            <w:gridSpan w:val="2"/>
            <w:tcBorders>
              <w:top w:val="nil"/>
              <w:left w:val="nil"/>
              <w:bottom w:val="single" w:sz="4" w:space="0" w:color="auto"/>
              <w:right w:val="nil"/>
            </w:tcBorders>
            <w:shd w:val="clear" w:color="auto" w:fill="auto"/>
            <w:vAlign w:val="center"/>
          </w:tcPr>
          <w:p w14:paraId="3DBEBE5F" w14:textId="77777777" w:rsidR="00BE690A" w:rsidRDefault="00BE690A" w:rsidP="00931169">
            <w:pPr>
              <w:rPr>
                <w:sz w:val="18"/>
                <w:szCs w:val="18"/>
              </w:rPr>
            </w:pPr>
          </w:p>
          <w:p w14:paraId="0ADC7E48" w14:textId="1AE0D100" w:rsidR="00BE690A" w:rsidRPr="009C3748" w:rsidRDefault="00BE690A" w:rsidP="00931169">
            <w:pPr>
              <w:rPr>
                <w:sz w:val="18"/>
                <w:szCs w:val="18"/>
              </w:rPr>
            </w:pPr>
            <w:r>
              <w:rPr>
                <w:sz w:val="18"/>
                <w:szCs w:val="18"/>
              </w:rPr>
              <w:t>Vysvetlivky</w:t>
            </w:r>
          </w:p>
        </w:tc>
        <w:tc>
          <w:tcPr>
            <w:tcW w:w="8185" w:type="dxa"/>
            <w:gridSpan w:val="6"/>
            <w:tcBorders>
              <w:top w:val="nil"/>
              <w:left w:val="nil"/>
              <w:bottom w:val="nil"/>
              <w:right w:val="nil"/>
            </w:tcBorders>
            <w:shd w:val="clear" w:color="auto" w:fill="auto"/>
            <w:vAlign w:val="center"/>
          </w:tcPr>
          <w:p w14:paraId="47E53625" w14:textId="77777777" w:rsidR="00BE690A" w:rsidRPr="009C3748" w:rsidRDefault="00BE690A" w:rsidP="00931169">
            <w:pPr>
              <w:rPr>
                <w:sz w:val="18"/>
                <w:szCs w:val="18"/>
              </w:rPr>
            </w:pPr>
          </w:p>
        </w:tc>
      </w:tr>
      <w:tr w:rsidR="00BE690A" w:rsidRPr="009C3748" w14:paraId="5CDF4589" w14:textId="77777777" w:rsidTr="00BE690A">
        <w:trPr>
          <w:gridAfter w:val="1"/>
          <w:wAfter w:w="74" w:type="dxa"/>
          <w:trHeight w:val="170"/>
        </w:trPr>
        <w:tc>
          <w:tcPr>
            <w:tcW w:w="1029" w:type="dxa"/>
            <w:gridSpan w:val="2"/>
            <w:tcBorders>
              <w:top w:val="single" w:sz="4" w:space="0" w:color="auto"/>
              <w:left w:val="single" w:sz="4" w:space="0" w:color="auto"/>
              <w:bottom w:val="single" w:sz="4" w:space="0" w:color="auto"/>
              <w:right w:val="single" w:sz="4" w:space="0" w:color="auto"/>
            </w:tcBorders>
            <w:shd w:val="clear" w:color="auto" w:fill="D6E3BC"/>
            <w:vAlign w:val="center"/>
          </w:tcPr>
          <w:p w14:paraId="2220CCC0" w14:textId="77777777" w:rsidR="00BE690A" w:rsidRPr="009C3748" w:rsidRDefault="00BE690A" w:rsidP="00931169">
            <w:pPr>
              <w:rPr>
                <w:sz w:val="18"/>
                <w:szCs w:val="18"/>
              </w:rPr>
            </w:pPr>
          </w:p>
        </w:tc>
        <w:tc>
          <w:tcPr>
            <w:tcW w:w="8185" w:type="dxa"/>
            <w:gridSpan w:val="6"/>
            <w:tcBorders>
              <w:top w:val="nil"/>
              <w:left w:val="single" w:sz="4" w:space="0" w:color="auto"/>
              <w:bottom w:val="nil"/>
              <w:right w:val="nil"/>
            </w:tcBorders>
            <w:shd w:val="clear" w:color="auto" w:fill="auto"/>
            <w:vAlign w:val="center"/>
          </w:tcPr>
          <w:p w14:paraId="5F5BB944" w14:textId="77777777" w:rsidR="00BE690A" w:rsidRPr="009C3748" w:rsidRDefault="00BE690A" w:rsidP="00931169">
            <w:pPr>
              <w:rPr>
                <w:sz w:val="18"/>
                <w:szCs w:val="18"/>
              </w:rPr>
            </w:pPr>
            <w:r w:rsidRPr="009C3748">
              <w:rPr>
                <w:sz w:val="18"/>
                <w:szCs w:val="18"/>
              </w:rPr>
              <w:t>nízke riziko</w:t>
            </w:r>
            <w:r>
              <w:rPr>
                <w:sz w:val="18"/>
                <w:szCs w:val="18"/>
              </w:rPr>
              <w:t xml:space="preserve"> – prijateľné (nevýznamné) riziko, kde nie je nevyhnutné realizovať dodatočné opatrenia</w:t>
            </w:r>
          </w:p>
        </w:tc>
      </w:tr>
      <w:tr w:rsidR="00BE690A" w:rsidRPr="009C3748" w14:paraId="7B98219C" w14:textId="77777777" w:rsidTr="00BE690A">
        <w:trPr>
          <w:gridAfter w:val="1"/>
          <w:wAfter w:w="74" w:type="dxa"/>
        </w:trPr>
        <w:tc>
          <w:tcPr>
            <w:tcW w:w="1029" w:type="dxa"/>
            <w:gridSpan w:val="2"/>
            <w:tcBorders>
              <w:top w:val="single" w:sz="4" w:space="0" w:color="auto"/>
              <w:left w:val="single" w:sz="4" w:space="0" w:color="auto"/>
              <w:bottom w:val="single" w:sz="4" w:space="0" w:color="auto"/>
              <w:right w:val="single" w:sz="4" w:space="0" w:color="auto"/>
            </w:tcBorders>
            <w:shd w:val="clear" w:color="auto" w:fill="FFFF97"/>
            <w:vAlign w:val="center"/>
          </w:tcPr>
          <w:p w14:paraId="7C7B7ED2" w14:textId="77777777" w:rsidR="00BE690A" w:rsidRPr="009C3748" w:rsidRDefault="00BE690A" w:rsidP="00931169">
            <w:pPr>
              <w:rPr>
                <w:sz w:val="18"/>
                <w:szCs w:val="18"/>
              </w:rPr>
            </w:pPr>
          </w:p>
        </w:tc>
        <w:tc>
          <w:tcPr>
            <w:tcW w:w="8185" w:type="dxa"/>
            <w:gridSpan w:val="6"/>
            <w:tcBorders>
              <w:top w:val="nil"/>
              <w:left w:val="single" w:sz="4" w:space="0" w:color="auto"/>
              <w:bottom w:val="nil"/>
              <w:right w:val="nil"/>
            </w:tcBorders>
            <w:shd w:val="clear" w:color="auto" w:fill="auto"/>
            <w:vAlign w:val="center"/>
          </w:tcPr>
          <w:p w14:paraId="28BD2744" w14:textId="77777777" w:rsidR="00BE690A" w:rsidRPr="009C3748" w:rsidRDefault="00BE690A" w:rsidP="00931169">
            <w:pPr>
              <w:rPr>
                <w:sz w:val="18"/>
                <w:szCs w:val="18"/>
              </w:rPr>
            </w:pPr>
            <w:r w:rsidRPr="009C3748">
              <w:rPr>
                <w:sz w:val="18"/>
                <w:szCs w:val="18"/>
              </w:rPr>
              <w:t>stredné riziko</w:t>
            </w:r>
            <w:r>
              <w:rPr>
                <w:sz w:val="18"/>
                <w:szCs w:val="18"/>
              </w:rPr>
              <w:t xml:space="preserve"> – mierne riziko, ktoré je možné eliminovať realizáciou vhodných opatrení</w:t>
            </w:r>
          </w:p>
        </w:tc>
      </w:tr>
      <w:tr w:rsidR="00BE690A" w:rsidRPr="009C3748" w14:paraId="62408961" w14:textId="77777777" w:rsidTr="00BE690A">
        <w:trPr>
          <w:gridAfter w:val="1"/>
          <w:wAfter w:w="74" w:type="dxa"/>
        </w:trPr>
        <w:tc>
          <w:tcPr>
            <w:tcW w:w="1029" w:type="dxa"/>
            <w:gridSpan w:val="2"/>
            <w:tcBorders>
              <w:top w:val="single" w:sz="4" w:space="0" w:color="auto"/>
              <w:left w:val="single" w:sz="4" w:space="0" w:color="auto"/>
              <w:bottom w:val="single" w:sz="4" w:space="0" w:color="auto"/>
              <w:right w:val="single" w:sz="4" w:space="0" w:color="auto"/>
            </w:tcBorders>
            <w:shd w:val="clear" w:color="auto" w:fill="FBD4B4" w:themeFill="accent6" w:themeFillTint="66"/>
            <w:vAlign w:val="center"/>
          </w:tcPr>
          <w:p w14:paraId="164E4992" w14:textId="77777777" w:rsidR="00BE690A" w:rsidRPr="009C3748" w:rsidRDefault="00BE690A" w:rsidP="00931169">
            <w:pPr>
              <w:rPr>
                <w:sz w:val="18"/>
                <w:szCs w:val="18"/>
              </w:rPr>
            </w:pPr>
          </w:p>
        </w:tc>
        <w:tc>
          <w:tcPr>
            <w:tcW w:w="8185" w:type="dxa"/>
            <w:gridSpan w:val="6"/>
            <w:tcBorders>
              <w:top w:val="nil"/>
              <w:left w:val="single" w:sz="4" w:space="0" w:color="auto"/>
              <w:bottom w:val="nil"/>
              <w:right w:val="nil"/>
            </w:tcBorders>
            <w:shd w:val="clear" w:color="auto" w:fill="auto"/>
            <w:vAlign w:val="center"/>
          </w:tcPr>
          <w:p w14:paraId="54692F18" w14:textId="77777777" w:rsidR="00BE690A" w:rsidRPr="009C3748" w:rsidRDefault="00BE690A" w:rsidP="00931169">
            <w:pPr>
              <w:rPr>
                <w:sz w:val="18"/>
                <w:szCs w:val="18"/>
              </w:rPr>
            </w:pPr>
            <w:r w:rsidRPr="009C3748">
              <w:rPr>
                <w:sz w:val="18"/>
                <w:szCs w:val="18"/>
              </w:rPr>
              <w:t>veľké riziko</w:t>
            </w:r>
            <w:r>
              <w:rPr>
                <w:sz w:val="18"/>
                <w:szCs w:val="18"/>
              </w:rPr>
              <w:t xml:space="preserve"> – závažné riziko, ktoré je možné prijatými opatreniami zmierniť na prijateľnú úroveň</w:t>
            </w:r>
          </w:p>
        </w:tc>
      </w:tr>
      <w:tr w:rsidR="00BE690A" w:rsidRPr="009C3748" w14:paraId="1AD889BD" w14:textId="77777777" w:rsidTr="00BE690A">
        <w:trPr>
          <w:gridAfter w:val="1"/>
          <w:wAfter w:w="74" w:type="dxa"/>
        </w:trPr>
        <w:tc>
          <w:tcPr>
            <w:tcW w:w="1029" w:type="dxa"/>
            <w:gridSpan w:val="2"/>
            <w:tcBorders>
              <w:top w:val="single" w:sz="4" w:space="0" w:color="auto"/>
              <w:left w:val="single" w:sz="4" w:space="0" w:color="auto"/>
              <w:bottom w:val="single" w:sz="4" w:space="0" w:color="auto"/>
              <w:right w:val="single" w:sz="4" w:space="0" w:color="auto"/>
            </w:tcBorders>
            <w:shd w:val="clear" w:color="auto" w:fill="FFA48F"/>
            <w:vAlign w:val="center"/>
          </w:tcPr>
          <w:p w14:paraId="60E32A06" w14:textId="77777777" w:rsidR="00BE690A" w:rsidRPr="009C3748" w:rsidRDefault="00BE690A" w:rsidP="00931169">
            <w:pPr>
              <w:rPr>
                <w:sz w:val="18"/>
                <w:szCs w:val="18"/>
              </w:rPr>
            </w:pPr>
          </w:p>
        </w:tc>
        <w:tc>
          <w:tcPr>
            <w:tcW w:w="8185" w:type="dxa"/>
            <w:gridSpan w:val="6"/>
            <w:tcBorders>
              <w:top w:val="nil"/>
              <w:left w:val="single" w:sz="4" w:space="0" w:color="auto"/>
              <w:bottom w:val="nil"/>
              <w:right w:val="nil"/>
            </w:tcBorders>
            <w:shd w:val="clear" w:color="auto" w:fill="auto"/>
            <w:vAlign w:val="center"/>
          </w:tcPr>
          <w:p w14:paraId="05D01594" w14:textId="77777777" w:rsidR="00BE690A" w:rsidRPr="009C3748" w:rsidRDefault="00BE690A" w:rsidP="00931169">
            <w:pPr>
              <w:rPr>
                <w:sz w:val="18"/>
                <w:szCs w:val="18"/>
              </w:rPr>
            </w:pPr>
            <w:r w:rsidRPr="009C3748">
              <w:rPr>
                <w:sz w:val="18"/>
                <w:szCs w:val="18"/>
              </w:rPr>
              <w:t>extrémne riziko</w:t>
            </w:r>
            <w:r>
              <w:rPr>
                <w:sz w:val="18"/>
                <w:szCs w:val="18"/>
              </w:rPr>
              <w:t xml:space="preserve"> – kritické riziko, ktoré môže spôsobiť významné poškodenie projektu a vyžaduje jeho zmenu</w:t>
            </w:r>
          </w:p>
        </w:tc>
      </w:tr>
    </w:tbl>
    <w:p w14:paraId="09BFA90B" w14:textId="77777777" w:rsidR="00BE690A" w:rsidRDefault="00BE690A" w:rsidP="00931169">
      <w:bookmarkStart w:id="72" w:name="_Toc9590388"/>
    </w:p>
    <w:p w14:paraId="0028C944" w14:textId="599A2664" w:rsidR="00BE690A" w:rsidRDefault="00BE690A" w:rsidP="00931169">
      <w:pPr>
        <w:ind w:firstLine="708"/>
      </w:pPr>
      <w:r w:rsidRPr="00DF5CA6">
        <w:t>Vykonaná analýza identifikovala riziká plynúce z pôsobenia vybraných klimatických javov a stanovila viaceré úsek</w:t>
      </w:r>
      <w:r>
        <w:t>/objekty</w:t>
      </w:r>
      <w:r w:rsidRPr="00DF5CA6">
        <w:t xml:space="preserve"> žel. trate, ktoré boli v súčasnom štádiu poznania označené ako rizikové z pohľadu negatívneho pôsobenia niektorých klimatických javov</w:t>
      </w:r>
      <w:r w:rsidRPr="000D0959">
        <w:t xml:space="preserve">. </w:t>
      </w:r>
      <w:r w:rsidRPr="000D0959">
        <w:rPr>
          <w:b/>
        </w:rPr>
        <w:t>Na základe výsledkov analýzy bolo stanovené extrémne riziko pôsobenia na projekt pre klimatický jav zosuvy, veľké riziko pôsobenia pre faktor búrkové javy a stredné riziko pôsobenia pre faktory silný v</w:t>
      </w:r>
      <w:r>
        <w:rPr>
          <w:b/>
        </w:rPr>
        <w:t>i</w:t>
      </w:r>
      <w:r w:rsidRPr="000D0959">
        <w:rPr>
          <w:b/>
        </w:rPr>
        <w:t xml:space="preserve">etor a povodne. Pre tieto riziká bude preto nevyhnutné prijať </w:t>
      </w:r>
      <w:r>
        <w:rPr>
          <w:b/>
        </w:rPr>
        <w:t xml:space="preserve">konkrétne </w:t>
      </w:r>
      <w:r w:rsidRPr="000D0959">
        <w:rPr>
          <w:b/>
        </w:rPr>
        <w:t xml:space="preserve">opatrenia na ich zmiernenie a tieto dôsledne zapracovať do návrhov </w:t>
      </w:r>
      <w:r>
        <w:rPr>
          <w:b/>
        </w:rPr>
        <w:t xml:space="preserve">technického </w:t>
      </w:r>
      <w:r w:rsidRPr="000D0959">
        <w:rPr>
          <w:b/>
        </w:rPr>
        <w:t>riešenia</w:t>
      </w:r>
      <w:r>
        <w:rPr>
          <w:b/>
        </w:rPr>
        <w:t xml:space="preserve"> projektu</w:t>
      </w:r>
      <w:r w:rsidRPr="000D0959">
        <w:rPr>
          <w:b/>
        </w:rPr>
        <w:t>.</w:t>
      </w:r>
      <w:r>
        <w:t xml:space="preserve"> Pre ostatné zvažované klimatické javy bolo identifikované len nízke riziko pôsobenia na projekt, ktoré je však uplatnením vybraných navrhovaných opatrení</w:t>
      </w:r>
      <w:r w:rsidRPr="00CD313D">
        <w:t xml:space="preserve"> </w:t>
      </w:r>
      <w:r>
        <w:t>možné ešte zmierniť.</w:t>
      </w:r>
    </w:p>
    <w:p w14:paraId="37BDF29F" w14:textId="5DFC3977" w:rsidR="00BE690A" w:rsidRDefault="00BE690A" w:rsidP="00931169">
      <w:pPr>
        <w:ind w:firstLine="708"/>
        <w:rPr>
          <w:rFonts w:cstheme="minorHAnsi"/>
        </w:rPr>
      </w:pPr>
      <w:r w:rsidRPr="00F24E75">
        <w:t xml:space="preserve">Z hľadiska možného ovplyvnenia projektu </w:t>
      </w:r>
      <w:r>
        <w:t xml:space="preserve">rizikovými </w:t>
      </w:r>
      <w:r w:rsidRPr="00F24E75">
        <w:t xml:space="preserve">klimatickými javmi vykazujú jednotlivé hodnotené varianty </w:t>
      </w:r>
      <w:r w:rsidRPr="00F24E75">
        <w:rPr>
          <w:rFonts w:cstheme="minorHAnsi"/>
        </w:rPr>
        <w:t>v úseku Krásno nad Kysucou – Čadca</w:t>
      </w:r>
      <w:r>
        <w:rPr>
          <w:rFonts w:cstheme="minorHAnsi"/>
        </w:rPr>
        <w:t xml:space="preserve"> (I. etapa)</w:t>
      </w:r>
      <w:r w:rsidRPr="00F24E75">
        <w:rPr>
          <w:rFonts w:cstheme="minorHAnsi"/>
        </w:rPr>
        <w:t xml:space="preserve"> </w:t>
      </w:r>
      <w:r>
        <w:rPr>
          <w:rFonts w:cstheme="minorHAnsi"/>
        </w:rPr>
        <w:t xml:space="preserve">významné </w:t>
      </w:r>
      <w:r w:rsidRPr="00F24E75">
        <w:rPr>
          <w:rFonts w:cstheme="minorHAnsi"/>
        </w:rPr>
        <w:t xml:space="preserve">rozdiely </w:t>
      </w:r>
      <w:r>
        <w:rPr>
          <w:rFonts w:cstheme="minorHAnsi"/>
        </w:rPr>
        <w:t xml:space="preserve">predovšetkým </w:t>
      </w:r>
      <w:r w:rsidRPr="00F24E75">
        <w:rPr>
          <w:rFonts w:cstheme="minorHAnsi"/>
        </w:rPr>
        <w:t xml:space="preserve">v úsekoch </w:t>
      </w:r>
      <w:r>
        <w:rPr>
          <w:rFonts w:cstheme="minorHAnsi"/>
        </w:rPr>
        <w:t xml:space="preserve">zmien trasovania. Vyššiu odolnosť </w:t>
      </w:r>
      <w:r w:rsidRPr="001A7F03">
        <w:rPr>
          <w:rFonts w:cstheme="minorHAnsi"/>
        </w:rPr>
        <w:t>z hľadiska možného ovplyvnenia poveternostnými podmienkami</w:t>
      </w:r>
      <w:r>
        <w:rPr>
          <w:rFonts w:cstheme="minorHAnsi"/>
        </w:rPr>
        <w:t xml:space="preserve"> v tomto úseku vykazuj</w:t>
      </w:r>
      <w:r w:rsidR="003A7D4A">
        <w:rPr>
          <w:rFonts w:cstheme="minorHAnsi"/>
        </w:rPr>
        <w:t>e</w:t>
      </w:r>
      <w:r>
        <w:rPr>
          <w:rFonts w:cstheme="minorHAnsi"/>
        </w:rPr>
        <w:t xml:space="preserve"> variant</w:t>
      </w:r>
      <w:r w:rsidR="003A7D4A">
        <w:rPr>
          <w:rFonts w:cstheme="minorHAnsi"/>
        </w:rPr>
        <w:t>,</w:t>
      </w:r>
      <w:r>
        <w:rPr>
          <w:rFonts w:cstheme="minorHAnsi"/>
        </w:rPr>
        <w:t xml:space="preserve"> ktor</w:t>
      </w:r>
      <w:r w:rsidR="003A7D4A">
        <w:rPr>
          <w:rFonts w:cstheme="minorHAnsi"/>
        </w:rPr>
        <w:t>ý</w:t>
      </w:r>
      <w:r>
        <w:rPr>
          <w:rFonts w:cstheme="minorHAnsi"/>
        </w:rPr>
        <w:t xml:space="preserve"> uvažuj</w:t>
      </w:r>
      <w:r w:rsidR="003A7D4A">
        <w:rPr>
          <w:rFonts w:cstheme="minorHAnsi"/>
        </w:rPr>
        <w:t>e</w:t>
      </w:r>
      <w:r>
        <w:rPr>
          <w:rFonts w:cstheme="minorHAnsi"/>
        </w:rPr>
        <w:t xml:space="preserve"> s vedením žel. trate v tuneli (variant </w:t>
      </w:r>
      <w:r w:rsidR="00501F79">
        <w:rPr>
          <w:rFonts w:cstheme="minorHAnsi"/>
        </w:rPr>
        <w:t>B</w:t>
      </w:r>
      <w:r>
        <w:rPr>
          <w:rFonts w:cstheme="minorHAnsi"/>
        </w:rPr>
        <w:t xml:space="preserve">). Avšak z hľadiska rizikového pôsobenia klimatického javu zosuvy </w:t>
      </w:r>
      <w:r w:rsidR="003A7D4A">
        <w:rPr>
          <w:rFonts w:cstheme="minorHAnsi"/>
        </w:rPr>
        <w:t>je</w:t>
      </w:r>
      <w:r>
        <w:rPr>
          <w:rFonts w:cstheme="minorHAnsi"/>
        </w:rPr>
        <w:t xml:space="preserve"> t</w:t>
      </w:r>
      <w:r w:rsidR="003A7D4A">
        <w:rPr>
          <w:rFonts w:cstheme="minorHAnsi"/>
        </w:rPr>
        <w:t>ento</w:t>
      </w:r>
      <w:r>
        <w:rPr>
          <w:rFonts w:cstheme="minorHAnsi"/>
        </w:rPr>
        <w:t xml:space="preserve"> variant vzhľadom na nestabilné lokálne geologické podložie a očakávaný nárast intenzívnych zrážok ohrozovan</w:t>
      </w:r>
      <w:r w:rsidR="003A7D4A">
        <w:rPr>
          <w:rFonts w:cstheme="minorHAnsi"/>
        </w:rPr>
        <w:t>ý</w:t>
      </w:r>
      <w:r>
        <w:rPr>
          <w:rFonts w:cstheme="minorHAnsi"/>
        </w:rPr>
        <w:t xml:space="preserve"> vysokým rizikom vzniku svahových deformácií. Zraniteľnosť projektu voči tomuto riziku sa týka fázy stavebných prác, pre ktorú je nevyhnutné prijať opatrenia na zmiernenie uvedeného rizika.</w:t>
      </w:r>
    </w:p>
    <w:p w14:paraId="0D118B18" w14:textId="43009D5D" w:rsidR="00BE690A" w:rsidRPr="00394E21" w:rsidRDefault="00BE690A" w:rsidP="00931169">
      <w:pPr>
        <w:ind w:firstLine="708"/>
      </w:pPr>
      <w:r w:rsidRPr="00394E21">
        <w:t>V ŽST Čadca</w:t>
      </w:r>
      <w:r>
        <w:t xml:space="preserve"> (II. etapa)</w:t>
      </w:r>
      <w:r w:rsidRPr="00394E21">
        <w:t xml:space="preserve"> a</w:t>
      </w:r>
      <w:r>
        <w:t xml:space="preserve"> v </w:t>
      </w:r>
      <w:r w:rsidRPr="00394E21">
        <w:t xml:space="preserve">úseku Čadca – </w:t>
      </w:r>
      <w:r w:rsidR="003A7D4A">
        <w:t>št.hr. SR/ČR</w:t>
      </w:r>
      <w:r>
        <w:t xml:space="preserve"> (III. etapa)</w:t>
      </w:r>
      <w:r w:rsidRPr="00394E21">
        <w:t xml:space="preserve"> vykazujú varianty len minimálne rozdiely, ktoré z pohľadu odolnosti projektu voči klimatickej zmene nie sú podstatné. </w:t>
      </w:r>
    </w:p>
    <w:p w14:paraId="7511C499" w14:textId="77777777" w:rsidR="00BE690A" w:rsidRDefault="00BE690A" w:rsidP="00931169">
      <w:pPr>
        <w:pStyle w:val="Nadpis2"/>
      </w:pPr>
      <w:bookmarkStart w:id="73" w:name="_Toc24659588"/>
      <w:bookmarkStart w:id="74" w:name="_Toc24660434"/>
      <w:bookmarkStart w:id="75" w:name="_Toc24661444"/>
      <w:bookmarkStart w:id="76" w:name="_Toc88652933"/>
      <w:bookmarkEnd w:id="47"/>
      <w:bookmarkEnd w:id="72"/>
      <w:r>
        <w:t>Neurčitosti a nedostatky hodnotenia</w:t>
      </w:r>
      <w:bookmarkEnd w:id="73"/>
      <w:bookmarkEnd w:id="74"/>
      <w:bookmarkEnd w:id="75"/>
      <w:bookmarkEnd w:id="76"/>
    </w:p>
    <w:p w14:paraId="45B01A37" w14:textId="77777777" w:rsidR="00BE690A" w:rsidRPr="008D4A21" w:rsidRDefault="00BE690A" w:rsidP="00931169">
      <w:pPr>
        <w:ind w:firstLine="708"/>
      </w:pPr>
      <w:r>
        <w:t xml:space="preserve">Vykonané generalizované hodnotenie sa opieralo predovšetkým o verejne dostupné dáta a podklady, ktoré sú uvedené pri jednotlivých krokoch hodnotenia, spracovanie sa opieralo o odborné názory projektantov z príslušných technických oblastí. Pri hodnotení </w:t>
      </w:r>
      <w:r>
        <w:lastRenderedPageBreak/>
        <w:t xml:space="preserve">neboli dostupné špecifické dátové vrstvy od  MŽP SR a jeho odborných organizácií, ktoré by poskytli dáta vo vyššej podrobnosti, rovnako tak neboli k dispozícii scenáre vývoja klímy spracované priamo pre riešené územie. </w:t>
      </w:r>
      <w:r w:rsidRPr="00372F5F">
        <w:t xml:space="preserve">Napriek uvedenému je možné vykonané hodnotenie považovať za dostatočné a výpovedné pre daný stupeň prípravy projektu, sumarizované závery sú využiteľné pre vzájomné porovnanie hodnotených variantov. </w:t>
      </w:r>
      <w:r>
        <w:t xml:space="preserve">Identifikované konštrukčné a prevádzkové riziká projektu vrátane návrhu opatrení na ich vylúčenie a zmiernenie je možné využiť ako východisko pre detailný návrh technického riešenia vybraného variantu v ďalšom stupni vývoja projektu.  </w:t>
      </w:r>
    </w:p>
    <w:p w14:paraId="0FEA9AE8" w14:textId="77777777" w:rsidR="00BE690A" w:rsidRPr="009F06D2" w:rsidRDefault="00BE690A" w:rsidP="00931169">
      <w:pPr>
        <w:pStyle w:val="Nadpis2"/>
      </w:pPr>
      <w:bookmarkStart w:id="77" w:name="_Toc24659589"/>
      <w:bookmarkStart w:id="78" w:name="_Toc24660435"/>
      <w:bookmarkStart w:id="79" w:name="_Toc24661445"/>
      <w:bookmarkStart w:id="80" w:name="_Toc88652934"/>
      <w:r w:rsidRPr="009F06D2">
        <w:t>Využité zdroje</w:t>
      </w:r>
      <w:bookmarkEnd w:id="77"/>
      <w:bookmarkEnd w:id="78"/>
      <w:bookmarkEnd w:id="79"/>
      <w:bookmarkEnd w:id="80"/>
    </w:p>
    <w:p w14:paraId="3645717A" w14:textId="77777777" w:rsidR="00BE690A" w:rsidRPr="00C41AE6" w:rsidRDefault="00BE690A" w:rsidP="00931169">
      <w:pPr>
        <w:keepNext/>
        <w:numPr>
          <w:ilvl w:val="0"/>
          <w:numId w:val="42"/>
        </w:numPr>
        <w:suppressAutoHyphens/>
        <w:ind w:left="714" w:hanging="357"/>
      </w:pPr>
      <w:r>
        <w:t>CAD-ECO a.s., 2012: Záverečná správa z podrobného inžinierskogeologického prieskumu ŽSR Modernizácia železničnej trate Krásno nad Kysucou (mimo) – Čadca – štátna hranica SR/ČR na rýchlosť do 160 km/h.</w:t>
      </w:r>
    </w:p>
    <w:p w14:paraId="211F1BD4" w14:textId="77777777" w:rsidR="00BE690A" w:rsidRPr="009F06D2" w:rsidRDefault="00BE690A" w:rsidP="00931169">
      <w:pPr>
        <w:numPr>
          <w:ilvl w:val="0"/>
          <w:numId w:val="42"/>
        </w:numPr>
        <w:suppressAutoHyphens/>
        <w:ind w:left="714" w:hanging="357"/>
      </w:pPr>
      <w:r w:rsidRPr="00F81DD8">
        <w:rPr>
          <w:rFonts w:cs="Calibri"/>
        </w:rPr>
        <w:t>EC DG Climate Action, 2009</w:t>
      </w:r>
      <w:r>
        <w:rPr>
          <w:rFonts w:cs="Calibri"/>
        </w:rPr>
        <w:t xml:space="preserve">: </w:t>
      </w:r>
      <w:r w:rsidRPr="00F81DD8">
        <w:t xml:space="preserve">Non-paper </w:t>
      </w:r>
      <w:r w:rsidRPr="00F81DD8">
        <w:rPr>
          <w:rFonts w:cs="Calibri"/>
        </w:rPr>
        <w:t>Guidelines for Project Managers: Making vulnerable investments climate resilient</w:t>
      </w:r>
    </w:p>
    <w:p w14:paraId="417B6AEF" w14:textId="77777777" w:rsidR="00BE690A" w:rsidRPr="009F06D2" w:rsidRDefault="00BE690A" w:rsidP="00931169">
      <w:pPr>
        <w:numPr>
          <w:ilvl w:val="0"/>
          <w:numId w:val="42"/>
        </w:numPr>
        <w:suppressAutoHyphens/>
        <w:ind w:left="714" w:hanging="357"/>
      </w:pPr>
      <w:r w:rsidRPr="00F81DD8">
        <w:rPr>
          <w:rFonts w:cs="Calibri"/>
        </w:rPr>
        <w:t xml:space="preserve">EC DG Climate </w:t>
      </w:r>
      <w:r w:rsidRPr="00732BB8">
        <w:rPr>
          <w:rFonts w:cs="Calibri"/>
        </w:rPr>
        <w:t>Action, 2016</w:t>
      </w:r>
      <w:r>
        <w:rPr>
          <w:rFonts w:cs="Calibri"/>
        </w:rPr>
        <w:t>:</w:t>
      </w:r>
      <w:r w:rsidRPr="009F06D2">
        <w:rPr>
          <w:rFonts w:cs="Calibri"/>
        </w:rPr>
        <w:t xml:space="preserve"> </w:t>
      </w:r>
      <w:r w:rsidRPr="00F81DD8">
        <w:rPr>
          <w:rFonts w:cs="Calibri"/>
        </w:rPr>
        <w:t>Climate Change and Major Projects</w:t>
      </w:r>
    </w:p>
    <w:p w14:paraId="36C22146" w14:textId="77777777" w:rsidR="00BE690A" w:rsidRDefault="00BE690A" w:rsidP="00931169">
      <w:pPr>
        <w:numPr>
          <w:ilvl w:val="0"/>
          <w:numId w:val="42"/>
        </w:numPr>
        <w:suppressAutoHyphens/>
        <w:ind w:left="714" w:hanging="357"/>
      </w:pPr>
      <w:r>
        <w:t>EC JRC, 2012: Impacts of Climate Change on Transport: A focus on road and rail transport infrastructures</w:t>
      </w:r>
    </w:p>
    <w:p w14:paraId="50835B16" w14:textId="77777777" w:rsidR="00BE690A" w:rsidRDefault="00BE690A" w:rsidP="00931169">
      <w:pPr>
        <w:numPr>
          <w:ilvl w:val="0"/>
          <w:numId w:val="42"/>
        </w:numPr>
        <w:suppressAutoHyphens/>
        <w:ind w:left="714" w:hanging="357"/>
      </w:pPr>
      <w:r>
        <w:t xml:space="preserve">EEA Report, 2017: Climate change, impacts and vulnerability in Europe 2016 </w:t>
      </w:r>
    </w:p>
    <w:p w14:paraId="5A4A40F8" w14:textId="77777777" w:rsidR="00BE690A" w:rsidRPr="009F06D2" w:rsidRDefault="00BE690A" w:rsidP="00931169">
      <w:pPr>
        <w:numPr>
          <w:ilvl w:val="0"/>
          <w:numId w:val="42"/>
        </w:numPr>
        <w:suppressAutoHyphens/>
        <w:ind w:left="714" w:hanging="357"/>
      </w:pPr>
      <w:r w:rsidRPr="00F81DD8">
        <w:rPr>
          <w:rFonts w:cs="Calibri"/>
        </w:rPr>
        <w:t>JASPERS Guidance Note, 2017</w:t>
      </w:r>
      <w:r>
        <w:rPr>
          <w:rFonts w:cs="Calibri"/>
        </w:rPr>
        <w:t>:</w:t>
      </w:r>
      <w:r w:rsidRPr="009F06D2">
        <w:rPr>
          <w:rFonts w:cs="Calibri"/>
        </w:rPr>
        <w:t xml:space="preserve"> </w:t>
      </w:r>
      <w:r w:rsidRPr="00F81DD8">
        <w:rPr>
          <w:rFonts w:cs="Calibri"/>
        </w:rPr>
        <w:t>The Basics of Climate Change Adaptation Vulnerability and Risk Assessment</w:t>
      </w:r>
    </w:p>
    <w:p w14:paraId="6DAB4C19" w14:textId="77777777" w:rsidR="00BE690A" w:rsidRDefault="00BE690A" w:rsidP="00931169">
      <w:pPr>
        <w:numPr>
          <w:ilvl w:val="0"/>
          <w:numId w:val="42"/>
        </w:numPr>
        <w:suppressAutoHyphens/>
      </w:pPr>
      <w:r>
        <w:t>Miňďaš a kol., 2011:</w:t>
      </w:r>
      <w:r w:rsidRPr="009F06D2">
        <w:t xml:space="preserve"> </w:t>
      </w:r>
      <w:r>
        <w:t>Dôsledky klimatickej zmeny a možné adaptačné opatrenia v jednotlivých sektoroch</w:t>
      </w:r>
      <w:r w:rsidRPr="0012779D">
        <w:t xml:space="preserve"> </w:t>
      </w:r>
    </w:p>
    <w:p w14:paraId="5F934B66" w14:textId="77777777" w:rsidR="00BE690A" w:rsidRPr="009F06D2" w:rsidRDefault="00BE690A" w:rsidP="00931169">
      <w:pPr>
        <w:numPr>
          <w:ilvl w:val="0"/>
          <w:numId w:val="42"/>
        </w:numPr>
        <w:suppressAutoHyphens/>
      </w:pPr>
      <w:r>
        <w:t>MŽP SR, 2018:</w:t>
      </w:r>
      <w:r w:rsidRPr="009F06D2">
        <w:t xml:space="preserve"> </w:t>
      </w:r>
      <w:r>
        <w:t>Stratégia adaptácie Slovenskej republiky na nepriaznivé dôsledky zmeny klímy - aktualizácia</w:t>
      </w:r>
    </w:p>
    <w:p w14:paraId="30C06CAF" w14:textId="77777777" w:rsidR="00BE690A" w:rsidRDefault="00BE690A" w:rsidP="00931169">
      <w:pPr>
        <w:numPr>
          <w:ilvl w:val="0"/>
          <w:numId w:val="42"/>
        </w:numPr>
        <w:suppressAutoHyphens/>
      </w:pPr>
      <w:r>
        <w:rPr>
          <w:rFonts w:cs="Calibri"/>
        </w:rPr>
        <w:t>VÚD, 2018: Metodická príručka posudzovania dopadov zmeny klímy na veľké projekty v sektore doprava</w:t>
      </w:r>
    </w:p>
    <w:p w14:paraId="61164D3D" w14:textId="77777777" w:rsidR="00BE690A" w:rsidRPr="00B85311" w:rsidRDefault="00BE690A" w:rsidP="00931169">
      <w:pPr>
        <w:numPr>
          <w:ilvl w:val="0"/>
          <w:numId w:val="42"/>
        </w:numPr>
        <w:suppressAutoHyphens/>
      </w:pPr>
      <w:r w:rsidRPr="00B85311">
        <w:t>údaje z evidencie mimoriadnych udalostí ŽSR (ŽSR OR Žilina - list č. 414/2019/ORZA zo dňa 19.6.2019 a ŽSR GR, Odbor oznamovacej a zabezpečovacej techniky a elektrotechniky list č.</w:t>
      </w:r>
      <w:r>
        <w:t xml:space="preserve"> 27142/2019/O460-1 zo dň</w:t>
      </w:r>
      <w:r w:rsidRPr="00B85311">
        <w:t>a 13.6.2019)</w:t>
      </w:r>
    </w:p>
    <w:p w14:paraId="2F9E0AEE" w14:textId="77777777" w:rsidR="00BE690A" w:rsidRPr="00CD313D" w:rsidRDefault="00BE690A" w:rsidP="00931169">
      <w:pPr>
        <w:numPr>
          <w:ilvl w:val="0"/>
          <w:numId w:val="42"/>
        </w:numPr>
        <w:suppressAutoHyphens/>
        <w:rPr>
          <w:rFonts w:cs="Calibri"/>
          <w:u w:val="single"/>
        </w:rPr>
      </w:pPr>
      <w:r w:rsidRPr="009F06D2">
        <w:t>www.shmu.sk</w:t>
      </w:r>
      <w:r>
        <w:t xml:space="preserve">, </w:t>
      </w:r>
      <w:r w:rsidRPr="0012779D">
        <w:t>www.klimat.shmu.sk</w:t>
      </w:r>
      <w:r>
        <w:t xml:space="preserve">, </w:t>
      </w:r>
      <w:r w:rsidRPr="0012779D">
        <w:t>www.vuvh.sk</w:t>
      </w:r>
      <w:r>
        <w:t xml:space="preserve">, </w:t>
      </w:r>
      <w:r w:rsidRPr="009F06D2">
        <w:t>www.minzp.sk</w:t>
      </w:r>
      <w:r>
        <w:t xml:space="preserve">, </w:t>
      </w:r>
      <w:r w:rsidRPr="00CD313D">
        <w:t>www.geology.sk</w:t>
      </w:r>
    </w:p>
    <w:p w14:paraId="5D162A45" w14:textId="77777777" w:rsidR="00BE690A" w:rsidRDefault="00BE690A" w:rsidP="00931169">
      <w:pPr>
        <w:pStyle w:val="Nadpis2"/>
      </w:pPr>
      <w:bookmarkStart w:id="81" w:name="_Toc24659590"/>
      <w:bookmarkStart w:id="82" w:name="_Toc24660436"/>
      <w:bookmarkStart w:id="83" w:name="_Toc24661446"/>
      <w:bookmarkStart w:id="84" w:name="_Toc88652935"/>
      <w:r>
        <w:t>Navrhované adaptačné opatrenia pre zmiernenie rizík vyplývajúcich z klimatickej zmeny</w:t>
      </w:r>
      <w:bookmarkEnd w:id="81"/>
      <w:bookmarkEnd w:id="82"/>
      <w:bookmarkEnd w:id="83"/>
      <w:bookmarkEnd w:id="84"/>
    </w:p>
    <w:tbl>
      <w:tblPr>
        <w:tblStyle w:val="Mriekatabuky"/>
        <w:tblW w:w="0" w:type="auto"/>
        <w:tblLayout w:type="fixed"/>
        <w:tblLook w:val="04A0" w:firstRow="1" w:lastRow="0" w:firstColumn="1" w:lastColumn="0" w:noHBand="0" w:noVBand="1"/>
      </w:tblPr>
      <w:tblGrid>
        <w:gridCol w:w="1555"/>
        <w:gridCol w:w="7788"/>
      </w:tblGrid>
      <w:tr w:rsidR="00BE690A" w:rsidRPr="00CD313D" w14:paraId="51CBBDDA" w14:textId="77777777" w:rsidTr="00BE690A">
        <w:tc>
          <w:tcPr>
            <w:tcW w:w="1555" w:type="dxa"/>
          </w:tcPr>
          <w:p w14:paraId="366082CB" w14:textId="77777777" w:rsidR="00BE690A" w:rsidRPr="00CD313D" w:rsidRDefault="00BE690A" w:rsidP="00931169">
            <w:pPr>
              <w:rPr>
                <w:rFonts w:cs="Calibri"/>
                <w:b/>
                <w:sz w:val="18"/>
                <w:szCs w:val="16"/>
              </w:rPr>
            </w:pPr>
            <w:r w:rsidRPr="007A16A5">
              <w:rPr>
                <w:rFonts w:cs="Calibri"/>
                <w:b/>
                <w:sz w:val="18"/>
                <w:szCs w:val="16"/>
              </w:rPr>
              <w:t>Rizikový klimatický jav</w:t>
            </w:r>
          </w:p>
        </w:tc>
        <w:tc>
          <w:tcPr>
            <w:tcW w:w="7788" w:type="dxa"/>
          </w:tcPr>
          <w:p w14:paraId="2F86648A" w14:textId="77777777" w:rsidR="00BE690A" w:rsidRPr="00CD313D" w:rsidRDefault="00BE690A" w:rsidP="00931169">
            <w:pPr>
              <w:rPr>
                <w:rFonts w:cs="Calibri"/>
                <w:b/>
                <w:sz w:val="18"/>
                <w:szCs w:val="16"/>
              </w:rPr>
            </w:pPr>
            <w:r w:rsidRPr="00CD313D">
              <w:rPr>
                <w:rFonts w:cs="Calibri"/>
                <w:b/>
                <w:sz w:val="18"/>
                <w:szCs w:val="16"/>
              </w:rPr>
              <w:t>Opatrenia</w:t>
            </w:r>
          </w:p>
        </w:tc>
      </w:tr>
      <w:tr w:rsidR="00BE690A" w:rsidRPr="00CD313D" w14:paraId="393FF557" w14:textId="77777777" w:rsidTr="00BE690A">
        <w:tc>
          <w:tcPr>
            <w:tcW w:w="1555" w:type="dxa"/>
          </w:tcPr>
          <w:p w14:paraId="103F251F" w14:textId="77777777" w:rsidR="00BE690A" w:rsidRPr="00CD313D" w:rsidRDefault="00BE690A" w:rsidP="00931169">
            <w:pPr>
              <w:rPr>
                <w:rFonts w:cs="Calibri"/>
                <w:sz w:val="18"/>
                <w:szCs w:val="16"/>
              </w:rPr>
            </w:pPr>
            <w:r>
              <w:rPr>
                <w:rFonts w:cs="Calibri"/>
                <w:sz w:val="18"/>
                <w:szCs w:val="16"/>
              </w:rPr>
              <w:t>Silný vietor</w:t>
            </w:r>
          </w:p>
        </w:tc>
        <w:tc>
          <w:tcPr>
            <w:tcW w:w="7788" w:type="dxa"/>
          </w:tcPr>
          <w:p w14:paraId="617FD054" w14:textId="77777777" w:rsidR="00BE690A" w:rsidRPr="00E67474" w:rsidRDefault="00BE690A" w:rsidP="00931169">
            <w:pPr>
              <w:pStyle w:val="Odsekzoznamu"/>
              <w:numPr>
                <w:ilvl w:val="0"/>
                <w:numId w:val="37"/>
              </w:numPr>
              <w:spacing w:after="0" w:line="240" w:lineRule="auto"/>
              <w:ind w:left="175" w:hanging="175"/>
              <w:jc w:val="both"/>
              <w:rPr>
                <w:rFonts w:ascii="Calibri" w:hAnsi="Calibri" w:cs="Calibri"/>
                <w:b/>
                <w:sz w:val="16"/>
                <w:szCs w:val="16"/>
                <w:lang w:val="sk-SK"/>
              </w:rPr>
            </w:pPr>
            <w:r w:rsidRPr="00E67474">
              <w:rPr>
                <w:rFonts w:ascii="Calibri" w:hAnsi="Calibri" w:cs="Calibri"/>
                <w:b/>
                <w:sz w:val="16"/>
                <w:szCs w:val="16"/>
                <w:lang w:val="sk-SK"/>
              </w:rPr>
              <w:t>Pre zmiernenie rizika pádov vetiev a konárov na trať a trakčné vedenie v dôsledku pôsobenia silných vetrov odporúčame zrealizovať výrub drevín v bezprostrednej blízkosti trate, minimálne v rizikových úsekoch.</w:t>
            </w:r>
          </w:p>
          <w:p w14:paraId="7F681DF3" w14:textId="77777777" w:rsidR="00BE690A" w:rsidRPr="00E67474" w:rsidRDefault="00BE690A" w:rsidP="00931169">
            <w:pPr>
              <w:pStyle w:val="Odsekzoznamu"/>
              <w:numPr>
                <w:ilvl w:val="0"/>
                <w:numId w:val="37"/>
              </w:numPr>
              <w:spacing w:after="0" w:line="240" w:lineRule="auto"/>
              <w:ind w:left="175" w:hanging="175"/>
              <w:jc w:val="both"/>
              <w:rPr>
                <w:rFonts w:ascii="Calibri" w:hAnsi="Calibri" w:cs="Calibri"/>
                <w:b/>
                <w:sz w:val="16"/>
                <w:szCs w:val="16"/>
                <w:lang w:val="sk-SK"/>
              </w:rPr>
            </w:pPr>
            <w:r w:rsidRPr="00E67474">
              <w:rPr>
                <w:rFonts w:ascii="Calibri" w:hAnsi="Calibri" w:cs="Calibri"/>
                <w:b/>
                <w:sz w:val="16"/>
                <w:szCs w:val="16"/>
                <w:lang w:val="sk-SK"/>
              </w:rPr>
              <w:t xml:space="preserve">Počas prevádzky zabezpečiť pravidelnú údržbu vzrastlých stromov nachádzajúcich sa v blízkosti žel. trate v zmysle predpisu Op18 Kontrola vegetácie v obvode dráhy ŽSR. </w:t>
            </w:r>
          </w:p>
          <w:p w14:paraId="5851E1A5" w14:textId="77777777" w:rsidR="00BE690A" w:rsidRDefault="00BE690A" w:rsidP="00931169">
            <w:pPr>
              <w:pStyle w:val="Odsekzoznamu"/>
              <w:numPr>
                <w:ilvl w:val="0"/>
                <w:numId w:val="37"/>
              </w:numPr>
              <w:spacing w:after="0" w:line="240" w:lineRule="auto"/>
              <w:ind w:left="175" w:hanging="175"/>
              <w:jc w:val="both"/>
              <w:rPr>
                <w:rFonts w:ascii="Calibri" w:hAnsi="Calibri" w:cs="Calibri"/>
                <w:sz w:val="16"/>
                <w:szCs w:val="16"/>
                <w:lang w:val="sk-SK"/>
              </w:rPr>
            </w:pPr>
            <w:r w:rsidRPr="00F62269">
              <w:rPr>
                <w:rFonts w:ascii="Calibri" w:hAnsi="Calibri" w:cs="Calibri"/>
                <w:sz w:val="16"/>
                <w:szCs w:val="16"/>
                <w:lang w:val="sk-SK"/>
              </w:rPr>
              <w:t xml:space="preserve">Navrhované mostné objekty resp. mosty určené na rekonštrukciu dimenzovať na zaťaženie vetrom podľa príslušných noriem. </w:t>
            </w:r>
          </w:p>
          <w:p w14:paraId="584A6635" w14:textId="77777777" w:rsidR="00BE690A" w:rsidRPr="00CD313D" w:rsidRDefault="00BE690A" w:rsidP="00931169">
            <w:pPr>
              <w:pStyle w:val="Odsekzoznamu"/>
              <w:numPr>
                <w:ilvl w:val="0"/>
                <w:numId w:val="37"/>
              </w:numPr>
              <w:spacing w:after="0" w:line="240" w:lineRule="auto"/>
              <w:ind w:left="175" w:hanging="175"/>
              <w:jc w:val="both"/>
              <w:rPr>
                <w:rFonts w:ascii="Calibri" w:hAnsi="Calibri" w:cs="Calibri"/>
                <w:sz w:val="16"/>
                <w:szCs w:val="16"/>
                <w:lang w:val="sk-SK"/>
              </w:rPr>
            </w:pPr>
            <w:r w:rsidRPr="00CD313D">
              <w:rPr>
                <w:rFonts w:ascii="Calibri" w:hAnsi="Calibri" w:cs="Calibri"/>
                <w:sz w:val="16"/>
                <w:szCs w:val="16"/>
                <w:lang w:val="sk-SK"/>
              </w:rPr>
              <w:t>Zaistiť bezpečnosť žel. prevádzky záložnými zdrojmi el. energie pre prípad krátkodobých výpadkov el. energie.</w:t>
            </w:r>
          </w:p>
        </w:tc>
      </w:tr>
      <w:tr w:rsidR="00BE690A" w:rsidRPr="00CD313D" w14:paraId="3BC330FF" w14:textId="77777777" w:rsidTr="00BE690A">
        <w:tc>
          <w:tcPr>
            <w:tcW w:w="1555" w:type="dxa"/>
          </w:tcPr>
          <w:p w14:paraId="65B3EEA2" w14:textId="77777777" w:rsidR="00BE690A" w:rsidRPr="00CD313D" w:rsidRDefault="00BE690A" w:rsidP="00931169">
            <w:pPr>
              <w:rPr>
                <w:rFonts w:cs="Calibri"/>
                <w:sz w:val="18"/>
                <w:szCs w:val="16"/>
              </w:rPr>
            </w:pPr>
            <w:r>
              <w:rPr>
                <w:rFonts w:cs="Calibri"/>
                <w:sz w:val="18"/>
                <w:szCs w:val="16"/>
              </w:rPr>
              <w:lastRenderedPageBreak/>
              <w:t>Silné dažde</w:t>
            </w:r>
          </w:p>
        </w:tc>
        <w:tc>
          <w:tcPr>
            <w:tcW w:w="7788" w:type="dxa"/>
          </w:tcPr>
          <w:p w14:paraId="42D6A97F" w14:textId="77777777" w:rsidR="00BE690A" w:rsidRPr="00D0040F" w:rsidRDefault="00BE690A" w:rsidP="00931169">
            <w:pPr>
              <w:pStyle w:val="Odsekzoznamu"/>
              <w:numPr>
                <w:ilvl w:val="0"/>
                <w:numId w:val="37"/>
              </w:numPr>
              <w:spacing w:after="0" w:line="240" w:lineRule="auto"/>
              <w:ind w:left="175" w:hanging="142"/>
              <w:jc w:val="both"/>
              <w:rPr>
                <w:rFonts w:ascii="Calibri" w:hAnsi="Calibri" w:cs="Calibri"/>
                <w:b/>
                <w:sz w:val="16"/>
                <w:szCs w:val="16"/>
                <w:lang w:val="sk-SK"/>
              </w:rPr>
            </w:pPr>
            <w:r w:rsidRPr="00D0040F">
              <w:rPr>
                <w:rFonts w:ascii="Calibri" w:hAnsi="Calibri" w:cs="Calibri"/>
                <w:b/>
                <w:sz w:val="16"/>
                <w:szCs w:val="16"/>
                <w:lang w:val="sk-SK"/>
              </w:rPr>
              <w:t xml:space="preserve">Pri budovaní nového žel. spodku alebo v prípade budovania jeho nových konštrukčných vrstiev zabezpečiť drenážny systém pre odvodnenie zemnej pláne. </w:t>
            </w:r>
          </w:p>
          <w:p w14:paraId="40315583" w14:textId="77777777" w:rsidR="00BE690A" w:rsidRPr="00D0040F" w:rsidRDefault="00BE690A" w:rsidP="00931169">
            <w:pPr>
              <w:pStyle w:val="Odsekzoznamu"/>
              <w:numPr>
                <w:ilvl w:val="0"/>
                <w:numId w:val="37"/>
              </w:numPr>
              <w:spacing w:after="0" w:line="240" w:lineRule="auto"/>
              <w:ind w:left="175" w:hanging="142"/>
              <w:jc w:val="both"/>
              <w:rPr>
                <w:rFonts w:ascii="Calibri" w:hAnsi="Calibri" w:cs="Calibri"/>
                <w:b/>
                <w:sz w:val="16"/>
                <w:szCs w:val="16"/>
                <w:lang w:val="sk-SK"/>
              </w:rPr>
            </w:pPr>
            <w:r w:rsidRPr="00D0040F">
              <w:rPr>
                <w:rFonts w:ascii="Calibri" w:hAnsi="Calibri" w:cs="Calibri"/>
                <w:b/>
                <w:sz w:val="16"/>
                <w:szCs w:val="16"/>
                <w:lang w:val="sk-SK"/>
              </w:rPr>
              <w:t xml:space="preserve">V úsekoch vedených pri aktívnych resp. potenciálnych zosuvoch vykonať ich sanáciu a preveriť vhodnosť navrhovaného technického riešenia z hľadiska možnej aktivizácie svahových pohybov. V prípade potreby navrhnúť vhodné opatrenia. </w:t>
            </w:r>
          </w:p>
          <w:p w14:paraId="3FAA5D67" w14:textId="77777777" w:rsidR="00BE690A" w:rsidRPr="009B74C8"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9B74C8">
              <w:rPr>
                <w:rFonts w:ascii="Calibri" w:hAnsi="Calibri" w:cs="Calibri"/>
                <w:sz w:val="16"/>
                <w:szCs w:val="16"/>
                <w:lang w:val="sk-SK"/>
              </w:rPr>
              <w:t xml:space="preserve">Počas prevádzky svahové kužele a riečiská preklenutých vodných tokov pravidelne čistiť od nánosov štrku a náletovej vegetácie pre umožnenie plnohodnotnej funkčnosti objektov v prípade potreby prevádzať vodu. </w:t>
            </w:r>
          </w:p>
          <w:p w14:paraId="05CE17F5" w14:textId="77777777" w:rsidR="00BE690A" w:rsidRPr="009B74C8"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Pr>
                <w:rFonts w:ascii="Calibri" w:hAnsi="Calibri" w:cs="Calibri"/>
                <w:sz w:val="16"/>
                <w:szCs w:val="16"/>
                <w:lang w:val="sk-SK"/>
              </w:rPr>
              <w:t xml:space="preserve">Pre navrhované tunelové objekty v úseku Krásno nad Kysucou – Čadca realizovať prieskumné dielo a vypracovať hydraulický model a v zmysle ich výsledkov prijať potrebné opatrenia. Stavebné práce realizovať pod odborným geologickým dohľadom, dôsledne zabezpečiť hydroizoláciu tunelov v zmysle platných noriem a dbať na dostatočné dimenzovanie kapacity systému </w:t>
            </w:r>
            <w:r w:rsidRPr="009B74C8">
              <w:rPr>
                <w:rFonts w:ascii="Calibri" w:hAnsi="Calibri" w:cs="Calibri"/>
                <w:sz w:val="16"/>
                <w:szCs w:val="16"/>
                <w:lang w:val="sk-SK"/>
              </w:rPr>
              <w:t>ich odvodnenia. Pre včasnú identifikáciu nepriaznivej situácie a možnosť rýchlej reakcie inštalovať v objektoch tunelov v úseku krásno nad Kysucou – Čadca kamerový systém.</w:t>
            </w:r>
          </w:p>
          <w:p w14:paraId="4E79B5D2"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9B74C8">
              <w:rPr>
                <w:rFonts w:ascii="Calibri" w:hAnsi="Calibri" w:cs="Calibri"/>
                <w:sz w:val="16"/>
                <w:szCs w:val="16"/>
                <w:lang w:val="sk-SK"/>
              </w:rPr>
              <w:t xml:space="preserve">Dbať na dostatočnosť prietokových kapacít </w:t>
            </w:r>
            <w:r w:rsidRPr="00CD313D">
              <w:rPr>
                <w:rFonts w:ascii="Calibri" w:hAnsi="Calibri" w:cs="Calibri"/>
                <w:sz w:val="16"/>
                <w:szCs w:val="16"/>
                <w:lang w:val="sk-SK"/>
              </w:rPr>
              <w:t>navrhovaných systémov odvádzania vôd z povrchového odtoku</w:t>
            </w:r>
            <w:r w:rsidRPr="009B74C8">
              <w:rPr>
                <w:rFonts w:ascii="Calibri" w:hAnsi="Calibri" w:cs="Calibri"/>
                <w:sz w:val="16"/>
                <w:szCs w:val="16"/>
                <w:lang w:val="sk-SK"/>
              </w:rPr>
              <w:t xml:space="preserve"> podchodov v staniciach a na zastávkach.</w:t>
            </w:r>
            <w:r w:rsidRPr="00CD313D">
              <w:rPr>
                <w:rFonts w:ascii="Calibri" w:hAnsi="Calibri" w:cs="Calibri"/>
                <w:sz w:val="16"/>
                <w:szCs w:val="16"/>
                <w:lang w:val="sk-SK"/>
              </w:rPr>
              <w:t xml:space="preserve"> </w:t>
            </w:r>
          </w:p>
          <w:p w14:paraId="2E410C63"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9B74C8">
              <w:rPr>
                <w:rFonts w:ascii="Calibri" w:hAnsi="Calibri" w:cs="Calibri"/>
                <w:sz w:val="16"/>
                <w:szCs w:val="16"/>
                <w:lang w:val="sk-SK"/>
              </w:rPr>
              <w:t xml:space="preserve">V prípade potreby na vybraných úsekoch zabezpečiť umiestnenie ochranných prvkov na kanalizačné vpuste pre zníženie rizika ich upchatia. </w:t>
            </w:r>
          </w:p>
          <w:p w14:paraId="1084F64D" w14:textId="77777777" w:rsidR="00BE690A"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9B74C8">
              <w:rPr>
                <w:rFonts w:ascii="Calibri" w:hAnsi="Calibri" w:cs="Calibri"/>
                <w:sz w:val="16"/>
                <w:szCs w:val="16"/>
                <w:lang w:val="sk-SK"/>
              </w:rPr>
              <w:t xml:space="preserve">Počas prevádzky žel. trate zabezpečiť pravidelnú údržbu kanalizačných systémov, predovšetkým v objektoch tunelov v úseku Krásno nad Kysucou- Čadca a podchodov. </w:t>
            </w:r>
          </w:p>
          <w:p w14:paraId="57E9B4A0"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Na nástupištia zastávok a staníc inštalovať prístrešky pre cestujúcich zabezpečujúce ochranu pred nepriaznivými poveternostnými vplyvmi.</w:t>
            </w:r>
          </w:p>
        </w:tc>
      </w:tr>
      <w:tr w:rsidR="00BE690A" w:rsidRPr="00CD313D" w14:paraId="06922892" w14:textId="77777777" w:rsidTr="00BE690A">
        <w:tc>
          <w:tcPr>
            <w:tcW w:w="1555" w:type="dxa"/>
          </w:tcPr>
          <w:p w14:paraId="4A3B7C6E" w14:textId="77777777" w:rsidR="00BE690A" w:rsidRPr="00CD313D" w:rsidRDefault="00BE690A" w:rsidP="00931169">
            <w:pPr>
              <w:rPr>
                <w:rFonts w:cs="Calibri"/>
                <w:sz w:val="18"/>
                <w:szCs w:val="16"/>
              </w:rPr>
            </w:pPr>
            <w:r>
              <w:rPr>
                <w:rFonts w:cs="Calibri"/>
                <w:sz w:val="18"/>
                <w:szCs w:val="16"/>
              </w:rPr>
              <w:t>Vysoké teploty</w:t>
            </w:r>
          </w:p>
        </w:tc>
        <w:tc>
          <w:tcPr>
            <w:tcW w:w="7788" w:type="dxa"/>
          </w:tcPr>
          <w:p w14:paraId="672160F9"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Pr>
                <w:rFonts w:ascii="Calibri" w:hAnsi="Calibri" w:cs="Calibri"/>
                <w:sz w:val="16"/>
                <w:szCs w:val="16"/>
                <w:lang w:val="sk-SK"/>
              </w:rPr>
              <w:t>V prípade potreby umiestniť zariadenia oznamovacej a zabezpečovacej techniky do tepelne izolovaných priestorov s klimatizačnými jednotkami, ktoré udržia požadované vnútorné teploty el. zariadení v prevádzkových hodnotách.</w:t>
            </w:r>
          </w:p>
        </w:tc>
      </w:tr>
      <w:tr w:rsidR="00BE690A" w:rsidRPr="00CD313D" w14:paraId="3F28FA92" w14:textId="77777777" w:rsidTr="00BE690A">
        <w:tc>
          <w:tcPr>
            <w:tcW w:w="1555" w:type="dxa"/>
          </w:tcPr>
          <w:p w14:paraId="302B2309" w14:textId="77777777" w:rsidR="00BE690A" w:rsidRDefault="00BE690A" w:rsidP="00931169">
            <w:pPr>
              <w:rPr>
                <w:rFonts w:cs="Calibri"/>
                <w:sz w:val="18"/>
                <w:szCs w:val="16"/>
              </w:rPr>
            </w:pPr>
            <w:r>
              <w:rPr>
                <w:rFonts w:cs="Calibri"/>
                <w:sz w:val="18"/>
                <w:szCs w:val="16"/>
              </w:rPr>
              <w:t>Snehové javy</w:t>
            </w:r>
          </w:p>
        </w:tc>
        <w:tc>
          <w:tcPr>
            <w:tcW w:w="7788" w:type="dxa"/>
          </w:tcPr>
          <w:p w14:paraId="01EBDA61"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Navrhované stavebné konštrukcie je potrebné dimenzovať na dynamické zaťaženie snehom v zmysle platných noriem.</w:t>
            </w:r>
          </w:p>
          <w:p w14:paraId="50256100"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Pre prechádzanie dopravných obmedzení inštalovať na vybraných úsekoch elektrický ohrev výhybiek.</w:t>
            </w:r>
          </w:p>
          <w:p w14:paraId="45072BD2" w14:textId="77777777" w:rsidR="00BE690A"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Rešpektovať počas prevádzky trate predpis ŽSR Op 17 Železničná prevádzka v zimných podmienkach.</w:t>
            </w:r>
          </w:p>
        </w:tc>
      </w:tr>
      <w:tr w:rsidR="00BE690A" w:rsidRPr="00CD313D" w14:paraId="13FE5BA6" w14:textId="77777777" w:rsidTr="00BE690A">
        <w:tc>
          <w:tcPr>
            <w:tcW w:w="1555" w:type="dxa"/>
          </w:tcPr>
          <w:p w14:paraId="2221805E" w14:textId="77777777" w:rsidR="00BE690A" w:rsidRDefault="00BE690A" w:rsidP="00931169">
            <w:pPr>
              <w:rPr>
                <w:rFonts w:cs="Calibri"/>
                <w:sz w:val="18"/>
                <w:szCs w:val="16"/>
              </w:rPr>
            </w:pPr>
            <w:r>
              <w:rPr>
                <w:rFonts w:cs="Calibri"/>
                <w:sz w:val="18"/>
                <w:szCs w:val="16"/>
              </w:rPr>
              <w:t>Námrazové javy</w:t>
            </w:r>
          </w:p>
        </w:tc>
        <w:tc>
          <w:tcPr>
            <w:tcW w:w="7788" w:type="dxa"/>
          </w:tcPr>
          <w:p w14:paraId="7A465B01"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Pre prechádzanie dopravných obmedzení inštalovať na vybraných úsekoch elektrický ohrev výhybiek.</w:t>
            </w:r>
          </w:p>
          <w:p w14:paraId="781E32CA"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Pri výstavbe resp. prestavbe žel. spodku zriadiť ochrannú vrstvu proti premŕzaniu.</w:t>
            </w:r>
          </w:p>
          <w:p w14:paraId="398F7249"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Pr>
                <w:rFonts w:ascii="Calibri" w:hAnsi="Calibri" w:cs="Calibri"/>
                <w:sz w:val="16"/>
                <w:szCs w:val="16"/>
                <w:lang w:val="sk-SK"/>
              </w:rPr>
              <w:t xml:space="preserve">V prípade potreby na vybraných úsekoch trate </w:t>
            </w:r>
            <w:r w:rsidRPr="00CD313D">
              <w:rPr>
                <w:rFonts w:ascii="Calibri" w:hAnsi="Calibri" w:cs="Calibri"/>
                <w:sz w:val="16"/>
                <w:szCs w:val="16"/>
                <w:lang w:val="sk-SK"/>
              </w:rPr>
              <w:t xml:space="preserve">inštalovať meteorologické stanice na predpovedanie rizika vzniku námrazy na trakčnom vedení. </w:t>
            </w:r>
          </w:p>
          <w:p w14:paraId="4F201A95"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 xml:space="preserve">Rešpektovať </w:t>
            </w:r>
            <w:r w:rsidRPr="00252AC7">
              <w:rPr>
                <w:rFonts w:ascii="Calibri" w:hAnsi="Calibri" w:cs="Calibri"/>
                <w:sz w:val="16"/>
                <w:szCs w:val="16"/>
                <w:lang w:val="sk-SK"/>
              </w:rPr>
              <w:t xml:space="preserve">počas prevádzky trate </w:t>
            </w:r>
            <w:r w:rsidRPr="00CD313D">
              <w:rPr>
                <w:rFonts w:ascii="Calibri" w:hAnsi="Calibri" w:cs="Calibri"/>
                <w:sz w:val="16"/>
                <w:szCs w:val="16"/>
                <w:lang w:val="sk-SK"/>
              </w:rPr>
              <w:t xml:space="preserve">predpis ŽSR Op 17 Železničná prevádzka v zimných podmienkach. </w:t>
            </w:r>
          </w:p>
          <w:p w14:paraId="1DA8AB96" w14:textId="77777777" w:rsidR="00BE690A" w:rsidRPr="00CD313D"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 xml:space="preserve">Počas mrazových období </w:t>
            </w:r>
            <w:r>
              <w:rPr>
                <w:rFonts w:ascii="Calibri" w:hAnsi="Calibri" w:cs="Calibri"/>
                <w:sz w:val="16"/>
                <w:szCs w:val="16"/>
                <w:lang w:val="sk-SK"/>
              </w:rPr>
              <w:t>z</w:t>
            </w:r>
            <w:r w:rsidRPr="00CD313D">
              <w:rPr>
                <w:rFonts w:ascii="Calibri" w:hAnsi="Calibri" w:cs="Calibri"/>
                <w:sz w:val="16"/>
                <w:szCs w:val="16"/>
                <w:lang w:val="sk-SK"/>
              </w:rPr>
              <w:t>abezpečiť pravidelnú kontrolu tratí pracovníkmi na trati príp. ultrazvukovou defektoskopiou.</w:t>
            </w:r>
          </w:p>
          <w:p w14:paraId="6ACB4AB8" w14:textId="77777777" w:rsidR="00BE690A" w:rsidRDefault="00BE690A" w:rsidP="00931169">
            <w:pPr>
              <w:pStyle w:val="Odsekzoznamu"/>
              <w:numPr>
                <w:ilvl w:val="0"/>
                <w:numId w:val="37"/>
              </w:numPr>
              <w:spacing w:after="0" w:line="240" w:lineRule="auto"/>
              <w:ind w:left="175" w:hanging="142"/>
              <w:jc w:val="both"/>
              <w:rPr>
                <w:rFonts w:ascii="Calibri" w:hAnsi="Calibri" w:cs="Calibri"/>
                <w:sz w:val="16"/>
                <w:szCs w:val="16"/>
                <w:lang w:val="sk-SK"/>
              </w:rPr>
            </w:pPr>
            <w:r w:rsidRPr="00CD313D">
              <w:rPr>
                <w:rFonts w:ascii="Calibri" w:hAnsi="Calibri" w:cs="Calibri"/>
                <w:sz w:val="16"/>
                <w:szCs w:val="16"/>
                <w:lang w:val="sk-SK"/>
              </w:rPr>
              <w:t>Prípadnú námrazu na trakčnom vedení odstraňovať mechanicky príp. metódou skratového obvodu trakčného vedenia medzi dvoma napájacími stanicami.</w:t>
            </w:r>
          </w:p>
        </w:tc>
      </w:tr>
      <w:tr w:rsidR="00BE690A" w:rsidRPr="00CD313D" w14:paraId="1378CEBD" w14:textId="77777777" w:rsidTr="00BE690A">
        <w:tc>
          <w:tcPr>
            <w:tcW w:w="1555" w:type="dxa"/>
          </w:tcPr>
          <w:p w14:paraId="200EAAE0" w14:textId="77777777" w:rsidR="00BE690A" w:rsidRPr="00CD313D" w:rsidRDefault="00BE690A" w:rsidP="00931169">
            <w:pPr>
              <w:rPr>
                <w:rFonts w:cs="Calibri"/>
                <w:sz w:val="18"/>
                <w:szCs w:val="16"/>
              </w:rPr>
            </w:pPr>
            <w:r>
              <w:rPr>
                <w:rFonts w:cs="Calibri"/>
                <w:sz w:val="18"/>
                <w:szCs w:val="16"/>
              </w:rPr>
              <w:t>Búrkové javy</w:t>
            </w:r>
          </w:p>
        </w:tc>
        <w:tc>
          <w:tcPr>
            <w:tcW w:w="7788" w:type="dxa"/>
          </w:tcPr>
          <w:p w14:paraId="6DBE165C" w14:textId="77777777" w:rsidR="00BE690A" w:rsidRPr="006B6C41" w:rsidRDefault="00BE690A" w:rsidP="00931169">
            <w:pPr>
              <w:pStyle w:val="Odsekzoznamu"/>
              <w:numPr>
                <w:ilvl w:val="0"/>
                <w:numId w:val="46"/>
              </w:numPr>
              <w:spacing w:after="0" w:line="240" w:lineRule="auto"/>
              <w:ind w:left="169" w:hanging="169"/>
              <w:jc w:val="both"/>
              <w:rPr>
                <w:rFonts w:ascii="Calibri" w:hAnsi="Calibri" w:cs="Calibri"/>
                <w:sz w:val="16"/>
                <w:szCs w:val="16"/>
              </w:rPr>
            </w:pPr>
            <w:r w:rsidRPr="006B6C41">
              <w:rPr>
                <w:rFonts w:ascii="Calibri" w:hAnsi="Calibri" w:cs="Calibri"/>
                <w:sz w:val="16"/>
                <w:szCs w:val="16"/>
              </w:rPr>
              <w:t>Keďže búrkové javy sprevádzajú silné dažde</w:t>
            </w:r>
            <w:r>
              <w:rPr>
                <w:rFonts w:ascii="Calibri" w:hAnsi="Calibri" w:cs="Calibri"/>
                <w:sz w:val="16"/>
                <w:szCs w:val="16"/>
                <w:lang w:val="sk-SK"/>
              </w:rPr>
              <w:t xml:space="preserve"> a silné vetry</w:t>
            </w:r>
            <w:r w:rsidRPr="006B6C41">
              <w:rPr>
                <w:rFonts w:ascii="Calibri" w:hAnsi="Calibri" w:cs="Calibri"/>
                <w:sz w:val="16"/>
                <w:szCs w:val="16"/>
              </w:rPr>
              <w:t xml:space="preserve">, odporúčame zvážiť všetky opatrenia navrhované pre </w:t>
            </w:r>
            <w:r>
              <w:rPr>
                <w:rFonts w:ascii="Calibri" w:hAnsi="Calibri" w:cs="Calibri"/>
                <w:sz w:val="16"/>
                <w:szCs w:val="16"/>
                <w:lang w:val="sk-SK"/>
              </w:rPr>
              <w:t>tieto klimatické javy.</w:t>
            </w:r>
          </w:p>
          <w:p w14:paraId="306CB019" w14:textId="77777777" w:rsidR="00BE690A" w:rsidRPr="00E67474" w:rsidRDefault="00BE690A" w:rsidP="00931169">
            <w:pPr>
              <w:pStyle w:val="Odsekzoznamu"/>
              <w:numPr>
                <w:ilvl w:val="0"/>
                <w:numId w:val="37"/>
              </w:numPr>
              <w:spacing w:after="0" w:line="240" w:lineRule="auto"/>
              <w:ind w:left="176" w:hanging="142"/>
              <w:jc w:val="both"/>
              <w:rPr>
                <w:rFonts w:ascii="Calibri" w:hAnsi="Calibri" w:cs="Calibri"/>
                <w:b/>
                <w:sz w:val="16"/>
                <w:szCs w:val="16"/>
              </w:rPr>
            </w:pPr>
            <w:r w:rsidRPr="00E67474">
              <w:rPr>
                <w:rFonts w:ascii="Calibri" w:hAnsi="Calibri" w:cs="Calibri"/>
                <w:b/>
                <w:sz w:val="16"/>
                <w:szCs w:val="16"/>
              </w:rPr>
              <w:t>Zvýšiť odolnosť technologických zariadení voči prepätiam rôznych druhov použitím prepäťových ochrán v zmysle odporúčaní, predpisov a nariadení výrobcu.</w:t>
            </w:r>
          </w:p>
          <w:p w14:paraId="54AC7F7B" w14:textId="77777777" w:rsidR="00BE690A" w:rsidRPr="00E67474" w:rsidRDefault="00BE690A" w:rsidP="00931169">
            <w:pPr>
              <w:pStyle w:val="Odsekzoznamu"/>
              <w:numPr>
                <w:ilvl w:val="0"/>
                <w:numId w:val="37"/>
              </w:numPr>
              <w:spacing w:after="0" w:line="240" w:lineRule="auto"/>
              <w:ind w:left="176" w:hanging="142"/>
              <w:jc w:val="both"/>
              <w:rPr>
                <w:rFonts w:ascii="Calibri" w:hAnsi="Calibri" w:cs="Calibri"/>
                <w:b/>
                <w:sz w:val="16"/>
                <w:szCs w:val="16"/>
              </w:rPr>
            </w:pPr>
            <w:r w:rsidRPr="00E67474">
              <w:rPr>
                <w:rFonts w:ascii="Calibri" w:hAnsi="Calibri" w:cs="Calibri"/>
                <w:b/>
                <w:sz w:val="16"/>
                <w:szCs w:val="16"/>
              </w:rPr>
              <w:t>Zabezpečiť ochranu elektrických zariadení proti atmosférickým vplyvom inštaláciou bleskozvodov a prepäťových ochrán.</w:t>
            </w:r>
          </w:p>
          <w:p w14:paraId="78A367B3" w14:textId="77777777" w:rsidR="00BE690A" w:rsidRPr="00E67474" w:rsidRDefault="00BE690A" w:rsidP="00931169">
            <w:pPr>
              <w:pStyle w:val="Odsekzoznamu"/>
              <w:numPr>
                <w:ilvl w:val="0"/>
                <w:numId w:val="37"/>
              </w:numPr>
              <w:spacing w:after="0" w:line="240" w:lineRule="auto"/>
              <w:ind w:left="175" w:hanging="142"/>
              <w:jc w:val="both"/>
              <w:rPr>
                <w:rFonts w:ascii="Calibri" w:hAnsi="Calibri" w:cs="Calibri"/>
                <w:b/>
                <w:sz w:val="16"/>
                <w:szCs w:val="16"/>
              </w:rPr>
            </w:pPr>
            <w:r w:rsidRPr="00E67474">
              <w:rPr>
                <w:rFonts w:ascii="Calibri" w:hAnsi="Calibri" w:cs="Calibri"/>
                <w:b/>
                <w:sz w:val="16"/>
                <w:szCs w:val="16"/>
              </w:rPr>
              <w:t>Zaistiť bezpečnosť žel. prevádzky záložnými zdrojmi el. energie pre prípad krátkodobých výpadkov el. energie.</w:t>
            </w:r>
          </w:p>
          <w:p w14:paraId="2FCE2BF3" w14:textId="77777777" w:rsidR="00BE690A" w:rsidRPr="00E67474" w:rsidRDefault="00BE690A" w:rsidP="00931169">
            <w:pPr>
              <w:pStyle w:val="Odsekzoznamu"/>
              <w:numPr>
                <w:ilvl w:val="0"/>
                <w:numId w:val="37"/>
              </w:numPr>
              <w:spacing w:after="0" w:line="240" w:lineRule="auto"/>
              <w:ind w:left="175" w:hanging="142"/>
              <w:jc w:val="both"/>
              <w:rPr>
                <w:rFonts w:ascii="Calibri" w:hAnsi="Calibri" w:cs="Calibri"/>
                <w:b/>
                <w:sz w:val="16"/>
                <w:szCs w:val="16"/>
              </w:rPr>
            </w:pPr>
            <w:r w:rsidRPr="00E67474">
              <w:rPr>
                <w:rFonts w:ascii="Calibri" w:hAnsi="Calibri" w:cs="Calibri"/>
                <w:b/>
                <w:sz w:val="16"/>
                <w:szCs w:val="16"/>
              </w:rPr>
              <w:t>Zabezpečiť dodávku el. energie pre zabezpečovacie zariadenia ako pre žel. zariadenia 1. kategórie dôležitosti v zmysle STN 37 6605.</w:t>
            </w:r>
          </w:p>
        </w:tc>
      </w:tr>
      <w:tr w:rsidR="00BE690A" w:rsidRPr="00CD313D" w14:paraId="3ACD293A" w14:textId="77777777" w:rsidTr="00BE690A">
        <w:tc>
          <w:tcPr>
            <w:tcW w:w="1555" w:type="dxa"/>
          </w:tcPr>
          <w:p w14:paraId="1C9FEAC0" w14:textId="77777777" w:rsidR="00BE690A" w:rsidRDefault="00BE690A" w:rsidP="00931169">
            <w:pPr>
              <w:rPr>
                <w:rFonts w:cs="Calibri"/>
                <w:sz w:val="18"/>
                <w:szCs w:val="16"/>
              </w:rPr>
            </w:pPr>
            <w:r>
              <w:rPr>
                <w:rFonts w:cs="Calibri"/>
                <w:sz w:val="18"/>
                <w:szCs w:val="16"/>
              </w:rPr>
              <w:t>Povodne</w:t>
            </w:r>
          </w:p>
        </w:tc>
        <w:tc>
          <w:tcPr>
            <w:tcW w:w="7788" w:type="dxa"/>
          </w:tcPr>
          <w:p w14:paraId="3DFD832B" w14:textId="77777777" w:rsidR="00BE690A" w:rsidRPr="00E67474" w:rsidRDefault="00BE690A" w:rsidP="00931169">
            <w:pPr>
              <w:pStyle w:val="Odsekzoznamu"/>
              <w:numPr>
                <w:ilvl w:val="0"/>
                <w:numId w:val="37"/>
              </w:numPr>
              <w:spacing w:after="0" w:line="240" w:lineRule="auto"/>
              <w:ind w:left="176" w:hanging="142"/>
              <w:jc w:val="both"/>
              <w:rPr>
                <w:rFonts w:ascii="Calibri" w:hAnsi="Calibri" w:cs="Calibri"/>
                <w:b/>
                <w:sz w:val="16"/>
                <w:szCs w:val="16"/>
              </w:rPr>
            </w:pPr>
            <w:r w:rsidRPr="00E67474">
              <w:rPr>
                <w:rFonts w:ascii="Calibri" w:hAnsi="Calibri" w:cs="Calibri"/>
                <w:b/>
                <w:sz w:val="16"/>
                <w:szCs w:val="16"/>
              </w:rPr>
              <w:t xml:space="preserve">Pri budovaní nového žel. spodku alebo v prípade budovania jeho nových konštrukčných vrstiev zabezpečiť drenážny systém pre odvodnenie zemnej pláne. </w:t>
            </w:r>
          </w:p>
          <w:p w14:paraId="419DE409" w14:textId="77777777" w:rsidR="00BE690A" w:rsidRPr="00E67474" w:rsidRDefault="00BE690A" w:rsidP="00931169">
            <w:pPr>
              <w:pStyle w:val="Odsekzoznamu"/>
              <w:numPr>
                <w:ilvl w:val="0"/>
                <w:numId w:val="37"/>
              </w:numPr>
              <w:spacing w:after="0" w:line="240" w:lineRule="auto"/>
              <w:ind w:left="176" w:hanging="142"/>
              <w:jc w:val="both"/>
              <w:rPr>
                <w:rFonts w:ascii="Calibri" w:hAnsi="Calibri" w:cs="Calibri"/>
                <w:b/>
                <w:sz w:val="16"/>
                <w:szCs w:val="16"/>
              </w:rPr>
            </w:pPr>
            <w:r w:rsidRPr="00E67474">
              <w:rPr>
                <w:rFonts w:ascii="Calibri" w:hAnsi="Calibri" w:cs="Calibri"/>
                <w:b/>
                <w:sz w:val="16"/>
                <w:szCs w:val="16"/>
              </w:rPr>
              <w:t>Pri rekonštrukcii/stavbe mostných objektov ponad vodné toky preveriť dostatočnosť nivelety koľaje pre prípadnú kolíziu s rizikovými prietokmi a mosty dimenzovať s dostatočnou kapacitou na prevedenie záplavovej vody.</w:t>
            </w:r>
          </w:p>
          <w:p w14:paraId="6141F7D2" w14:textId="77777777" w:rsidR="00BE690A" w:rsidRDefault="00BE690A" w:rsidP="00931169">
            <w:pPr>
              <w:pStyle w:val="Odsekzoznamu"/>
              <w:numPr>
                <w:ilvl w:val="0"/>
                <w:numId w:val="37"/>
              </w:numPr>
              <w:spacing w:after="0" w:line="240" w:lineRule="auto"/>
              <w:ind w:left="176" w:hanging="142"/>
              <w:jc w:val="both"/>
              <w:rPr>
                <w:rFonts w:ascii="Calibri" w:hAnsi="Calibri" w:cs="Calibri"/>
                <w:sz w:val="16"/>
                <w:szCs w:val="16"/>
                <w:lang w:val="sk-SK"/>
              </w:rPr>
            </w:pPr>
            <w:r w:rsidRPr="0068610C">
              <w:rPr>
                <w:rFonts w:ascii="Calibri" w:hAnsi="Calibri" w:cs="Calibri"/>
                <w:sz w:val="16"/>
                <w:szCs w:val="16"/>
              </w:rPr>
              <w:t>Počas prevádzky svahové kužele a riečiská preklenutých vodných tokov pravidelne čistiť od nánosov štrku a náletovej vegetácie pre umožnenie plnohodnotnej funkčnosti objektov v prípade potreby prevádzať vodu.</w:t>
            </w:r>
          </w:p>
        </w:tc>
      </w:tr>
      <w:tr w:rsidR="00BE690A" w:rsidRPr="00CD313D" w14:paraId="2BA17C71" w14:textId="77777777" w:rsidTr="00BE690A">
        <w:tc>
          <w:tcPr>
            <w:tcW w:w="1555" w:type="dxa"/>
          </w:tcPr>
          <w:p w14:paraId="6BB36C29" w14:textId="77777777" w:rsidR="00BE690A" w:rsidRDefault="00BE690A" w:rsidP="00931169">
            <w:pPr>
              <w:rPr>
                <w:rFonts w:cs="Calibri"/>
                <w:sz w:val="18"/>
                <w:szCs w:val="16"/>
              </w:rPr>
            </w:pPr>
            <w:r>
              <w:rPr>
                <w:rFonts w:cs="Calibri"/>
                <w:sz w:val="18"/>
                <w:szCs w:val="16"/>
              </w:rPr>
              <w:t>Zosuvy</w:t>
            </w:r>
          </w:p>
        </w:tc>
        <w:tc>
          <w:tcPr>
            <w:tcW w:w="7788" w:type="dxa"/>
          </w:tcPr>
          <w:p w14:paraId="5D4955C8" w14:textId="77777777" w:rsidR="00BE690A" w:rsidRDefault="00BE690A" w:rsidP="00931169">
            <w:pPr>
              <w:pStyle w:val="Odsekzoznamu"/>
              <w:numPr>
                <w:ilvl w:val="0"/>
                <w:numId w:val="46"/>
              </w:numPr>
              <w:spacing w:after="0" w:line="240" w:lineRule="auto"/>
              <w:ind w:left="169" w:hanging="169"/>
              <w:jc w:val="both"/>
              <w:rPr>
                <w:rFonts w:ascii="Calibri" w:hAnsi="Calibri" w:cs="Calibri"/>
                <w:sz w:val="16"/>
                <w:szCs w:val="16"/>
              </w:rPr>
            </w:pPr>
            <w:r w:rsidRPr="0068610C">
              <w:rPr>
                <w:rFonts w:ascii="Calibri" w:hAnsi="Calibri" w:cs="Calibri"/>
                <w:sz w:val="16"/>
                <w:szCs w:val="16"/>
              </w:rPr>
              <w:t xml:space="preserve">Pri budovaní nového žel. spodku alebo v prípade budovania jeho nových konštrukčných vrstiev zabezpečiť drenážny systém pre odvodnenie zemnej pláne. </w:t>
            </w:r>
          </w:p>
          <w:p w14:paraId="616CC148" w14:textId="77777777" w:rsidR="00BE690A" w:rsidRPr="001A7F03" w:rsidRDefault="00BE690A" w:rsidP="00931169">
            <w:pPr>
              <w:pStyle w:val="Odsekzoznamu"/>
              <w:numPr>
                <w:ilvl w:val="0"/>
                <w:numId w:val="46"/>
              </w:numPr>
              <w:spacing w:after="0" w:line="240" w:lineRule="auto"/>
              <w:ind w:left="169" w:hanging="169"/>
              <w:jc w:val="both"/>
              <w:rPr>
                <w:rFonts w:ascii="Calibri" w:hAnsi="Calibri" w:cs="Calibri"/>
                <w:b/>
                <w:sz w:val="16"/>
                <w:szCs w:val="16"/>
                <w:lang w:val="sk-SK"/>
              </w:rPr>
            </w:pPr>
            <w:r w:rsidRPr="001A7F03">
              <w:rPr>
                <w:rFonts w:ascii="Calibri" w:hAnsi="Calibri" w:cs="Calibri"/>
                <w:b/>
                <w:sz w:val="16"/>
                <w:szCs w:val="16"/>
                <w:lang w:val="sk-SK"/>
              </w:rPr>
              <w:t>V úseku Svrčinovec – štátna hranica zabezpečiť stabilitu päty svahu vhodnými technickými opatreniami v kombinácii s povrchovým a hĺbkovým odvodnením územia.</w:t>
            </w:r>
          </w:p>
          <w:p w14:paraId="243FC904" w14:textId="77777777" w:rsidR="00BE690A" w:rsidRPr="001A7F03" w:rsidRDefault="00BE690A" w:rsidP="00931169">
            <w:pPr>
              <w:pStyle w:val="Odsekzoznamu"/>
              <w:numPr>
                <w:ilvl w:val="0"/>
                <w:numId w:val="46"/>
              </w:numPr>
              <w:spacing w:after="0" w:line="240" w:lineRule="auto"/>
              <w:ind w:left="169" w:hanging="169"/>
              <w:jc w:val="both"/>
              <w:rPr>
                <w:rFonts w:ascii="Calibri" w:hAnsi="Calibri" w:cs="Calibri"/>
                <w:b/>
                <w:sz w:val="16"/>
                <w:szCs w:val="16"/>
              </w:rPr>
            </w:pPr>
            <w:r w:rsidRPr="001A7F03">
              <w:rPr>
                <w:rFonts w:ascii="Calibri" w:hAnsi="Calibri" w:cs="Calibri"/>
                <w:b/>
                <w:sz w:val="16"/>
                <w:szCs w:val="16"/>
              </w:rPr>
              <w:t>Prípadné riziko zosuvov je potrebné v rámci technických návrhov zohľadniť, rizikové svahy resp. násypy stabilizovať vegetačnými</w:t>
            </w:r>
            <w:r>
              <w:rPr>
                <w:rFonts w:ascii="Calibri" w:hAnsi="Calibri" w:cs="Calibri"/>
                <w:b/>
                <w:sz w:val="16"/>
                <w:szCs w:val="16"/>
                <w:lang w:val="sk-SK"/>
              </w:rPr>
              <w:t xml:space="preserve"> alebo protieróznymi</w:t>
            </w:r>
            <w:r w:rsidRPr="001A7F03">
              <w:rPr>
                <w:rFonts w:ascii="Calibri" w:hAnsi="Calibri" w:cs="Calibri"/>
                <w:b/>
                <w:sz w:val="16"/>
                <w:szCs w:val="16"/>
              </w:rPr>
              <w:t xml:space="preserve"> úpravami príp. geotechnickými konštrukciami (opornými a zárubnými múrmi).</w:t>
            </w:r>
          </w:p>
          <w:p w14:paraId="3E0F5A79" w14:textId="77777777" w:rsidR="00BE690A" w:rsidRDefault="00BE690A" w:rsidP="00931169">
            <w:pPr>
              <w:pStyle w:val="Odsekzoznamu"/>
              <w:numPr>
                <w:ilvl w:val="0"/>
                <w:numId w:val="46"/>
              </w:numPr>
              <w:spacing w:after="0" w:line="240" w:lineRule="auto"/>
              <w:ind w:left="169" w:hanging="169"/>
              <w:jc w:val="both"/>
              <w:rPr>
                <w:rFonts w:ascii="Calibri" w:hAnsi="Calibri" w:cs="Calibri"/>
                <w:sz w:val="16"/>
                <w:szCs w:val="16"/>
                <w:lang w:val="sk-SK"/>
              </w:rPr>
            </w:pPr>
            <w:r>
              <w:rPr>
                <w:rFonts w:ascii="Calibri" w:hAnsi="Calibri" w:cs="Calibri"/>
                <w:sz w:val="16"/>
                <w:szCs w:val="16"/>
                <w:lang w:val="sk-SK"/>
              </w:rPr>
              <w:t xml:space="preserve">Na základe výsledkov podrobného </w:t>
            </w:r>
            <w:r w:rsidRPr="00337285">
              <w:rPr>
                <w:rFonts w:ascii="Calibri" w:hAnsi="Calibri" w:cs="Calibri"/>
                <w:sz w:val="16"/>
                <w:szCs w:val="16"/>
                <w:lang w:val="sk-SK"/>
              </w:rPr>
              <w:t>inžinierskogeologick</w:t>
            </w:r>
            <w:r>
              <w:rPr>
                <w:rFonts w:ascii="Calibri" w:hAnsi="Calibri" w:cs="Calibri"/>
                <w:sz w:val="16"/>
                <w:szCs w:val="16"/>
                <w:lang w:val="sk-SK"/>
              </w:rPr>
              <w:t>ého</w:t>
            </w:r>
            <w:r w:rsidRPr="00337285">
              <w:rPr>
                <w:rFonts w:ascii="Calibri" w:hAnsi="Calibri" w:cs="Calibri"/>
                <w:sz w:val="16"/>
                <w:szCs w:val="16"/>
                <w:lang w:val="sk-SK"/>
              </w:rPr>
              <w:t xml:space="preserve"> prieskum</w:t>
            </w:r>
            <w:r>
              <w:rPr>
                <w:rFonts w:ascii="Calibri" w:hAnsi="Calibri" w:cs="Calibri"/>
                <w:sz w:val="16"/>
                <w:szCs w:val="16"/>
                <w:lang w:val="sk-SK"/>
              </w:rPr>
              <w:t>u</w:t>
            </w:r>
            <w:r w:rsidRPr="00337285">
              <w:rPr>
                <w:rFonts w:ascii="Calibri" w:hAnsi="Calibri" w:cs="Calibri"/>
                <w:sz w:val="16"/>
                <w:szCs w:val="16"/>
                <w:lang w:val="sk-SK"/>
              </w:rPr>
              <w:t xml:space="preserve"> </w:t>
            </w:r>
            <w:r>
              <w:rPr>
                <w:rFonts w:ascii="Calibri" w:hAnsi="Calibri" w:cs="Calibri"/>
                <w:sz w:val="16"/>
                <w:szCs w:val="16"/>
                <w:lang w:val="sk-SK"/>
              </w:rPr>
              <w:t>preveriť</w:t>
            </w:r>
            <w:r w:rsidRPr="00337285">
              <w:rPr>
                <w:rFonts w:ascii="Calibri" w:hAnsi="Calibri" w:cs="Calibri"/>
                <w:sz w:val="16"/>
                <w:szCs w:val="16"/>
                <w:lang w:val="sk-SK"/>
              </w:rPr>
              <w:t xml:space="preserve"> stabilit</w:t>
            </w:r>
            <w:r>
              <w:rPr>
                <w:rFonts w:ascii="Calibri" w:hAnsi="Calibri" w:cs="Calibri"/>
                <w:sz w:val="16"/>
                <w:szCs w:val="16"/>
                <w:lang w:val="sk-SK"/>
              </w:rPr>
              <w:t>u</w:t>
            </w:r>
            <w:r w:rsidRPr="00337285">
              <w:rPr>
                <w:rFonts w:ascii="Calibri" w:hAnsi="Calibri" w:cs="Calibri"/>
                <w:sz w:val="16"/>
                <w:szCs w:val="16"/>
                <w:lang w:val="sk-SK"/>
              </w:rPr>
              <w:t xml:space="preserve"> podložia</w:t>
            </w:r>
            <w:r>
              <w:rPr>
                <w:rFonts w:ascii="Calibri" w:hAnsi="Calibri" w:cs="Calibri"/>
                <w:sz w:val="16"/>
                <w:szCs w:val="16"/>
                <w:lang w:val="sk-SK"/>
              </w:rPr>
              <w:t xml:space="preserve"> a v</w:t>
            </w:r>
            <w:r w:rsidRPr="00337285">
              <w:rPr>
                <w:rFonts w:ascii="Calibri" w:hAnsi="Calibri" w:cs="Calibri"/>
                <w:sz w:val="16"/>
                <w:szCs w:val="16"/>
                <w:lang w:val="sk-SK"/>
              </w:rPr>
              <w:t xml:space="preserve"> prípade nepriaznivej inžinierskogeologickej </w:t>
            </w:r>
            <w:r>
              <w:rPr>
                <w:rFonts w:ascii="Calibri" w:hAnsi="Calibri" w:cs="Calibri"/>
                <w:sz w:val="16"/>
                <w:szCs w:val="16"/>
                <w:lang w:val="sk-SK"/>
              </w:rPr>
              <w:t xml:space="preserve">a hydrogeologickej </w:t>
            </w:r>
            <w:r w:rsidRPr="00337285">
              <w:rPr>
                <w:rFonts w:ascii="Calibri" w:hAnsi="Calibri" w:cs="Calibri"/>
                <w:sz w:val="16"/>
                <w:szCs w:val="16"/>
                <w:lang w:val="sk-SK"/>
              </w:rPr>
              <w:t xml:space="preserve">stavby zabezpečiť </w:t>
            </w:r>
            <w:r>
              <w:rPr>
                <w:rFonts w:ascii="Calibri" w:hAnsi="Calibri" w:cs="Calibri"/>
                <w:sz w:val="16"/>
                <w:szCs w:val="16"/>
                <w:lang w:val="sk-SK"/>
              </w:rPr>
              <w:t>vhodné</w:t>
            </w:r>
            <w:r w:rsidRPr="00337285">
              <w:rPr>
                <w:rFonts w:ascii="Calibri" w:hAnsi="Calibri" w:cs="Calibri"/>
                <w:sz w:val="16"/>
                <w:szCs w:val="16"/>
                <w:lang w:val="sk-SK"/>
              </w:rPr>
              <w:t xml:space="preserve"> zakladanie </w:t>
            </w:r>
            <w:r>
              <w:rPr>
                <w:rFonts w:ascii="Calibri" w:hAnsi="Calibri" w:cs="Calibri"/>
                <w:sz w:val="16"/>
                <w:szCs w:val="16"/>
                <w:lang w:val="sk-SK"/>
              </w:rPr>
              <w:t xml:space="preserve">mostných </w:t>
            </w:r>
            <w:r w:rsidRPr="00337285">
              <w:rPr>
                <w:rFonts w:ascii="Calibri" w:hAnsi="Calibri" w:cs="Calibri"/>
                <w:sz w:val="16"/>
                <w:szCs w:val="16"/>
                <w:lang w:val="sk-SK"/>
              </w:rPr>
              <w:t>objektov.</w:t>
            </w:r>
          </w:p>
          <w:p w14:paraId="6E0E9A63" w14:textId="77777777" w:rsidR="00BE690A" w:rsidRPr="001A7F03" w:rsidRDefault="00BE690A" w:rsidP="00931169">
            <w:pPr>
              <w:pStyle w:val="Odsekzoznamu"/>
              <w:numPr>
                <w:ilvl w:val="0"/>
                <w:numId w:val="46"/>
              </w:numPr>
              <w:spacing w:after="0" w:line="240" w:lineRule="auto"/>
              <w:ind w:left="169" w:hanging="169"/>
              <w:jc w:val="both"/>
              <w:rPr>
                <w:rFonts w:ascii="Calibri" w:hAnsi="Calibri" w:cs="Calibri"/>
                <w:b/>
                <w:sz w:val="16"/>
                <w:szCs w:val="16"/>
                <w:lang w:val="sk-SK"/>
              </w:rPr>
            </w:pPr>
            <w:r w:rsidRPr="001A7F03">
              <w:rPr>
                <w:rFonts w:ascii="Calibri" w:hAnsi="Calibri" w:cs="Calibri"/>
                <w:b/>
                <w:sz w:val="16"/>
                <w:szCs w:val="16"/>
                <w:lang w:val="sk-SK"/>
              </w:rPr>
              <w:t>Vzhľadom na zložitosť geologického podložia oblasti realizovať v miestach budovania tunelov doplnkový IG prieskum prieskumnou štôlňou s komplexným geotechnickým  a hydrogeologickým monitoringom.</w:t>
            </w:r>
          </w:p>
          <w:p w14:paraId="4145BE47" w14:textId="77777777" w:rsidR="00BE690A" w:rsidRPr="001A7F03" w:rsidRDefault="00BE690A" w:rsidP="00931169">
            <w:pPr>
              <w:pStyle w:val="Odsekzoznamu"/>
              <w:numPr>
                <w:ilvl w:val="0"/>
                <w:numId w:val="46"/>
              </w:numPr>
              <w:spacing w:after="0" w:line="240" w:lineRule="auto"/>
              <w:ind w:left="169" w:hanging="169"/>
              <w:jc w:val="both"/>
              <w:rPr>
                <w:rFonts w:ascii="Calibri" w:hAnsi="Calibri" w:cs="Calibri"/>
                <w:b/>
                <w:sz w:val="16"/>
                <w:szCs w:val="16"/>
                <w:lang w:val="sk-SK"/>
              </w:rPr>
            </w:pPr>
            <w:r w:rsidRPr="001A7F03">
              <w:rPr>
                <w:rFonts w:ascii="Calibri" w:hAnsi="Calibri" w:cs="Calibri"/>
                <w:b/>
                <w:sz w:val="16"/>
                <w:szCs w:val="16"/>
                <w:lang w:val="sk-SK"/>
              </w:rPr>
              <w:t>Stavebné práce na tuneloch, pri zakladaní objektov a v úsekoch trasovania trate v zosuvnom území realizovať pod odborným geologickým dohľadom.</w:t>
            </w:r>
          </w:p>
        </w:tc>
      </w:tr>
    </w:tbl>
    <w:p w14:paraId="672689F1" w14:textId="3375FC68" w:rsidR="0034322D" w:rsidRDefault="0034322D" w:rsidP="00931169">
      <w:pPr>
        <w:spacing w:after="200" w:line="276" w:lineRule="auto"/>
      </w:pPr>
    </w:p>
    <w:p w14:paraId="207C613B" w14:textId="15B1DEDC" w:rsidR="0034322D" w:rsidRPr="00371DF9" w:rsidRDefault="0034322D" w:rsidP="00931169">
      <w:pPr>
        <w:pStyle w:val="Nadpis1"/>
        <w:numPr>
          <w:ilvl w:val="0"/>
          <w:numId w:val="41"/>
        </w:numPr>
        <w:rPr>
          <w:rFonts w:cstheme="minorHAnsi"/>
          <w:caps/>
        </w:rPr>
      </w:pPr>
      <w:bookmarkStart w:id="85" w:name="_Toc88652936"/>
      <w:r w:rsidRPr="00371DF9">
        <w:rPr>
          <w:rFonts w:cstheme="minorHAnsi"/>
          <w:caps/>
        </w:rPr>
        <w:lastRenderedPageBreak/>
        <w:t>Analýza vzťahov k životnému prostrediu</w:t>
      </w:r>
      <w:bookmarkEnd w:id="85"/>
    </w:p>
    <w:p w14:paraId="120BD075" w14:textId="77777777" w:rsidR="0034322D" w:rsidRPr="0034322D" w:rsidRDefault="0034322D" w:rsidP="00931169"/>
    <w:p w14:paraId="1526F2CB" w14:textId="77777777" w:rsidR="0034322D" w:rsidRDefault="0034322D" w:rsidP="00931169">
      <w:pPr>
        <w:ind w:firstLine="708"/>
        <w:rPr>
          <w:rFonts w:cstheme="minorHAnsi"/>
        </w:rPr>
      </w:pPr>
      <w:r>
        <w:rPr>
          <w:rFonts w:cstheme="minorHAnsi"/>
        </w:rPr>
        <w:t xml:space="preserve">Riešená žel. trať sa nachádza na severe Slovenska. V súčasnosti je v predmetnom území prevádzkovaná dvojkoľajná žel. trať. Úsek, ktorý je predmetom štúdie, začína v Krásne nad Kysucou a až po Čadcu je vedený údolím rieky Kysuca. Ďalej je železničná trať vedená údolím rieky Čierňanka. Od Svrčinovca až po štátnu hranicu s Českou republikou je osou územia Šľahorov potok. </w:t>
      </w:r>
    </w:p>
    <w:p w14:paraId="123D0089" w14:textId="2D497B82" w:rsidR="0034322D" w:rsidRDefault="003A7D4A" w:rsidP="00931169">
      <w:pPr>
        <w:ind w:firstLine="708"/>
        <w:rPr>
          <w:rFonts w:cstheme="minorHAnsi"/>
        </w:rPr>
      </w:pPr>
      <w:r>
        <w:rPr>
          <w:rFonts w:cstheme="minorHAnsi"/>
        </w:rPr>
        <w:t>Ide</w:t>
      </w:r>
      <w:r w:rsidR="0034322D">
        <w:rPr>
          <w:rFonts w:cstheme="minorHAnsi"/>
        </w:rPr>
        <w:t xml:space="preserve"> o územie s prevládajúcim vidieckym charakterom zástavby a s pomerne nízkou urbanizáciou na úpätí pohoria Javorníky. </w:t>
      </w:r>
    </w:p>
    <w:p w14:paraId="494A3061" w14:textId="70B9D98E" w:rsidR="0034322D" w:rsidRDefault="0034322D" w:rsidP="00931169">
      <w:pPr>
        <w:pStyle w:val="Nadpis2"/>
        <w:rPr>
          <w:rFonts w:cstheme="minorHAnsi"/>
        </w:rPr>
      </w:pPr>
      <w:bookmarkStart w:id="86" w:name="_Toc478377287"/>
      <w:bookmarkStart w:id="87" w:name="_Toc462812175"/>
      <w:bookmarkStart w:id="88" w:name="_Toc479159164"/>
      <w:bookmarkStart w:id="89" w:name="_Toc24660438"/>
      <w:bookmarkStart w:id="90" w:name="_Toc24661450"/>
      <w:bookmarkStart w:id="91" w:name="_Toc88652937"/>
      <w:bookmarkEnd w:id="86"/>
      <w:r w:rsidRPr="0034322D">
        <w:rPr>
          <w:rFonts w:cstheme="minorHAnsi"/>
        </w:rPr>
        <w:t>Obyvateľstvo a obsadenosť územia</w:t>
      </w:r>
      <w:bookmarkEnd w:id="87"/>
      <w:bookmarkEnd w:id="88"/>
      <w:bookmarkEnd w:id="89"/>
      <w:bookmarkEnd w:id="90"/>
      <w:bookmarkEnd w:id="91"/>
    </w:p>
    <w:p w14:paraId="3E2EE450" w14:textId="77777777" w:rsidR="0034322D" w:rsidRDefault="0034322D" w:rsidP="00931169">
      <w:pPr>
        <w:ind w:firstLine="708"/>
        <w:rPr>
          <w:rFonts w:cstheme="minorHAnsi"/>
        </w:rPr>
      </w:pPr>
      <w:r>
        <w:rPr>
          <w:rFonts w:cstheme="minorHAnsi"/>
        </w:rPr>
        <w:t>Predmetný úsek podľa územnosprávneho členenia Slovenskej republiky sa nachádza v Žilinskom kraji v okrese Čadca. V uvedenom okrese prechádza nasledujúcimi katastrálnymi územiami:</w:t>
      </w:r>
    </w:p>
    <w:p w14:paraId="27F99A32" w14:textId="77777777" w:rsidR="0034322D" w:rsidRDefault="0034322D" w:rsidP="00931169">
      <w:pPr>
        <w:rPr>
          <w:rFonts w:cstheme="minorHAnsi"/>
        </w:rPr>
      </w:pPr>
      <w:r>
        <w:rPr>
          <w:rFonts w:cstheme="minorHAnsi"/>
        </w:rPr>
        <w:t>k.ú. Krásno nad Kysucou</w:t>
      </w:r>
    </w:p>
    <w:p w14:paraId="2D9D2E6E" w14:textId="77777777" w:rsidR="0034322D" w:rsidRDefault="0034322D" w:rsidP="00931169">
      <w:pPr>
        <w:rPr>
          <w:rFonts w:cstheme="minorHAnsi"/>
        </w:rPr>
      </w:pPr>
      <w:r>
        <w:rPr>
          <w:rFonts w:cstheme="minorHAnsi"/>
        </w:rPr>
        <w:t>k.ú. Horelica (MČ mesta Čadca)</w:t>
      </w:r>
    </w:p>
    <w:p w14:paraId="020B09A2" w14:textId="77777777" w:rsidR="0034322D" w:rsidRDefault="0034322D" w:rsidP="00931169">
      <w:pPr>
        <w:rPr>
          <w:rFonts w:cstheme="minorHAnsi"/>
        </w:rPr>
      </w:pPr>
      <w:r>
        <w:rPr>
          <w:rFonts w:cstheme="minorHAnsi"/>
        </w:rPr>
        <w:t>k.ú. Čadca</w:t>
      </w:r>
    </w:p>
    <w:p w14:paraId="7C7D2CE4" w14:textId="77777777" w:rsidR="0034322D" w:rsidRDefault="0034322D" w:rsidP="00931169">
      <w:pPr>
        <w:rPr>
          <w:rFonts w:cstheme="minorHAnsi"/>
        </w:rPr>
      </w:pPr>
      <w:r>
        <w:rPr>
          <w:rFonts w:cstheme="minorHAnsi"/>
        </w:rPr>
        <w:t>k.ú. Svrčinovec</w:t>
      </w:r>
    </w:p>
    <w:p w14:paraId="69302B00" w14:textId="77777777" w:rsidR="0034322D" w:rsidRDefault="0034322D" w:rsidP="00931169">
      <w:pPr>
        <w:rPr>
          <w:rFonts w:cstheme="minorHAnsi"/>
        </w:rPr>
      </w:pPr>
      <w:r>
        <w:rPr>
          <w:rFonts w:cstheme="minorHAnsi"/>
        </w:rPr>
        <w:t>k.ú. Oščadnica</w:t>
      </w:r>
    </w:p>
    <w:p w14:paraId="77EE9FCC" w14:textId="77777777" w:rsidR="0034322D" w:rsidRDefault="0034322D" w:rsidP="00931169">
      <w:pPr>
        <w:spacing w:before="160"/>
        <w:rPr>
          <w:rFonts w:cstheme="minorHAnsi"/>
        </w:rPr>
      </w:pPr>
      <w:r>
        <w:rPr>
          <w:rFonts w:cstheme="minorHAnsi"/>
        </w:rPr>
        <w:t>Žilinský kraj</w:t>
      </w:r>
    </w:p>
    <w:p w14:paraId="18755E88" w14:textId="77777777" w:rsidR="0034322D" w:rsidRDefault="0034322D" w:rsidP="00931169">
      <w:pPr>
        <w:ind w:firstLine="708"/>
        <w:rPr>
          <w:rFonts w:cstheme="minorHAnsi"/>
        </w:rPr>
      </w:pPr>
      <w:r>
        <w:rPr>
          <w:rFonts w:cstheme="minorHAnsi"/>
        </w:rPr>
        <w:t xml:space="preserve">Žilinský kraj leží v severozápadnej časti Slovenskej republiky. S rozlohou 6801 km2 je tretím najväčším okresom, zaberá 13,9 % rozlohy štátu. Na severe hraničí s Českou a Poľskou republikou, na juhu susedí s Banskobystrickým krajom a na východe s Prešovským krajom a na západe s Trenčianskym krajom. Podľa územno-správneho usporiadania sa Žilinský kraj člení na 11 okresov, v ktorých je 315 obcí, z toho 18 so štatútom mesta. </w:t>
      </w:r>
    </w:p>
    <w:p w14:paraId="56852AFE" w14:textId="77777777" w:rsidR="003A7D4A" w:rsidRDefault="003A7D4A" w:rsidP="00931169">
      <w:pPr>
        <w:rPr>
          <w:rFonts w:cstheme="minorHAnsi"/>
        </w:rPr>
      </w:pPr>
    </w:p>
    <w:p w14:paraId="69B83FFA" w14:textId="77140809" w:rsidR="0034322D" w:rsidRDefault="0034322D" w:rsidP="00931169">
      <w:pPr>
        <w:rPr>
          <w:rFonts w:cstheme="minorHAnsi"/>
        </w:rPr>
      </w:pPr>
      <w:r>
        <w:rPr>
          <w:rFonts w:cstheme="minorHAnsi"/>
        </w:rPr>
        <w:t>Okres Čadca</w:t>
      </w:r>
    </w:p>
    <w:p w14:paraId="5C7B38FA" w14:textId="77777777" w:rsidR="0034322D" w:rsidRDefault="0034322D" w:rsidP="00931169">
      <w:pPr>
        <w:ind w:firstLine="708"/>
        <w:rPr>
          <w:rFonts w:cstheme="minorHAnsi"/>
        </w:rPr>
      </w:pPr>
      <w:r>
        <w:rPr>
          <w:rFonts w:cstheme="minorHAnsi"/>
        </w:rPr>
        <w:t xml:space="preserve">Okres Čadca sa nachádza v severnej časti regiónu Kysuce, na severe hraničí s Poľskom a na západe s Českom. Je najväčším okresom Žilinského kraja, zaberá až 19,5 % jeho rozlohy. Na severe hraniční s okresom Tvrdošín a Dolný Kubín, na západe s okresom Ružomberok, na juhu s okresom Brezno v Banskobystrickom kraji a na západe s okresom Poprad v Prešovskom kraji. Do okresu Čadca patrí 23 obcí, z toho tri so štatútom mesta (Čadca, Turzovka a Krásno nad Kysucou). </w:t>
      </w:r>
    </w:p>
    <w:p w14:paraId="7E45C2E1" w14:textId="419DEB90" w:rsidR="0034322D" w:rsidRDefault="0034322D" w:rsidP="00931169">
      <w:pPr>
        <w:pStyle w:val="Nadpis2"/>
        <w:rPr>
          <w:rFonts w:cstheme="minorHAnsi"/>
        </w:rPr>
      </w:pPr>
      <w:bookmarkStart w:id="92" w:name="_Toc479159165"/>
      <w:bookmarkStart w:id="93" w:name="_Toc462812176"/>
      <w:bookmarkStart w:id="94" w:name="_Toc24660439"/>
      <w:bookmarkStart w:id="95" w:name="_Toc24661451"/>
      <w:bookmarkStart w:id="96" w:name="_Toc88652938"/>
      <w:r w:rsidRPr="00F4315B">
        <w:rPr>
          <w:rFonts w:cstheme="minorHAnsi"/>
        </w:rPr>
        <w:t>Geomorfologické pomery</w:t>
      </w:r>
      <w:bookmarkEnd w:id="92"/>
      <w:bookmarkEnd w:id="93"/>
      <w:bookmarkEnd w:id="94"/>
      <w:bookmarkEnd w:id="95"/>
      <w:bookmarkEnd w:id="96"/>
    </w:p>
    <w:p w14:paraId="55523FCD" w14:textId="77777777" w:rsidR="0034322D" w:rsidRDefault="0034322D" w:rsidP="00931169">
      <w:pPr>
        <w:ind w:firstLine="708"/>
        <w:rPr>
          <w:rFonts w:cstheme="minorHAnsi"/>
        </w:rPr>
      </w:pPr>
      <w:bookmarkStart w:id="97" w:name="_Toc462812177"/>
      <w:bookmarkStart w:id="98" w:name="_Toc269802986"/>
      <w:bookmarkStart w:id="99" w:name="_Toc269795713"/>
      <w:bookmarkStart w:id="100" w:name="_Toc269795572"/>
      <w:bookmarkStart w:id="101" w:name="_Toc200774546"/>
      <w:bookmarkStart w:id="102" w:name="_Toc199231173"/>
      <w:bookmarkStart w:id="103" w:name="_Toc158429240"/>
      <w:r>
        <w:rPr>
          <w:rFonts w:cstheme="minorHAnsi"/>
        </w:rPr>
        <w:t xml:space="preserve">Predmetná stavba prechádza z hľadiska geomorfológie pomerne zaujímavým územím. Podľa geomorfologického členenia Slovenska (Mazúr, E., Lukniš, M., 1986) patrí hodnotené územie do provincie Západných Karpát a subprovincie Vonjakšie Západné Karpaty. Trať v úseku Krasno nad Kysucou – Čadce vedie na rozhraní dvoch oblastí – Slovensko – moravské Karpaty a Stredné Beskydy. V úseku za Čadcou prechádza trať oblasťou Západné Beskydy. </w:t>
      </w:r>
      <w:r>
        <w:rPr>
          <w:rFonts w:cstheme="minorHAnsi"/>
        </w:rPr>
        <w:lastRenderedPageBreak/>
        <w:t>Prehľad orografických celkov, do ktorých železničná trať v hodnotenom úseku zasahuje, uvádzame v tabuľke.</w:t>
      </w:r>
    </w:p>
    <w:p w14:paraId="4F66844C" w14:textId="32F27C53" w:rsidR="0034322D" w:rsidRDefault="0034322D" w:rsidP="00931169">
      <w:pPr>
        <w:pStyle w:val="Zkladntext"/>
        <w:jc w:val="both"/>
        <w:rPr>
          <w:rFonts w:asciiTheme="minorHAnsi" w:eastAsiaTheme="minorHAnsi" w:hAnsiTheme="minorHAnsi" w:cstheme="minorHAnsi"/>
          <w:bCs/>
          <w:sz w:val="22"/>
          <w:szCs w:val="22"/>
          <w:lang w:eastAsia="en-US"/>
        </w:rPr>
      </w:pPr>
      <w:r>
        <w:rPr>
          <w:rFonts w:asciiTheme="minorHAnsi" w:eastAsiaTheme="minorHAnsi" w:hAnsiTheme="minorHAnsi" w:cstheme="minorHAnsi"/>
          <w:bCs/>
          <w:sz w:val="22"/>
          <w:szCs w:val="22"/>
          <w:lang w:eastAsia="en-US"/>
        </w:rPr>
        <w:t>Tab.</w:t>
      </w:r>
      <w:r w:rsidR="005940CA">
        <w:rPr>
          <w:rFonts w:asciiTheme="minorHAnsi" w:eastAsiaTheme="minorHAnsi" w:hAnsiTheme="minorHAnsi" w:cstheme="minorHAnsi"/>
          <w:bCs/>
          <w:sz w:val="22"/>
          <w:szCs w:val="22"/>
          <w:lang w:val="sk-SK" w:eastAsia="en-US"/>
        </w:rPr>
        <w:t xml:space="preserve"> 9</w:t>
      </w:r>
      <w:r>
        <w:rPr>
          <w:rFonts w:asciiTheme="minorHAnsi" w:eastAsiaTheme="minorHAnsi" w:hAnsiTheme="minorHAnsi" w:cstheme="minorHAnsi"/>
          <w:bCs/>
          <w:sz w:val="22"/>
          <w:szCs w:val="22"/>
          <w:lang w:eastAsia="en-US"/>
        </w:rPr>
        <w:t xml:space="preserve"> Prehľad geomorfologických jednotiek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21"/>
        <w:gridCol w:w="2253"/>
        <w:gridCol w:w="2341"/>
        <w:gridCol w:w="2347"/>
      </w:tblGrid>
      <w:tr w:rsidR="0034322D" w14:paraId="39A1956E" w14:textId="77777777" w:rsidTr="0034322D">
        <w:tc>
          <w:tcPr>
            <w:tcW w:w="2230" w:type="dxa"/>
            <w:tcBorders>
              <w:top w:val="single" w:sz="4" w:space="0" w:color="auto"/>
              <w:left w:val="single" w:sz="4" w:space="0" w:color="auto"/>
              <w:bottom w:val="single" w:sz="4" w:space="0" w:color="auto"/>
              <w:right w:val="single" w:sz="4" w:space="0" w:color="auto"/>
            </w:tcBorders>
            <w:vAlign w:val="center"/>
            <w:hideMark/>
          </w:tcPr>
          <w:p w14:paraId="2AEE35DF"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Oblasť</w:t>
            </w:r>
          </w:p>
        </w:tc>
        <w:tc>
          <w:tcPr>
            <w:tcW w:w="2384" w:type="dxa"/>
            <w:tcBorders>
              <w:top w:val="single" w:sz="4" w:space="0" w:color="auto"/>
              <w:left w:val="single" w:sz="4" w:space="0" w:color="auto"/>
              <w:bottom w:val="single" w:sz="4" w:space="0" w:color="auto"/>
              <w:right w:val="single" w:sz="4" w:space="0" w:color="auto"/>
            </w:tcBorders>
            <w:vAlign w:val="center"/>
            <w:hideMark/>
          </w:tcPr>
          <w:p w14:paraId="0F9572D2"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Celok</w:t>
            </w:r>
          </w:p>
        </w:tc>
        <w:tc>
          <w:tcPr>
            <w:tcW w:w="2442" w:type="dxa"/>
            <w:tcBorders>
              <w:top w:val="single" w:sz="4" w:space="0" w:color="auto"/>
              <w:left w:val="single" w:sz="4" w:space="0" w:color="auto"/>
              <w:bottom w:val="single" w:sz="4" w:space="0" w:color="auto"/>
              <w:right w:val="single" w:sz="4" w:space="0" w:color="auto"/>
            </w:tcBorders>
            <w:vAlign w:val="center"/>
            <w:hideMark/>
          </w:tcPr>
          <w:p w14:paraId="7362AEB7"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Podcelok</w:t>
            </w:r>
          </w:p>
        </w:tc>
        <w:tc>
          <w:tcPr>
            <w:tcW w:w="2490" w:type="dxa"/>
            <w:tcBorders>
              <w:top w:val="single" w:sz="4" w:space="0" w:color="auto"/>
              <w:left w:val="single" w:sz="4" w:space="0" w:color="auto"/>
              <w:bottom w:val="single" w:sz="4" w:space="0" w:color="auto"/>
              <w:right w:val="single" w:sz="4" w:space="0" w:color="auto"/>
            </w:tcBorders>
            <w:vAlign w:val="center"/>
            <w:hideMark/>
          </w:tcPr>
          <w:p w14:paraId="2BD586D0"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Časť</w:t>
            </w:r>
          </w:p>
        </w:tc>
      </w:tr>
      <w:tr w:rsidR="0034322D" w14:paraId="6F0824C8" w14:textId="77777777" w:rsidTr="0034322D">
        <w:trPr>
          <w:cantSplit/>
        </w:trPr>
        <w:tc>
          <w:tcPr>
            <w:tcW w:w="2230" w:type="dxa"/>
            <w:vMerge w:val="restart"/>
            <w:tcBorders>
              <w:top w:val="single" w:sz="4" w:space="0" w:color="auto"/>
              <w:left w:val="single" w:sz="4" w:space="0" w:color="auto"/>
              <w:bottom w:val="single" w:sz="4" w:space="0" w:color="auto"/>
              <w:right w:val="single" w:sz="4" w:space="0" w:color="auto"/>
            </w:tcBorders>
            <w:vAlign w:val="center"/>
            <w:hideMark/>
          </w:tcPr>
          <w:p w14:paraId="06EE7BD3"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Slovensko-moravské Karpaty</w:t>
            </w:r>
          </w:p>
        </w:tc>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0610FF7C"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Javorníky</w:t>
            </w:r>
          </w:p>
        </w:tc>
        <w:tc>
          <w:tcPr>
            <w:tcW w:w="2442" w:type="dxa"/>
            <w:tcBorders>
              <w:top w:val="single" w:sz="4" w:space="0" w:color="auto"/>
              <w:left w:val="single" w:sz="4" w:space="0" w:color="auto"/>
              <w:bottom w:val="single" w:sz="4" w:space="0" w:color="auto"/>
              <w:right w:val="single" w:sz="4" w:space="0" w:color="auto"/>
            </w:tcBorders>
            <w:vAlign w:val="center"/>
            <w:hideMark/>
          </w:tcPr>
          <w:p w14:paraId="5525E381"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Nízke Javorníky</w:t>
            </w:r>
          </w:p>
        </w:tc>
        <w:tc>
          <w:tcPr>
            <w:tcW w:w="2490" w:type="dxa"/>
            <w:tcBorders>
              <w:top w:val="single" w:sz="4" w:space="0" w:color="auto"/>
              <w:left w:val="single" w:sz="4" w:space="0" w:color="auto"/>
              <w:bottom w:val="single" w:sz="4" w:space="0" w:color="auto"/>
              <w:right w:val="single" w:sz="4" w:space="0" w:color="auto"/>
            </w:tcBorders>
            <w:vAlign w:val="center"/>
            <w:hideMark/>
          </w:tcPr>
          <w:p w14:paraId="2995B331"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Kysucká kotlina</w:t>
            </w:r>
          </w:p>
        </w:tc>
      </w:tr>
      <w:tr w:rsidR="0034322D" w14:paraId="6679E2D4" w14:textId="77777777" w:rsidTr="0034322D">
        <w:trPr>
          <w:cantSplit/>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7FF86" w14:textId="77777777" w:rsidR="0034322D" w:rsidRDefault="0034322D" w:rsidP="00931169">
            <w:pPr>
              <w:rPr>
                <w:rFonts w:cstheme="minorHAnsi"/>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927CB0" w14:textId="77777777" w:rsidR="0034322D" w:rsidRDefault="0034322D" w:rsidP="00931169">
            <w:pPr>
              <w:rPr>
                <w:rFonts w:cstheme="minorHAnsi"/>
                <w:sz w:val="22"/>
              </w:rPr>
            </w:pPr>
          </w:p>
        </w:tc>
        <w:tc>
          <w:tcPr>
            <w:tcW w:w="2442" w:type="dxa"/>
            <w:tcBorders>
              <w:top w:val="single" w:sz="4" w:space="0" w:color="auto"/>
              <w:left w:val="single" w:sz="4" w:space="0" w:color="auto"/>
              <w:bottom w:val="single" w:sz="4" w:space="0" w:color="auto"/>
              <w:right w:val="single" w:sz="4" w:space="0" w:color="auto"/>
            </w:tcBorders>
            <w:vAlign w:val="center"/>
            <w:hideMark/>
          </w:tcPr>
          <w:p w14:paraId="62C650F0"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Vysoké Javorníky</w:t>
            </w:r>
          </w:p>
        </w:tc>
        <w:tc>
          <w:tcPr>
            <w:tcW w:w="2490" w:type="dxa"/>
            <w:tcBorders>
              <w:top w:val="single" w:sz="4" w:space="0" w:color="auto"/>
              <w:left w:val="single" w:sz="4" w:space="0" w:color="auto"/>
              <w:bottom w:val="single" w:sz="4" w:space="0" w:color="auto"/>
              <w:right w:val="single" w:sz="4" w:space="0" w:color="auto"/>
            </w:tcBorders>
            <w:vAlign w:val="center"/>
            <w:hideMark/>
          </w:tcPr>
          <w:p w14:paraId="6D1C01B1"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Rakovská hornatina</w:t>
            </w:r>
          </w:p>
        </w:tc>
      </w:tr>
      <w:tr w:rsidR="0034322D" w14:paraId="002A77CC" w14:textId="77777777" w:rsidTr="0034322D">
        <w:trPr>
          <w:cantSplit/>
          <w:trHeight w:val="275"/>
        </w:trPr>
        <w:tc>
          <w:tcPr>
            <w:tcW w:w="2230" w:type="dxa"/>
            <w:tcBorders>
              <w:top w:val="single" w:sz="4" w:space="0" w:color="auto"/>
              <w:left w:val="single" w:sz="4" w:space="0" w:color="auto"/>
              <w:bottom w:val="single" w:sz="4" w:space="0" w:color="auto"/>
              <w:right w:val="single" w:sz="4" w:space="0" w:color="auto"/>
            </w:tcBorders>
            <w:vAlign w:val="center"/>
            <w:hideMark/>
          </w:tcPr>
          <w:p w14:paraId="6CFFBED9"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Stredné Beskydy</w:t>
            </w:r>
          </w:p>
        </w:tc>
        <w:tc>
          <w:tcPr>
            <w:tcW w:w="2384" w:type="dxa"/>
            <w:tcBorders>
              <w:top w:val="single" w:sz="4" w:space="0" w:color="auto"/>
              <w:left w:val="single" w:sz="4" w:space="0" w:color="auto"/>
              <w:bottom w:val="single" w:sz="4" w:space="0" w:color="auto"/>
              <w:right w:val="single" w:sz="4" w:space="0" w:color="auto"/>
            </w:tcBorders>
            <w:vAlign w:val="center"/>
            <w:hideMark/>
          </w:tcPr>
          <w:p w14:paraId="2A4970E3"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Kysucká vrchovina</w:t>
            </w:r>
          </w:p>
        </w:tc>
        <w:tc>
          <w:tcPr>
            <w:tcW w:w="2442" w:type="dxa"/>
            <w:tcBorders>
              <w:top w:val="single" w:sz="4" w:space="0" w:color="auto"/>
              <w:left w:val="single" w:sz="4" w:space="0" w:color="auto"/>
              <w:bottom w:val="single" w:sz="4" w:space="0" w:color="auto"/>
              <w:right w:val="single" w:sz="4" w:space="0" w:color="auto"/>
            </w:tcBorders>
            <w:vAlign w:val="center"/>
            <w:hideMark/>
          </w:tcPr>
          <w:p w14:paraId="5E7C7739"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Krásňanská brázda</w:t>
            </w:r>
          </w:p>
        </w:tc>
        <w:tc>
          <w:tcPr>
            <w:tcW w:w="2490" w:type="dxa"/>
            <w:tcBorders>
              <w:top w:val="single" w:sz="4" w:space="0" w:color="auto"/>
              <w:left w:val="single" w:sz="4" w:space="0" w:color="auto"/>
              <w:bottom w:val="single" w:sz="4" w:space="0" w:color="auto"/>
              <w:right w:val="single" w:sz="4" w:space="0" w:color="auto"/>
            </w:tcBorders>
            <w:vAlign w:val="center"/>
          </w:tcPr>
          <w:p w14:paraId="67F6BFD7"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p>
        </w:tc>
      </w:tr>
      <w:tr w:rsidR="0034322D" w14:paraId="034BB464" w14:textId="77777777" w:rsidTr="0034322D">
        <w:trPr>
          <w:cantSplit/>
          <w:trHeight w:val="198"/>
        </w:trPr>
        <w:tc>
          <w:tcPr>
            <w:tcW w:w="2230" w:type="dxa"/>
            <w:vMerge w:val="restart"/>
            <w:tcBorders>
              <w:top w:val="single" w:sz="4" w:space="0" w:color="auto"/>
              <w:left w:val="single" w:sz="4" w:space="0" w:color="auto"/>
              <w:bottom w:val="single" w:sz="4" w:space="0" w:color="auto"/>
              <w:right w:val="single" w:sz="4" w:space="0" w:color="auto"/>
            </w:tcBorders>
            <w:vAlign w:val="center"/>
            <w:hideMark/>
          </w:tcPr>
          <w:p w14:paraId="784274AB"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Západné Beskydy</w:t>
            </w:r>
          </w:p>
        </w:tc>
        <w:tc>
          <w:tcPr>
            <w:tcW w:w="2384" w:type="dxa"/>
            <w:vMerge w:val="restart"/>
            <w:tcBorders>
              <w:top w:val="single" w:sz="4" w:space="0" w:color="auto"/>
              <w:left w:val="single" w:sz="4" w:space="0" w:color="auto"/>
              <w:bottom w:val="single" w:sz="4" w:space="0" w:color="auto"/>
              <w:right w:val="single" w:sz="4" w:space="0" w:color="auto"/>
            </w:tcBorders>
            <w:vAlign w:val="center"/>
            <w:hideMark/>
          </w:tcPr>
          <w:p w14:paraId="2882C0BB"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Turzovská vrchovina</w:t>
            </w:r>
          </w:p>
        </w:tc>
        <w:tc>
          <w:tcPr>
            <w:tcW w:w="2442" w:type="dxa"/>
            <w:tcBorders>
              <w:top w:val="single" w:sz="4" w:space="0" w:color="auto"/>
              <w:left w:val="single" w:sz="4" w:space="0" w:color="auto"/>
              <w:bottom w:val="single" w:sz="4" w:space="0" w:color="auto"/>
              <w:right w:val="single" w:sz="4" w:space="0" w:color="auto"/>
            </w:tcBorders>
            <w:vAlign w:val="center"/>
            <w:hideMark/>
          </w:tcPr>
          <w:p w14:paraId="3B288A7E"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Hornokysucké podolie</w:t>
            </w:r>
          </w:p>
        </w:tc>
        <w:tc>
          <w:tcPr>
            <w:tcW w:w="2490" w:type="dxa"/>
            <w:tcBorders>
              <w:top w:val="single" w:sz="4" w:space="0" w:color="auto"/>
              <w:left w:val="single" w:sz="4" w:space="0" w:color="auto"/>
              <w:bottom w:val="single" w:sz="4" w:space="0" w:color="auto"/>
              <w:right w:val="single" w:sz="4" w:space="0" w:color="auto"/>
            </w:tcBorders>
            <w:vAlign w:val="center"/>
          </w:tcPr>
          <w:p w14:paraId="1D55E555"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p>
        </w:tc>
      </w:tr>
      <w:tr w:rsidR="0034322D" w14:paraId="41D6A7BC" w14:textId="77777777" w:rsidTr="0034322D">
        <w:trPr>
          <w:cantSplit/>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410E3" w14:textId="77777777" w:rsidR="0034322D" w:rsidRDefault="0034322D" w:rsidP="00931169">
            <w:pPr>
              <w:rPr>
                <w:rFonts w:cstheme="minorHAnsi"/>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187C8E" w14:textId="77777777" w:rsidR="0034322D" w:rsidRDefault="0034322D" w:rsidP="00931169">
            <w:pPr>
              <w:rPr>
                <w:rFonts w:cstheme="minorHAnsi"/>
                <w:sz w:val="22"/>
              </w:rPr>
            </w:pPr>
          </w:p>
        </w:tc>
        <w:tc>
          <w:tcPr>
            <w:tcW w:w="2442" w:type="dxa"/>
            <w:tcBorders>
              <w:top w:val="single" w:sz="4" w:space="0" w:color="auto"/>
              <w:left w:val="single" w:sz="4" w:space="0" w:color="auto"/>
              <w:bottom w:val="single" w:sz="4" w:space="0" w:color="auto"/>
              <w:right w:val="single" w:sz="4" w:space="0" w:color="auto"/>
            </w:tcBorders>
            <w:vAlign w:val="center"/>
            <w:hideMark/>
          </w:tcPr>
          <w:p w14:paraId="046F24E1"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Predné nvrchy</w:t>
            </w:r>
          </w:p>
        </w:tc>
        <w:tc>
          <w:tcPr>
            <w:tcW w:w="2490" w:type="dxa"/>
            <w:tcBorders>
              <w:top w:val="single" w:sz="4" w:space="0" w:color="auto"/>
              <w:left w:val="single" w:sz="4" w:space="0" w:color="auto"/>
              <w:bottom w:val="single" w:sz="4" w:space="0" w:color="auto"/>
              <w:right w:val="single" w:sz="4" w:space="0" w:color="auto"/>
            </w:tcBorders>
            <w:vAlign w:val="center"/>
          </w:tcPr>
          <w:p w14:paraId="36E67300"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p>
        </w:tc>
      </w:tr>
      <w:tr w:rsidR="0034322D" w14:paraId="5D0ECB70" w14:textId="77777777" w:rsidTr="0034322D">
        <w:trPr>
          <w:cantSplit/>
          <w:trHeight w:val="19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ED9DE1" w14:textId="77777777" w:rsidR="0034322D" w:rsidRDefault="0034322D" w:rsidP="00931169">
            <w:pPr>
              <w:rPr>
                <w:rFonts w:cstheme="minorHAnsi"/>
                <w:sz w:val="2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CE9E9F" w14:textId="77777777" w:rsidR="0034322D" w:rsidRDefault="0034322D" w:rsidP="00931169">
            <w:pPr>
              <w:rPr>
                <w:rFonts w:cstheme="minorHAnsi"/>
                <w:sz w:val="22"/>
              </w:rPr>
            </w:pPr>
          </w:p>
        </w:tc>
        <w:tc>
          <w:tcPr>
            <w:tcW w:w="2442" w:type="dxa"/>
            <w:tcBorders>
              <w:top w:val="single" w:sz="4" w:space="0" w:color="auto"/>
              <w:left w:val="single" w:sz="4" w:space="0" w:color="auto"/>
              <w:bottom w:val="single" w:sz="4" w:space="0" w:color="auto"/>
              <w:right w:val="single" w:sz="4" w:space="0" w:color="auto"/>
            </w:tcBorders>
            <w:vAlign w:val="center"/>
            <w:hideMark/>
          </w:tcPr>
          <w:p w14:paraId="21A82A75"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r>
              <w:rPr>
                <w:rFonts w:asciiTheme="minorHAnsi" w:eastAsiaTheme="minorHAnsi" w:hAnsiTheme="minorHAnsi" w:cstheme="minorHAnsi"/>
                <w:b w:val="0"/>
                <w:sz w:val="22"/>
                <w:szCs w:val="22"/>
                <w:lang w:val="sk-SK" w:eastAsia="en-US"/>
              </w:rPr>
              <w:t>Zadné vrchy</w:t>
            </w:r>
          </w:p>
        </w:tc>
        <w:tc>
          <w:tcPr>
            <w:tcW w:w="2490" w:type="dxa"/>
            <w:tcBorders>
              <w:top w:val="single" w:sz="4" w:space="0" w:color="auto"/>
              <w:left w:val="single" w:sz="4" w:space="0" w:color="auto"/>
              <w:bottom w:val="single" w:sz="4" w:space="0" w:color="auto"/>
              <w:right w:val="single" w:sz="4" w:space="0" w:color="auto"/>
            </w:tcBorders>
            <w:vAlign w:val="center"/>
          </w:tcPr>
          <w:p w14:paraId="4B71852C"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p>
        </w:tc>
      </w:tr>
    </w:tbl>
    <w:p w14:paraId="1B9F7B74" w14:textId="77777777" w:rsidR="0034322D" w:rsidRDefault="0034322D" w:rsidP="00931169">
      <w:pPr>
        <w:pStyle w:val="Zkladntext"/>
        <w:jc w:val="both"/>
        <w:rPr>
          <w:rFonts w:asciiTheme="minorHAnsi" w:eastAsiaTheme="minorHAnsi" w:hAnsiTheme="minorHAnsi" w:cstheme="minorHAnsi"/>
          <w:b w:val="0"/>
          <w:sz w:val="22"/>
          <w:szCs w:val="22"/>
          <w:lang w:val="sk-SK" w:eastAsia="en-US"/>
        </w:rPr>
      </w:pPr>
    </w:p>
    <w:p w14:paraId="504FDCF8" w14:textId="4368FAD8" w:rsidR="0034322D" w:rsidRDefault="0034322D" w:rsidP="00931169">
      <w:pPr>
        <w:ind w:firstLine="708"/>
        <w:rPr>
          <w:rFonts w:cstheme="minorHAnsi"/>
        </w:rPr>
      </w:pPr>
      <w:r>
        <w:rPr>
          <w:rFonts w:cstheme="minorHAnsi"/>
        </w:rPr>
        <w:t xml:space="preserve">Javorníky sú pohorie, ktoré tvorí na západe časť štátnej hranice medzi Slovenskou a Českou republikou, smerom na sever prechádzajú do Turzovskej vrchoviny, na juhu susedia s pohorím Biele Karpaty a na východe prechádzajú do Kysuckej vrchoviny. Pohorie Javorníky je tvorené flyšovými horninami, často sa striedajú prachové </w:t>
      </w:r>
      <w:hyperlink r:id="rId10" w:tooltip="Ílovec" w:history="1">
        <w:r>
          <w:rPr>
            <w:rStyle w:val="Hypertextovprepojenie"/>
            <w:rFonts w:cstheme="minorHAnsi"/>
          </w:rPr>
          <w:t>ílovce</w:t>
        </w:r>
      </w:hyperlink>
      <w:r>
        <w:rPr>
          <w:rFonts w:cstheme="minorHAnsi"/>
        </w:rPr>
        <w:t xml:space="preserve"> s plochami </w:t>
      </w:r>
      <w:hyperlink r:id="rId11" w:tooltip="Pieskovec" w:history="1">
        <w:r>
          <w:rPr>
            <w:rStyle w:val="Hypertextovprepojenie"/>
            <w:rFonts w:cstheme="minorHAnsi"/>
          </w:rPr>
          <w:t>pieskovcov</w:t>
        </w:r>
      </w:hyperlink>
      <w:r>
        <w:rPr>
          <w:rFonts w:cstheme="minorHAnsi"/>
        </w:rPr>
        <w:t xml:space="preserve">. Najvyššími vrcholmi tohto pohoria sú </w:t>
      </w:r>
      <w:hyperlink r:id="rId12" w:tooltip="Veľký Javorník (stránka neexistuje)" w:history="1">
        <w:r>
          <w:rPr>
            <w:rStyle w:val="Hypertextovprepojenie"/>
            <w:rFonts w:cstheme="minorHAnsi"/>
          </w:rPr>
          <w:t>Veľký Javorník</w:t>
        </w:r>
      </w:hyperlink>
      <w:r>
        <w:rPr>
          <w:rFonts w:cstheme="minorHAnsi"/>
        </w:rPr>
        <w:t xml:space="preserve"> (1071,5 m n. m.), </w:t>
      </w:r>
      <w:hyperlink r:id="rId13" w:tooltip="Hričovec (stránka neexistuje)" w:history="1">
        <w:r>
          <w:rPr>
            <w:rStyle w:val="Hypertextovprepojenie"/>
            <w:rFonts w:cstheme="minorHAnsi"/>
          </w:rPr>
          <w:t>Hričovec</w:t>
        </w:r>
      </w:hyperlink>
      <w:r>
        <w:rPr>
          <w:rFonts w:cstheme="minorHAnsi"/>
        </w:rPr>
        <w:t xml:space="preserve"> (1059,8 m n. m.), </w:t>
      </w:r>
      <w:hyperlink r:id="rId14" w:tooltip="Čemerka (stránka neexistuje)" w:history="1">
        <w:r>
          <w:rPr>
            <w:rStyle w:val="Hypertextovprepojenie"/>
            <w:rFonts w:cstheme="minorHAnsi"/>
          </w:rPr>
          <w:t>Čemerka</w:t>
        </w:r>
      </w:hyperlink>
      <w:r>
        <w:rPr>
          <w:rFonts w:cstheme="minorHAnsi"/>
        </w:rPr>
        <w:t xml:space="preserve"> (1052,3 m n. m.), </w:t>
      </w:r>
      <w:hyperlink r:id="rId15" w:tooltip="Stratenec (stránka neexistuje)" w:history="1">
        <w:r>
          <w:rPr>
            <w:rStyle w:val="Hypertextovprepojenie"/>
            <w:rFonts w:cstheme="minorHAnsi"/>
          </w:rPr>
          <w:t>Stratenec</w:t>
        </w:r>
      </w:hyperlink>
      <w:r>
        <w:rPr>
          <w:rFonts w:cstheme="minorHAnsi"/>
        </w:rPr>
        <w:t xml:space="preserve"> (1055 m n. m.), </w:t>
      </w:r>
      <w:hyperlink r:id="rId16" w:tooltip="Uhorská (stránka neexistuje)" w:history="1">
        <w:r>
          <w:rPr>
            <w:rStyle w:val="Hypertextovprepojenie"/>
            <w:rFonts w:cstheme="minorHAnsi"/>
          </w:rPr>
          <w:t>Uhorská</w:t>
        </w:r>
      </w:hyperlink>
      <w:r>
        <w:rPr>
          <w:rFonts w:cstheme="minorHAnsi"/>
        </w:rPr>
        <w:t xml:space="preserve"> (1029 m n. m.), </w:t>
      </w:r>
      <w:hyperlink r:id="rId17" w:tooltip="Burkov vrch (stránka neexistuje)" w:history="1">
        <w:r>
          <w:rPr>
            <w:rStyle w:val="Hypertextovprepojenie"/>
            <w:rFonts w:cstheme="minorHAnsi"/>
          </w:rPr>
          <w:t>Burkov vrch</w:t>
        </w:r>
      </w:hyperlink>
      <w:r>
        <w:rPr>
          <w:rFonts w:cstheme="minorHAnsi"/>
        </w:rPr>
        <w:t xml:space="preserve"> (1032 m n. m.), Malý Javorník (1019,2 m n. m.), Solisko ( 012,4 m n. m.) a Ustrígeľ (1008,6 m n. m.).</w:t>
      </w:r>
    </w:p>
    <w:p w14:paraId="2D6C0510" w14:textId="77777777" w:rsidR="00FE7FAB" w:rsidRDefault="00FE7FAB" w:rsidP="00931169">
      <w:pPr>
        <w:ind w:firstLine="708"/>
        <w:rPr>
          <w:rFonts w:cstheme="minorHAnsi"/>
          <w:sz w:val="22"/>
        </w:rPr>
      </w:pPr>
    </w:p>
    <w:p w14:paraId="22DCE90B" w14:textId="77777777" w:rsidR="0034322D" w:rsidRDefault="0034322D" w:rsidP="00931169">
      <w:pPr>
        <w:keepNext/>
        <w:rPr>
          <w:rFonts w:cstheme="minorHAnsi"/>
        </w:rPr>
      </w:pPr>
      <w:r>
        <w:rPr>
          <w:rFonts w:cstheme="minorHAnsi"/>
        </w:rPr>
        <w:t>Obr. Geomorfologické jednotky v území</w:t>
      </w:r>
    </w:p>
    <w:p w14:paraId="0FE50166" w14:textId="326D168B" w:rsidR="0034322D" w:rsidRDefault="0034322D" w:rsidP="00931169">
      <w:pPr>
        <w:rPr>
          <w:rFonts w:cstheme="minorHAnsi"/>
        </w:rPr>
      </w:pPr>
      <w:bookmarkStart w:id="104" w:name="_Toc477421489"/>
      <w:bookmarkEnd w:id="104"/>
      <w:r>
        <w:rPr>
          <w:rFonts w:cstheme="minorHAnsi"/>
          <w:noProof/>
          <w:lang w:eastAsia="sk-SK"/>
        </w:rPr>
        <w:drawing>
          <wp:inline distT="0" distB="0" distL="0" distR="0" wp14:anchorId="6BB26F1F" wp14:editId="18B6A88E">
            <wp:extent cx="5759450" cy="3027045"/>
            <wp:effectExtent l="19050" t="19050" r="12700" b="20955"/>
            <wp:docPr id="25" name="Obrázo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59450" cy="3027045"/>
                    </a:xfrm>
                    <a:prstGeom prst="rect">
                      <a:avLst/>
                    </a:prstGeom>
                    <a:noFill/>
                    <a:ln w="9525" cmpd="sng">
                      <a:solidFill>
                        <a:srgbClr val="000000"/>
                      </a:solidFill>
                      <a:miter lim="800000"/>
                      <a:headEnd/>
                      <a:tailEnd/>
                    </a:ln>
                    <a:effectLst/>
                  </pic:spPr>
                </pic:pic>
              </a:graphicData>
            </a:graphic>
          </wp:inline>
        </w:drawing>
      </w:r>
    </w:p>
    <w:p w14:paraId="5F735495" w14:textId="77777777" w:rsidR="0034322D" w:rsidRDefault="0034322D" w:rsidP="00931169">
      <w:pPr>
        <w:rPr>
          <w:rFonts w:cstheme="minorHAnsi"/>
          <w:i/>
        </w:rPr>
      </w:pPr>
      <w:r>
        <w:rPr>
          <w:rFonts w:cstheme="minorHAnsi"/>
          <w:i/>
        </w:rPr>
        <w:t>Zdroj: Atlas krajiny SR, 2002</w:t>
      </w:r>
    </w:p>
    <w:p w14:paraId="6680D09D" w14:textId="77777777" w:rsidR="0034322D" w:rsidRDefault="0034322D" w:rsidP="00931169">
      <w:pPr>
        <w:rPr>
          <w:rFonts w:cstheme="minorHAnsi"/>
          <w:color w:val="FF0000"/>
        </w:rPr>
      </w:pPr>
    </w:p>
    <w:p w14:paraId="76CFF3DE" w14:textId="77777777" w:rsidR="0034322D" w:rsidRPr="00F4315B" w:rsidRDefault="0034322D" w:rsidP="00931169">
      <w:pPr>
        <w:pStyle w:val="Nadpis2"/>
        <w:rPr>
          <w:rFonts w:cstheme="minorHAnsi"/>
        </w:rPr>
      </w:pPr>
      <w:bookmarkStart w:id="105" w:name="_Toc478377290"/>
      <w:bookmarkStart w:id="106" w:name="_Toc479159166"/>
      <w:bookmarkStart w:id="107" w:name="_Toc24660440"/>
      <w:bookmarkStart w:id="108" w:name="_Toc24661452"/>
      <w:bookmarkStart w:id="109" w:name="_Toc88652939"/>
      <w:bookmarkEnd w:id="105"/>
      <w:r w:rsidRPr="00F4315B">
        <w:rPr>
          <w:rFonts w:cstheme="minorHAnsi"/>
        </w:rPr>
        <w:lastRenderedPageBreak/>
        <w:t>Geologické podložie</w:t>
      </w:r>
      <w:bookmarkEnd w:id="97"/>
      <w:bookmarkEnd w:id="106"/>
      <w:bookmarkEnd w:id="107"/>
      <w:bookmarkEnd w:id="108"/>
      <w:bookmarkEnd w:id="109"/>
    </w:p>
    <w:p w14:paraId="22CB8DE0" w14:textId="77777777" w:rsidR="0034322D" w:rsidRDefault="0034322D" w:rsidP="00931169">
      <w:pPr>
        <w:widowControl w:val="0"/>
        <w:ind w:firstLine="709"/>
        <w:rPr>
          <w:rFonts w:cstheme="minorHAnsi"/>
        </w:rPr>
      </w:pPr>
      <w:r>
        <w:rPr>
          <w:rFonts w:cstheme="minorHAnsi"/>
        </w:rPr>
        <w:t>V zmysle regionálneho členenia (Maheľ et al., 1967) je širšie územie v okolí navrhovaných variantov železničnej trate budované horninami geotektonickej jednotky Vonkajšie Západné Karpaty. Jednotlivé navrhované trasy projektovanej železnice zasahujú rozličnou mierou do nižšie opísaných geologických celkov, budujúcich územie.</w:t>
      </w:r>
    </w:p>
    <w:p w14:paraId="760E9886" w14:textId="77777777" w:rsidR="0034322D" w:rsidRDefault="0034322D" w:rsidP="00931169">
      <w:pPr>
        <w:widowControl w:val="0"/>
        <w:ind w:firstLine="709"/>
        <w:rPr>
          <w:rFonts w:cstheme="minorHAnsi"/>
        </w:rPr>
      </w:pPr>
      <w:r>
        <w:rPr>
          <w:rFonts w:cstheme="minorHAnsi"/>
        </w:rPr>
        <w:t>Všetky horninové komplexy sú intenzívne tektonicky porušené a prestúpené zlomovými poruchami, príkrovovými líniami, sú zvrásnené, s premenlivým sklonom uloženia vrstiev. Na kontakte tektonickych jednotiek a v zónach tektonického porušenia sú horniny uložené s veľmi strmým úklonom. Celkove prevládajú skalné a poloskalné flyšoidné horniny račianskej jednotky Magurského príkrovu flyšového pásma s rozličným zastúpením ílovcov, siltovcov, pieskovcov a zlepencov paleogénneho a kriedového veku. V širšom okolí trasy sa vyskytujú horniny nasledujúcich súvrství:</w:t>
      </w:r>
    </w:p>
    <w:p w14:paraId="28FE37D4" w14:textId="77777777" w:rsidR="0034322D" w:rsidRDefault="0034322D" w:rsidP="00931169">
      <w:pPr>
        <w:widowControl w:val="0"/>
        <w:ind w:firstLine="709"/>
        <w:rPr>
          <w:rFonts w:cstheme="minorHAnsi"/>
        </w:rPr>
      </w:pPr>
      <w:r>
        <w:rPr>
          <w:rFonts w:cstheme="minorHAnsi"/>
        </w:rPr>
        <w:t>Zlínske súvrstvie s. l. predstavuje v regióne Kysúc najrozšírenejší litologický komplex. Vychylovské súvrstvie predstavuje striedanie belovežskej a bystrickej litofácie, pričom smerom do nadložia postupne narastá podiel ílovcov bystrického typu. Charakteristickými horninami, budujúcimi komplex, sú zelenosivé strednozrnné drobové pieskovce hrúbky 0,2 – 1 m, sivé až modrosivé drobnozrnné vápnité pieskovce s medzivrstvami hrubolaminovaných, hnedozelených až hnedých vápnitých ílovcov hrúbky 0,02 – 10 cm. Celková hrúbka súvrstvia dosahuje 45 – 250m.</w:t>
      </w:r>
    </w:p>
    <w:p w14:paraId="3BB09044" w14:textId="77777777" w:rsidR="0034322D" w:rsidRDefault="0034322D" w:rsidP="00931169">
      <w:pPr>
        <w:widowControl w:val="0"/>
        <w:ind w:firstLine="709"/>
        <w:rPr>
          <w:rFonts w:cstheme="minorHAnsi"/>
        </w:rPr>
      </w:pPr>
      <w:r>
        <w:rPr>
          <w:rFonts w:cstheme="minorHAnsi"/>
        </w:rPr>
        <w:t>Belovežské súvrstvie predstavuje tenko až strednovrstevný flyš. Budovaný je prevažne jemnozrnnými pieskovcami a sivozelenými až hnedými ílovcami, pričom pomer pieskovcov k ílovcom dosahuje 0,7 až 1,5.</w:t>
      </w:r>
    </w:p>
    <w:p w14:paraId="7F9B48C8" w14:textId="77777777" w:rsidR="0034322D" w:rsidRDefault="0034322D" w:rsidP="00931169">
      <w:pPr>
        <w:widowControl w:val="0"/>
        <w:ind w:firstLine="709"/>
        <w:rPr>
          <w:rFonts w:cstheme="minorHAnsi"/>
        </w:rPr>
      </w:pPr>
      <w:r>
        <w:rPr>
          <w:rFonts w:cstheme="minorHAnsi"/>
        </w:rPr>
        <w:t>Kvartérne sedimenty na území zahrňujú celý rad genetických typov vyznačujúcich sa variabilným litologickým zložením, pestrou faciálnou skladbou i rôznym vekom od najstaršieho pleistocénu až do holocénu.</w:t>
      </w:r>
    </w:p>
    <w:p w14:paraId="034416D2" w14:textId="77777777" w:rsidR="0034322D" w:rsidRDefault="0034322D" w:rsidP="00931169">
      <w:pPr>
        <w:pStyle w:val="Nadpis2"/>
        <w:rPr>
          <w:rFonts w:cstheme="minorHAnsi"/>
        </w:rPr>
      </w:pPr>
      <w:bookmarkStart w:id="110" w:name="_Toc479159167"/>
      <w:bookmarkStart w:id="111" w:name="_Toc462812178"/>
      <w:bookmarkStart w:id="112" w:name="_Toc24660441"/>
      <w:bookmarkStart w:id="113" w:name="_Toc24661453"/>
      <w:bookmarkStart w:id="114" w:name="_Toc88652940"/>
      <w:r w:rsidRPr="00F4315B">
        <w:rPr>
          <w:rFonts w:cstheme="minorHAnsi"/>
        </w:rPr>
        <w:t>Inžinierskogeologické pomery</w:t>
      </w:r>
      <w:bookmarkEnd w:id="110"/>
      <w:bookmarkEnd w:id="111"/>
      <w:bookmarkEnd w:id="112"/>
      <w:bookmarkEnd w:id="113"/>
      <w:bookmarkEnd w:id="114"/>
    </w:p>
    <w:p w14:paraId="662C3AFF" w14:textId="77777777" w:rsidR="0034322D" w:rsidRDefault="0034322D" w:rsidP="00931169">
      <w:pPr>
        <w:widowControl w:val="0"/>
        <w:ind w:firstLine="709"/>
        <w:rPr>
          <w:rFonts w:cstheme="minorHAnsi"/>
        </w:rPr>
      </w:pPr>
      <w:r>
        <w:rPr>
          <w:rFonts w:cstheme="minorHAnsi"/>
        </w:rPr>
        <w:t>Na základe regionálnej inžinierskogeologickej klasifikácie (Matula et al., 1965) je územie  zatriedené do inžinierskogeologického regiónu Karpatského flyša, oblasť flyšových hornatín: 19 – Moravsko-sliezske Beskydy, 20 – Slovenské Beskydy a 22 - Javorníky. V zmysle regionálnej inžinierskogeologickej klasifikácie hornín Slovenska (Matula - Pašek, 1986) vyčleňujeme v záujmovom území nasledovné litologické formácie:</w:t>
      </w:r>
    </w:p>
    <w:p w14:paraId="49E03822" w14:textId="77777777" w:rsidR="0034322D" w:rsidRDefault="0034322D" w:rsidP="00931169">
      <w:pPr>
        <w:pStyle w:val="Odsekzoznamu"/>
        <w:widowControl w:val="0"/>
        <w:numPr>
          <w:ilvl w:val="0"/>
          <w:numId w:val="53"/>
        </w:numPr>
        <w:suppressAutoHyphens/>
        <w:spacing w:after="120" w:line="288" w:lineRule="auto"/>
        <w:ind w:hanging="357"/>
        <w:jc w:val="both"/>
        <w:rPr>
          <w:rFonts w:cstheme="minorHAnsi"/>
        </w:rPr>
      </w:pPr>
      <w:r>
        <w:rPr>
          <w:rFonts w:cstheme="minorHAnsi"/>
        </w:rPr>
        <w:t>flyšová formácia</w:t>
      </w:r>
    </w:p>
    <w:p w14:paraId="39D6459F" w14:textId="77777777" w:rsidR="0034322D" w:rsidRDefault="0034322D" w:rsidP="00931169">
      <w:pPr>
        <w:pStyle w:val="Odsekzoznamu"/>
        <w:widowControl w:val="0"/>
        <w:numPr>
          <w:ilvl w:val="0"/>
          <w:numId w:val="53"/>
        </w:numPr>
        <w:suppressAutoHyphens/>
        <w:spacing w:after="120" w:line="288" w:lineRule="auto"/>
        <w:ind w:hanging="357"/>
        <w:jc w:val="both"/>
        <w:rPr>
          <w:rFonts w:cstheme="minorHAnsi"/>
        </w:rPr>
      </w:pPr>
      <w:r>
        <w:rPr>
          <w:rFonts w:cstheme="minorHAnsi"/>
        </w:rPr>
        <w:t>formácia kvartérnych pokryvných útvarov</w:t>
      </w:r>
    </w:p>
    <w:p w14:paraId="6C39B35C" w14:textId="77777777" w:rsidR="0034322D" w:rsidRDefault="0034322D" w:rsidP="00931169">
      <w:pPr>
        <w:widowControl w:val="0"/>
        <w:ind w:firstLine="709"/>
        <w:rPr>
          <w:rFonts w:cstheme="minorHAnsi"/>
        </w:rPr>
      </w:pPr>
      <w:r>
        <w:rPr>
          <w:rFonts w:cstheme="minorHAnsi"/>
        </w:rPr>
        <w:t>V širšom okolí koridoru navrhovaných trás modernizovanej železnice sa vyskytujú nasledujúce inžinierskogeologické rajóny:</w:t>
      </w:r>
    </w:p>
    <w:p w14:paraId="7CA2BF03" w14:textId="77777777" w:rsidR="0034322D" w:rsidRDefault="0034322D" w:rsidP="00931169">
      <w:pPr>
        <w:widowControl w:val="0"/>
        <w:ind w:firstLine="709"/>
        <w:rPr>
          <w:rFonts w:cstheme="minorHAnsi"/>
        </w:rPr>
      </w:pPr>
      <w:r>
        <w:rPr>
          <w:rFonts w:cstheme="minorHAnsi"/>
        </w:rPr>
        <w:t xml:space="preserve">Rajón flyšoidných hornín (Sf) – litologicky je tvorený ílovcami a pieskovcami v rozličnom vzájomnom pomere. V skúmanom území predstavuje horniny zlínskeho, vychylovského a belovežského súvrstvia. Pieskovce sú prevažne jemno až hrubozrnné, často aj s prechodmi do mikrozlepencov, doskovité, lavicovité až masívne. Prestúpené sú systémami priebežných puklín, ktoré spolu s plochami vrstevnatosti vytvárajú charakteristický tabulárny až kockovitý </w:t>
      </w:r>
      <w:r>
        <w:rPr>
          <w:rFonts w:cstheme="minorHAnsi"/>
        </w:rPr>
        <w:lastRenderedPageBreak/>
        <w:t>rozpad horniny. Vrstvy ílovcov predstavujú plastický člen súvrstvia. Sú prestúpené systémom nepravidelných puklín, ktoré sa smerom do hĺbky utesňujú. Ílovce sú citlivé na zmeny vlhkosti, podliehajú rýchle rozpadu a zvetrávacím či eróznym procesom. Odlučnosť je tabulára, lastúrovitá až guľovitá. Vo flyšovom súvrství dochádza k charakteristickému selektívnemu zvetrávaniu – pieskovcové polohy zvetrávaniu odolávajú podstatne lepšie ako polohy ílovcov. Hladina podzemnej vody je zvyčajne v hĺbke 5 - 10 m pod terénom, v závislosti na konfigurácii terénu a vzájomnom pomere jednotlilvých litologických typov hornín. Môže sa vyskytovať agresivita podzemnej vody. Ťažiteľnosť hornín v zmysle STN 73 3050 je 3 - 6;</w:t>
      </w:r>
    </w:p>
    <w:p w14:paraId="0A86DA31" w14:textId="77777777" w:rsidR="0034322D" w:rsidRDefault="0034322D" w:rsidP="00931169">
      <w:pPr>
        <w:widowControl w:val="0"/>
        <w:ind w:firstLine="709"/>
        <w:rPr>
          <w:rFonts w:cstheme="minorHAnsi"/>
        </w:rPr>
      </w:pPr>
      <w:r>
        <w:rPr>
          <w:rFonts w:cstheme="minorHAnsi"/>
        </w:rPr>
        <w:t>Rajón deluviálnych sedimentov (D) - je plošne najrozšírenejší, tovrí pokryv prakticky na všetkých svahoch (okrem terasových stupňov a skalných stien). Na ílovcovom podloží a miernych svahoch je tvorený prevažne ílmi a hlinami až suťami kamenito-ílovitými a hlinitými, prevažne tuhej až pevnej konzistencie. Na strmších svahoch, kde v podloží prevládajú skalné horniny majú deluviálne sedimenty charakter sutí ílovito a hlinito-kamenitých, kamenitých až balvanitých, s rozličným percentuálnym zastúpením úlomkov. Hrúbka komplexov dosahuje 2 – 5 m, v spodných častiach svahov aj viac ako 10 m. Trieda ťažiteľnosti v zmysle STN 73 3050 je 2 – 4. Zeminy sú vysoko až nebezpečne namŕzavé. Komplex je podmienečne vhodný na vedenie líniových stavieb. Hlinito-kamenité sutiny je možné využiť ako násypový materiál do zemných telies;</w:t>
      </w:r>
    </w:p>
    <w:p w14:paraId="726D4644" w14:textId="77777777" w:rsidR="0034322D" w:rsidRDefault="0034322D" w:rsidP="00931169">
      <w:pPr>
        <w:widowControl w:val="0"/>
        <w:ind w:firstLine="709"/>
        <w:rPr>
          <w:rFonts w:cstheme="minorHAnsi"/>
        </w:rPr>
      </w:pPr>
      <w:r>
        <w:rPr>
          <w:rFonts w:cstheme="minorHAnsi"/>
        </w:rPr>
        <w:t>Rajón zosuvných delúvií (Dz) – je budovaný najmä ílmi, hlinami a suťami s chaotickým usporiadaním úlomkov v horizontálnom i vertikálnom smere. Rozšírený je na území porušenom svahovými pohybmi vo forme zosúvania. Šmykové plochy sú prevažne zložené a často zasahujú až do rozloženého predkvartérneho podložia. Rajón je viazaný na flyšové podložie. Častý je výskyt zamokrenín a napätých horizontov podzemnej vody. Úroveň hladiny podzemnej vody je zvyčajne blízko terénu a je značne závislá od zrážok. Hrúbka zosuvných delúvií dosahuje 3 – 8 m, lokálne až 16 m. Ťažiteľnosť v zmysle STN 73 3050 je 2 – 4. Vedenie líniových stavieb je nevhodné v oblasti aktívnych a potenciálnych zosunov, resp je potrebný detailný prieskum a následná sanácia svahových deformácií;</w:t>
      </w:r>
    </w:p>
    <w:p w14:paraId="652D8EF2" w14:textId="77777777" w:rsidR="0034322D" w:rsidRDefault="0034322D" w:rsidP="00931169">
      <w:pPr>
        <w:widowControl w:val="0"/>
        <w:ind w:firstLine="709"/>
        <w:rPr>
          <w:rFonts w:cstheme="minorHAnsi"/>
        </w:rPr>
      </w:pPr>
      <w:r>
        <w:rPr>
          <w:rFonts w:cstheme="minorHAnsi"/>
        </w:rPr>
        <w:t>Rajón fluviálnych náplavových horských tokov (Fh) – tvoria ho štrky až balvanité štrky, v dolných častiach tokov zvyčajne prekryté vrstvou hlín ílovitých a piesčitých, ktoré sú miestami jediným litologickým typom tohto rajónu. Lokálne sa vyskytujú bahnité polohy. Prevažne sa vyskytujú v hlbších dolinách bočných prítokov Kysuce so strmými svahmi a podložím tvoreným skalnými horninami. Častý je výskyt zamokrených území, hladina podzemnej vody je blízko povrchu a územie býva pri väčších zrážkach zatápané. Hrúbka komplexu dosahuje 0 – 2 m, pri vyústeniach dolín do údolnej nivy môže dosiahnuť hrúbka až 4 m. Ťažiteľnosť v zmysle STN 73 3050 je 2 – 5. Štrky náplavov horských tokov sú vhodným násypovým materiálom;</w:t>
      </w:r>
    </w:p>
    <w:p w14:paraId="1FD1B7A7" w14:textId="77777777" w:rsidR="0034322D" w:rsidRDefault="0034322D" w:rsidP="00931169">
      <w:pPr>
        <w:widowControl w:val="0"/>
        <w:ind w:firstLine="709"/>
        <w:rPr>
          <w:rFonts w:cstheme="minorHAnsi"/>
        </w:rPr>
      </w:pPr>
      <w:r>
        <w:rPr>
          <w:rFonts w:cstheme="minorHAnsi"/>
        </w:rPr>
        <w:t>Rajón fluviálnych terasových stupňov  (Ft) – predstavuje lokálne zachované poriečne terasy. ide o hlinitopiesčité až hlinité štrky stredno až hrubozrnné, vo vyšších partiách svahov silne zvetrané až rozložené. Lokálne tvorí pokryv štrkov vrstva ílov tuhej konzistencie. Hladina podzemnej vody je zvyčajne voľná. Hrúbka komplexu dosahuje 2 – 8 m, lokálne až 28 m. V zmysle STN 73 3050 je ťažiteľnosť 3 – 4. Terasové štrkovité sedimenty sú vhodné pre vedenie líniových stavieb a sú vhodné do násypov s výnimkou výrazne ílovitých sedimentov;</w:t>
      </w:r>
    </w:p>
    <w:p w14:paraId="4B7F3E0F" w14:textId="77777777" w:rsidR="0034322D" w:rsidRDefault="0034322D" w:rsidP="00931169">
      <w:pPr>
        <w:widowControl w:val="0"/>
        <w:ind w:firstLine="709"/>
        <w:rPr>
          <w:rFonts w:cstheme="minorHAnsi"/>
        </w:rPr>
      </w:pPr>
      <w:r>
        <w:rPr>
          <w:rFonts w:cstheme="minorHAnsi"/>
        </w:rPr>
        <w:t xml:space="preserve">Rajón fluviálnych udolných riečnych tokov (Fn) – ide o výplň údolných nív väčších tokov – Kysuce, Čierňanky, Oščadnice a pod. Prevažne sú charakteru dobre opracovaných štrkov až </w:t>
      </w:r>
      <w:r>
        <w:rPr>
          <w:rFonts w:cstheme="minorHAnsi"/>
        </w:rPr>
        <w:lastRenderedPageBreak/>
        <w:t>štrkov ílovitých, s možnými polohami bahnitých a piesčirých sedimentov. Štrky sú zvyčajne uľahnuté až stredne uľahnuté. Povrchovú vrstvu tvorí náplavová hlina, resp. íl až piesok. Hladina podzemnej vody je voľná, nachádza sa približne v polovici až dolnej časti štrkovej polohy. Hrúbka štrkových akumulácií dosahuje 1 – 9 m. Hrúbka pokryvných ílovitých zemín dosahuje 1 – 2 m. Trieda ťažiteľnosti v zmysle STN 73 3050 je 3 – 4. Ako násypový materiál sú vhodné až veľmi vhodné. Poskytujú veľmi dobré a dobré podložie pre vedenie líniových stavieb. Povrchovú vrstvu náplavov je zvyčajne potrebné odstrániť;</w:t>
      </w:r>
    </w:p>
    <w:p w14:paraId="6B7CAEB9" w14:textId="77777777" w:rsidR="0034322D" w:rsidRDefault="0034322D" w:rsidP="00931169">
      <w:pPr>
        <w:widowControl w:val="0"/>
        <w:ind w:firstLine="709"/>
        <w:rPr>
          <w:rFonts w:cstheme="minorHAnsi"/>
        </w:rPr>
      </w:pPr>
      <w:r>
        <w:rPr>
          <w:rFonts w:cstheme="minorHAnsi"/>
        </w:rPr>
        <w:t>Rajón proluviálnych sedimentov (P) – budujú ho prevažne hlinitopiesčité a hlinité štrky, piesky a hliny, prevažne zle vytriedené, s polohami bahnitých sedimentov. Zloženie poloopracovaných úlomkov je monomiktné. Staršie prolúviá sú prevažne ploché, vytvorené väčšími vodnými tokmi. naopak, drobné výplavové kužele pri vyústeniach kratších srmých dolín do dolín hlavných vodných tokov sú strmšie, avšak plošne nevýrazné. Hladina podzemnej vody je závislá na morfologickej pozícii, zvyčajne závisí od úrovne hladiny v povrchvom toku a na dotácii zo svahových sedimentov. Hrúbka komplexu dosahuje 3 – 5, pri väčších kužeľoch až 10 – 18 m. Trieda ťažiteľnosti v zmysle STN 73 3050 je 3 – 4. Proluviálne štrky predstavujú vhodné základové podmienky a sú vhodné i do násypov. Pri zvýšenom obsahu jemnozrnnej frakcie môžu byť namŕzavé až nebezpečne namŕzavé;</w:t>
      </w:r>
    </w:p>
    <w:p w14:paraId="2947D0EA" w14:textId="77777777" w:rsidR="0034322D" w:rsidRDefault="0034322D" w:rsidP="00931169">
      <w:pPr>
        <w:widowControl w:val="0"/>
        <w:ind w:firstLine="709"/>
        <w:rPr>
          <w:rFonts w:cstheme="minorHAnsi"/>
        </w:rPr>
      </w:pPr>
      <w:r>
        <w:rPr>
          <w:rFonts w:cstheme="minorHAnsi"/>
        </w:rPr>
        <w:t>Rajón rašelinísk (Or) – litologicky je tvorený rašelinami, organickými hlinami a ílmi zvyčajne tuhej až kašovitej konzistencie, v podloží ktorých sú prevažne nepriepustné deluviálne, proluviálne alebo fluviálne zeminy alebo flyšové horniny. Územie je väčšinou podmáčané s dvomi horizontami hladín podzemnej vody. Hrúbka je 1 - 2 m, ojedinele do 3 m. Trieda ťažiteľnosti je 3 podľa STN 73 3050. Ich využitie v stavebníctve nie je možné, treba ich odstrániť;</w:t>
      </w:r>
    </w:p>
    <w:p w14:paraId="43267574" w14:textId="77777777" w:rsidR="0034322D" w:rsidRDefault="0034322D" w:rsidP="00931169">
      <w:pPr>
        <w:widowControl w:val="0"/>
        <w:ind w:firstLine="709"/>
        <w:rPr>
          <w:rFonts w:cstheme="minorHAnsi"/>
        </w:rPr>
      </w:pPr>
      <w:r>
        <w:rPr>
          <w:rFonts w:cstheme="minorHAnsi"/>
        </w:rPr>
        <w:t>Antropogénne sedimenty (An) – predstavujú komplex stavebných navážok (násypy ciest, železníc a podobne) a navážok komunálnych odpadov (prevažne divoké skládky heterogénneho zloženia). Hrúbka je premenlivá a nie je bližšie dokumentovaná. Pre stavebné účely sú prakticky využiteľné len staršie a skonsolidované násypy jestvujúcich ciest, železnice, protipovodňových hrádzí resp. staré zásypy vodných tokov. Úplne nepoužiteľné sú navážky komunálnych a stavebných odpadov, ktoré je potrebné v plnom rozsahu odstrániť;</w:t>
      </w:r>
    </w:p>
    <w:p w14:paraId="3574B1D1" w14:textId="77777777" w:rsidR="0034322D" w:rsidRDefault="0034322D" w:rsidP="00931169">
      <w:pPr>
        <w:pStyle w:val="Nadpis2"/>
        <w:rPr>
          <w:rFonts w:cstheme="minorHAnsi"/>
        </w:rPr>
      </w:pPr>
      <w:bookmarkStart w:id="115" w:name="_Toc24660442"/>
      <w:bookmarkStart w:id="116" w:name="_Toc24661454"/>
      <w:bookmarkStart w:id="117" w:name="_Toc88652941"/>
      <w:r w:rsidRPr="00F4315B">
        <w:rPr>
          <w:rFonts w:cstheme="minorHAnsi"/>
        </w:rPr>
        <w:t>Ložiská nerastných surovín</w:t>
      </w:r>
      <w:bookmarkEnd w:id="115"/>
      <w:bookmarkEnd w:id="116"/>
      <w:bookmarkEnd w:id="117"/>
    </w:p>
    <w:p w14:paraId="58D66E20" w14:textId="77777777" w:rsidR="0034322D" w:rsidRDefault="0034322D" w:rsidP="00931169">
      <w:pPr>
        <w:widowControl w:val="0"/>
        <w:ind w:firstLine="709"/>
        <w:rPr>
          <w:rFonts w:cstheme="minorHAnsi"/>
        </w:rPr>
      </w:pPr>
      <w:r>
        <w:rPr>
          <w:rFonts w:cstheme="minorHAnsi"/>
        </w:rPr>
        <w:t>Podkladom pre zistenie lokalít ložísk nerastných surovín boli údaje získané na webovom portáli Štátneho geologického ústavy Dionýza Štúra aktualizované v júli 2019. Geofondom v roku 2010, ktoré obsahovali zoznam a lokalizáciu všetkých evidovaných Trasa navrhovanej modernizovanej železničnej trate priamo nezasahuje žiadne ložisko nerastných surovín.</w:t>
      </w:r>
    </w:p>
    <w:p w14:paraId="354B9B3D" w14:textId="77777777" w:rsidR="0034322D" w:rsidRDefault="0034322D" w:rsidP="00931169">
      <w:pPr>
        <w:pStyle w:val="Nadpis2"/>
        <w:rPr>
          <w:rFonts w:cstheme="minorHAnsi"/>
        </w:rPr>
      </w:pPr>
      <w:bookmarkStart w:id="118" w:name="_Toc479159169"/>
      <w:bookmarkStart w:id="119" w:name="_Toc24660443"/>
      <w:bookmarkStart w:id="120" w:name="_Toc24661455"/>
      <w:bookmarkStart w:id="121" w:name="_Toc88652942"/>
      <w:bookmarkEnd w:id="98"/>
      <w:bookmarkEnd w:id="99"/>
      <w:bookmarkEnd w:id="100"/>
      <w:bookmarkEnd w:id="101"/>
      <w:bookmarkEnd w:id="102"/>
      <w:bookmarkEnd w:id="103"/>
      <w:r w:rsidRPr="00F4315B">
        <w:rPr>
          <w:rFonts w:cstheme="minorHAnsi"/>
        </w:rPr>
        <w:t>Environmentálne záťaže v území</w:t>
      </w:r>
      <w:bookmarkEnd w:id="118"/>
      <w:bookmarkEnd w:id="119"/>
      <w:bookmarkEnd w:id="120"/>
      <w:bookmarkEnd w:id="121"/>
    </w:p>
    <w:p w14:paraId="308F564B" w14:textId="77777777" w:rsidR="0034322D" w:rsidRDefault="0034322D" w:rsidP="00931169">
      <w:pPr>
        <w:ind w:firstLine="708"/>
        <w:rPr>
          <w:rFonts w:cstheme="minorHAnsi"/>
        </w:rPr>
      </w:pPr>
      <w:r>
        <w:rPr>
          <w:rFonts w:cstheme="minorHAnsi"/>
        </w:rPr>
        <w:t xml:space="preserve">Podľa Informačného systému environmentálne záťaže (www.enviroportal.sk, stav údajov ku 13.11.2019) sa v záujmovom území vyskytujú viaceré pravdepodobné a potvrdené  environmentálne záťaže (EZ), z ktorých časť je sanovaná, resp. rekultivovaná. </w:t>
      </w:r>
    </w:p>
    <w:p w14:paraId="05EE3AA4" w14:textId="77777777" w:rsidR="0034322D" w:rsidRDefault="0034322D" w:rsidP="00931169">
      <w:pPr>
        <w:rPr>
          <w:rFonts w:cstheme="minorHAnsi"/>
          <w:color w:val="FF0000"/>
        </w:rPr>
      </w:pPr>
    </w:p>
    <w:tbl>
      <w:tblPr>
        <w:tblW w:w="9375"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75"/>
      </w:tblGrid>
      <w:tr w:rsidR="0034322D" w14:paraId="43357D74" w14:textId="77777777" w:rsidTr="0034322D">
        <w:trPr>
          <w:trHeight w:val="2404"/>
        </w:trPr>
        <w:tc>
          <w:tcPr>
            <w:tcW w:w="9379" w:type="dxa"/>
            <w:tcBorders>
              <w:top w:val="single" w:sz="4" w:space="0" w:color="auto"/>
              <w:left w:val="single" w:sz="4" w:space="0" w:color="auto"/>
              <w:bottom w:val="single" w:sz="4" w:space="0" w:color="auto"/>
              <w:right w:val="single" w:sz="4" w:space="0" w:color="auto"/>
            </w:tcBorders>
            <w:vAlign w:val="center"/>
            <w:hideMark/>
          </w:tcPr>
          <w:p w14:paraId="1F4C4C52" w14:textId="2C308ECB" w:rsidR="0034322D" w:rsidRDefault="0034322D" w:rsidP="00931169">
            <w:pPr>
              <w:pStyle w:val="BATextvtabulce"/>
              <w:jc w:val="both"/>
              <w:rPr>
                <w:rFonts w:asciiTheme="minorHAnsi" w:hAnsiTheme="minorHAnsi" w:cstheme="minorHAnsi"/>
                <w:lang w:val="sk-SK"/>
              </w:rPr>
            </w:pPr>
            <w:r>
              <w:rPr>
                <w:rFonts w:asciiTheme="minorHAnsi" w:hAnsiTheme="minorHAnsi" w:cstheme="minorHAnsi"/>
                <w:noProof/>
                <w:lang w:val="sk-SK" w:eastAsia="sk-SK"/>
              </w:rPr>
              <w:drawing>
                <wp:inline distT="0" distB="0" distL="0" distR="0" wp14:anchorId="375DF1B9" wp14:editId="6C0C3A96">
                  <wp:extent cx="3962400" cy="3381375"/>
                  <wp:effectExtent l="0" t="0" r="0" b="9525"/>
                  <wp:docPr id="24" name="Obrázo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62400" cy="3381375"/>
                          </a:xfrm>
                          <a:prstGeom prst="rect">
                            <a:avLst/>
                          </a:prstGeom>
                          <a:noFill/>
                          <a:ln>
                            <a:noFill/>
                          </a:ln>
                        </pic:spPr>
                      </pic:pic>
                    </a:graphicData>
                  </a:graphic>
                </wp:inline>
              </w:drawing>
            </w:r>
          </w:p>
          <w:p w14:paraId="4D1895BE" w14:textId="77777777" w:rsidR="0034322D" w:rsidRDefault="0034322D" w:rsidP="00931169">
            <w:pPr>
              <w:pStyle w:val="BATextvtabulce"/>
              <w:jc w:val="both"/>
              <w:rPr>
                <w:rFonts w:asciiTheme="minorHAnsi" w:hAnsiTheme="minorHAnsi" w:cstheme="minorHAnsi"/>
                <w:i/>
                <w:lang w:val="sk-SK"/>
              </w:rPr>
            </w:pPr>
            <w:r>
              <w:rPr>
                <w:rFonts w:asciiTheme="minorHAnsi" w:hAnsiTheme="minorHAnsi" w:cstheme="minorHAnsi"/>
                <w:i/>
                <w:lang w:val="sk-SK"/>
              </w:rPr>
              <w:t>Zdroj: Informačný systém environmentálnych záťaží, MŽP SR, SAŽP 2019</w:t>
            </w:r>
          </w:p>
        </w:tc>
      </w:tr>
      <w:tr w:rsidR="0034322D" w14:paraId="776EA065" w14:textId="77777777" w:rsidTr="0034322D">
        <w:tc>
          <w:tcPr>
            <w:tcW w:w="9379" w:type="dxa"/>
            <w:tcBorders>
              <w:top w:val="single" w:sz="4" w:space="0" w:color="auto"/>
              <w:left w:val="single" w:sz="4" w:space="0" w:color="auto"/>
              <w:bottom w:val="single" w:sz="4" w:space="0" w:color="auto"/>
              <w:right w:val="single" w:sz="4" w:space="0" w:color="auto"/>
            </w:tcBorders>
            <w:hideMark/>
          </w:tcPr>
          <w:p w14:paraId="761AA666" w14:textId="77777777" w:rsidR="0034322D" w:rsidRDefault="0034322D" w:rsidP="00931169">
            <w:pPr>
              <w:pStyle w:val="Popis"/>
              <w:jc w:val="both"/>
              <w:rPr>
                <w:rFonts w:asciiTheme="minorHAnsi" w:hAnsiTheme="minorHAnsi" w:cstheme="minorHAnsi"/>
                <w:lang w:val="cs-CZ"/>
              </w:rPr>
            </w:pPr>
            <w:bookmarkStart w:id="122" w:name="_Toc479159030"/>
            <w:r>
              <w:rPr>
                <w:rFonts w:asciiTheme="minorHAnsi" w:hAnsiTheme="minorHAnsi" w:cstheme="minorHAnsi"/>
              </w:rPr>
              <w:t>Obr. Mapa environmentálnych záťaží v </w:t>
            </w:r>
            <w:bookmarkEnd w:id="122"/>
            <w:r>
              <w:rPr>
                <w:rFonts w:asciiTheme="minorHAnsi" w:hAnsiTheme="minorHAnsi" w:cstheme="minorHAnsi"/>
              </w:rPr>
              <w:t>úseku Krásno n. Kysucou – štátna hranica SR/ŠR</w:t>
            </w:r>
          </w:p>
        </w:tc>
      </w:tr>
    </w:tbl>
    <w:p w14:paraId="57F5038E" w14:textId="77777777" w:rsidR="00FE7FAB" w:rsidRDefault="00FE7FAB" w:rsidP="00931169">
      <w:pPr>
        <w:widowControl w:val="0"/>
        <w:spacing w:before="120"/>
        <w:rPr>
          <w:rFonts w:cstheme="minorHAnsi"/>
        </w:rPr>
      </w:pPr>
    </w:p>
    <w:p w14:paraId="6A0C40F1" w14:textId="5BCB62FF" w:rsidR="0034322D" w:rsidRDefault="0034322D" w:rsidP="00931169">
      <w:pPr>
        <w:widowControl w:val="0"/>
        <w:spacing w:before="120"/>
        <w:rPr>
          <w:rFonts w:cstheme="minorHAnsi"/>
          <w:sz w:val="22"/>
        </w:rPr>
      </w:pPr>
      <w:r>
        <w:rPr>
          <w:rFonts w:cstheme="minorHAnsi"/>
        </w:rPr>
        <w:t xml:space="preserve">V tabuľke </w:t>
      </w:r>
      <w:r w:rsidR="005940CA">
        <w:rPr>
          <w:rFonts w:cstheme="minorHAnsi"/>
        </w:rPr>
        <w:t xml:space="preserve">10 </w:t>
      </w:r>
      <w:r>
        <w:rPr>
          <w:rFonts w:cstheme="minorHAnsi"/>
        </w:rPr>
        <w:t>nižšie sú uvedené environmentálne záťaže nachádzajúce sa v hodnotenom území menované zo severu na juh (zdroj http://envirozataze.enviroportal.sk).</w:t>
      </w:r>
    </w:p>
    <w:tbl>
      <w:tblPr>
        <w:tblW w:w="935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63"/>
        <w:gridCol w:w="4098"/>
        <w:gridCol w:w="2650"/>
        <w:gridCol w:w="1147"/>
      </w:tblGrid>
      <w:tr w:rsidR="0034322D" w14:paraId="54BA1AF6" w14:textId="77777777" w:rsidTr="0034322D">
        <w:trPr>
          <w:cantSplit/>
          <w:tblHeader/>
        </w:trPr>
        <w:tc>
          <w:tcPr>
            <w:tcW w:w="1451" w:type="dxa"/>
            <w:tcBorders>
              <w:top w:val="single" w:sz="4" w:space="0" w:color="000000"/>
              <w:left w:val="single" w:sz="4" w:space="0" w:color="000000"/>
              <w:bottom w:val="single" w:sz="4" w:space="0" w:color="000000"/>
              <w:right w:val="single" w:sz="4" w:space="0" w:color="000000"/>
            </w:tcBorders>
            <w:shd w:val="clear" w:color="auto" w:fill="D9D9D9"/>
            <w:hideMark/>
          </w:tcPr>
          <w:p w14:paraId="7324604C" w14:textId="77777777" w:rsidR="0034322D" w:rsidRDefault="0034322D" w:rsidP="00931169">
            <w:pPr>
              <w:pStyle w:val="BATextvtabulce"/>
              <w:widowControl w:val="0"/>
              <w:jc w:val="both"/>
              <w:rPr>
                <w:rFonts w:asciiTheme="minorHAnsi" w:hAnsiTheme="minorHAnsi" w:cstheme="minorHAnsi"/>
                <w:b/>
              </w:rPr>
            </w:pPr>
            <w:r>
              <w:rPr>
                <w:rFonts w:asciiTheme="minorHAnsi" w:hAnsiTheme="minorHAnsi" w:cstheme="minorHAnsi"/>
                <w:b/>
              </w:rPr>
              <w:t xml:space="preserve">identifikátor </w:t>
            </w:r>
          </w:p>
        </w:tc>
        <w:tc>
          <w:tcPr>
            <w:tcW w:w="4106" w:type="dxa"/>
            <w:tcBorders>
              <w:top w:val="single" w:sz="4" w:space="0" w:color="000000"/>
              <w:left w:val="single" w:sz="4" w:space="0" w:color="000000"/>
              <w:bottom w:val="single" w:sz="4" w:space="0" w:color="000000"/>
              <w:right w:val="single" w:sz="4" w:space="0" w:color="000000"/>
            </w:tcBorders>
            <w:shd w:val="clear" w:color="auto" w:fill="D9D9D9"/>
            <w:hideMark/>
          </w:tcPr>
          <w:p w14:paraId="558F4263" w14:textId="77777777" w:rsidR="0034322D" w:rsidRDefault="0034322D" w:rsidP="00931169">
            <w:pPr>
              <w:pStyle w:val="BATextvtabulce"/>
              <w:widowControl w:val="0"/>
              <w:jc w:val="both"/>
              <w:rPr>
                <w:rFonts w:asciiTheme="minorHAnsi" w:hAnsiTheme="minorHAnsi" w:cstheme="minorHAnsi"/>
                <w:b/>
              </w:rPr>
            </w:pPr>
            <w:r>
              <w:rPr>
                <w:rFonts w:asciiTheme="minorHAnsi" w:hAnsiTheme="minorHAnsi" w:cstheme="minorHAnsi"/>
                <w:b/>
              </w:rPr>
              <w:t>názov env. záťaže</w:t>
            </w:r>
          </w:p>
        </w:tc>
        <w:tc>
          <w:tcPr>
            <w:tcW w:w="2654" w:type="dxa"/>
            <w:tcBorders>
              <w:top w:val="single" w:sz="4" w:space="0" w:color="000000"/>
              <w:left w:val="single" w:sz="4" w:space="0" w:color="000000"/>
              <w:bottom w:val="single" w:sz="4" w:space="0" w:color="000000"/>
              <w:right w:val="single" w:sz="4" w:space="0" w:color="000000"/>
            </w:tcBorders>
            <w:shd w:val="clear" w:color="auto" w:fill="D9D9D9"/>
            <w:hideMark/>
          </w:tcPr>
          <w:p w14:paraId="73F2B6B0" w14:textId="77777777" w:rsidR="0034322D" w:rsidRDefault="0034322D" w:rsidP="00931169">
            <w:pPr>
              <w:pStyle w:val="BATextvtabulce"/>
              <w:widowControl w:val="0"/>
              <w:jc w:val="both"/>
              <w:rPr>
                <w:rFonts w:asciiTheme="minorHAnsi" w:hAnsiTheme="minorHAnsi" w:cstheme="minorHAnsi"/>
                <w:b/>
              </w:rPr>
            </w:pPr>
            <w:r>
              <w:rPr>
                <w:rFonts w:asciiTheme="minorHAnsi" w:hAnsiTheme="minorHAnsi" w:cstheme="minorHAnsi"/>
                <w:b/>
              </w:rPr>
              <w:t>druh činnosti</w:t>
            </w:r>
          </w:p>
        </w:tc>
        <w:tc>
          <w:tcPr>
            <w:tcW w:w="1147" w:type="dxa"/>
            <w:tcBorders>
              <w:top w:val="single" w:sz="4" w:space="0" w:color="000000"/>
              <w:left w:val="single" w:sz="4" w:space="0" w:color="000000"/>
              <w:bottom w:val="single" w:sz="4" w:space="0" w:color="000000"/>
              <w:right w:val="single" w:sz="4" w:space="0" w:color="000000"/>
            </w:tcBorders>
            <w:shd w:val="clear" w:color="auto" w:fill="D9D9D9"/>
            <w:hideMark/>
          </w:tcPr>
          <w:p w14:paraId="41577F44" w14:textId="77777777" w:rsidR="0034322D" w:rsidRDefault="0034322D" w:rsidP="00931169">
            <w:pPr>
              <w:pStyle w:val="BATextvtabulce"/>
              <w:widowControl w:val="0"/>
              <w:jc w:val="both"/>
              <w:rPr>
                <w:rFonts w:asciiTheme="minorHAnsi" w:hAnsiTheme="minorHAnsi" w:cstheme="minorHAnsi"/>
                <w:b/>
              </w:rPr>
            </w:pPr>
            <w:r>
              <w:rPr>
                <w:rFonts w:asciiTheme="minorHAnsi" w:hAnsiTheme="minorHAnsi" w:cstheme="minorHAnsi"/>
                <w:b/>
              </w:rPr>
              <w:t>registrácia</w:t>
            </w:r>
            <w:r>
              <w:rPr>
                <w:rFonts w:asciiTheme="minorHAnsi" w:hAnsiTheme="minorHAnsi" w:cstheme="minorHAnsi"/>
                <w:b/>
                <w:vertAlign w:val="superscript"/>
              </w:rPr>
              <w:t>*</w:t>
            </w:r>
          </w:p>
        </w:tc>
      </w:tr>
      <w:tr w:rsidR="0034322D" w14:paraId="2705DA31"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02A91F3F"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rPr>
              <w:t>SK/EZ/CA/166</w:t>
            </w:r>
          </w:p>
        </w:tc>
        <w:tc>
          <w:tcPr>
            <w:tcW w:w="4106" w:type="dxa"/>
            <w:tcBorders>
              <w:top w:val="single" w:sz="4" w:space="0" w:color="000000"/>
              <w:left w:val="single" w:sz="4" w:space="0" w:color="000000"/>
              <w:bottom w:val="single" w:sz="4" w:space="0" w:color="000000"/>
              <w:right w:val="single" w:sz="4" w:space="0" w:color="000000"/>
            </w:tcBorders>
            <w:hideMark/>
          </w:tcPr>
          <w:p w14:paraId="2D205921"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z w:val="17"/>
                <w:szCs w:val="17"/>
                <w:shd w:val="clear" w:color="auto" w:fill="FFFFFF"/>
              </w:rPr>
              <w:t>CA (001) / Čadca - AVC Čadca</w:t>
            </w:r>
          </w:p>
        </w:tc>
        <w:tc>
          <w:tcPr>
            <w:tcW w:w="2654" w:type="dxa"/>
            <w:tcBorders>
              <w:top w:val="single" w:sz="4" w:space="0" w:color="000000"/>
              <w:left w:val="single" w:sz="4" w:space="0" w:color="000000"/>
              <w:bottom w:val="single" w:sz="4" w:space="0" w:color="000000"/>
              <w:right w:val="single" w:sz="4" w:space="0" w:color="000000"/>
            </w:tcBorders>
            <w:hideMark/>
          </w:tcPr>
          <w:p w14:paraId="4D080508"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rPr>
              <w:t>strojárska výroba</w:t>
            </w:r>
          </w:p>
        </w:tc>
        <w:tc>
          <w:tcPr>
            <w:tcW w:w="1147" w:type="dxa"/>
            <w:tcBorders>
              <w:top w:val="single" w:sz="4" w:space="0" w:color="000000"/>
              <w:left w:val="single" w:sz="4" w:space="0" w:color="000000"/>
              <w:bottom w:val="single" w:sz="4" w:space="0" w:color="000000"/>
              <w:right w:val="single" w:sz="4" w:space="0" w:color="000000"/>
            </w:tcBorders>
            <w:hideMark/>
          </w:tcPr>
          <w:p w14:paraId="47B5DDAC"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rPr>
              <w:t>C</w:t>
            </w:r>
          </w:p>
        </w:tc>
      </w:tr>
      <w:tr w:rsidR="0034322D" w14:paraId="5DE71FBE"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269040F3"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rPr>
              <w:t>SK/EZ/CA/1959</w:t>
            </w:r>
          </w:p>
        </w:tc>
        <w:tc>
          <w:tcPr>
            <w:tcW w:w="4106" w:type="dxa"/>
            <w:tcBorders>
              <w:top w:val="single" w:sz="4" w:space="0" w:color="000000"/>
              <w:left w:val="single" w:sz="4" w:space="0" w:color="000000"/>
              <w:bottom w:val="single" w:sz="4" w:space="0" w:color="000000"/>
              <w:right w:val="single" w:sz="4" w:space="0" w:color="000000"/>
            </w:tcBorders>
            <w:hideMark/>
          </w:tcPr>
          <w:p w14:paraId="07187822"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z w:val="17"/>
                <w:szCs w:val="17"/>
                <w:shd w:val="clear" w:color="auto" w:fill="FFFFFF"/>
              </w:rPr>
              <w:t>CA (1959) / Čadca - AVC - supermarket</w:t>
            </w:r>
            <w:r>
              <w:rPr>
                <w:rFonts w:asciiTheme="minorHAnsi" w:hAnsiTheme="minorHAnsi" w:cstheme="minorHAnsi"/>
              </w:rPr>
              <w:t>.</w:t>
            </w:r>
          </w:p>
        </w:tc>
        <w:tc>
          <w:tcPr>
            <w:tcW w:w="2654" w:type="dxa"/>
            <w:tcBorders>
              <w:top w:val="single" w:sz="4" w:space="0" w:color="000000"/>
              <w:left w:val="single" w:sz="4" w:space="0" w:color="000000"/>
              <w:bottom w:val="single" w:sz="4" w:space="0" w:color="000000"/>
              <w:right w:val="single" w:sz="4" w:space="0" w:color="000000"/>
            </w:tcBorders>
            <w:hideMark/>
          </w:tcPr>
          <w:p w14:paraId="50C55943" w14:textId="77777777" w:rsidR="0034322D" w:rsidRDefault="0034322D" w:rsidP="00931169">
            <w:pPr>
              <w:pStyle w:val="BATextvtabulce"/>
              <w:widowControl w:val="0"/>
              <w:jc w:val="both"/>
              <w:rPr>
                <w:rFonts w:asciiTheme="minorHAnsi" w:hAnsiTheme="minorHAnsi" w:cstheme="minorHAnsi"/>
              </w:rPr>
            </w:pPr>
            <w:r>
              <w:rPr>
                <w:rFonts w:asciiTheme="minorHAnsi" w:hAnsiTheme="minorHAnsi" w:cstheme="minorHAnsi"/>
              </w:rPr>
              <w:t>AVC - supermarket</w:t>
            </w:r>
          </w:p>
        </w:tc>
        <w:tc>
          <w:tcPr>
            <w:tcW w:w="1147" w:type="dxa"/>
            <w:tcBorders>
              <w:top w:val="single" w:sz="4" w:space="0" w:color="000000"/>
              <w:left w:val="single" w:sz="4" w:space="0" w:color="000000"/>
              <w:bottom w:val="single" w:sz="4" w:space="0" w:color="000000"/>
              <w:right w:val="single" w:sz="4" w:space="0" w:color="000000"/>
            </w:tcBorders>
            <w:hideMark/>
          </w:tcPr>
          <w:p w14:paraId="3DFE3FEC"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hd w:val="clear" w:color="auto" w:fill="FFFFFF"/>
              </w:rPr>
              <w:t>A</w:t>
            </w:r>
          </w:p>
        </w:tc>
      </w:tr>
      <w:tr w:rsidR="0034322D" w14:paraId="6A4D8BA3"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06B9A228"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rPr>
              <w:t>SK/EZ/CA/169</w:t>
            </w:r>
          </w:p>
        </w:tc>
        <w:tc>
          <w:tcPr>
            <w:tcW w:w="4106" w:type="dxa"/>
            <w:tcBorders>
              <w:top w:val="single" w:sz="4" w:space="0" w:color="000000"/>
              <w:left w:val="single" w:sz="4" w:space="0" w:color="000000"/>
              <w:bottom w:val="single" w:sz="4" w:space="0" w:color="000000"/>
              <w:right w:val="single" w:sz="4" w:space="0" w:color="000000"/>
            </w:tcBorders>
            <w:hideMark/>
          </w:tcPr>
          <w:p w14:paraId="1A8E7BC0"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z w:val="17"/>
                <w:szCs w:val="17"/>
                <w:shd w:val="clear" w:color="auto" w:fill="FFFFFF"/>
              </w:rPr>
              <w:t>Rušňové depo, Cargo a.s.</w:t>
            </w:r>
          </w:p>
        </w:tc>
        <w:tc>
          <w:tcPr>
            <w:tcW w:w="2654" w:type="dxa"/>
            <w:tcBorders>
              <w:top w:val="single" w:sz="4" w:space="0" w:color="000000"/>
              <w:left w:val="single" w:sz="4" w:space="0" w:color="000000"/>
              <w:bottom w:val="single" w:sz="4" w:space="0" w:color="000000"/>
              <w:right w:val="single" w:sz="4" w:space="0" w:color="000000"/>
            </w:tcBorders>
            <w:hideMark/>
          </w:tcPr>
          <w:p w14:paraId="672E3676"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z w:val="17"/>
                <w:szCs w:val="17"/>
                <w:shd w:val="clear" w:color="auto" w:fill="FFFFFF"/>
              </w:rPr>
              <w:t>železničné depo a stanica</w:t>
            </w:r>
          </w:p>
        </w:tc>
        <w:tc>
          <w:tcPr>
            <w:tcW w:w="1147" w:type="dxa"/>
            <w:tcBorders>
              <w:top w:val="single" w:sz="4" w:space="0" w:color="000000"/>
              <w:left w:val="single" w:sz="4" w:space="0" w:color="000000"/>
              <w:bottom w:val="single" w:sz="4" w:space="0" w:color="000000"/>
              <w:right w:val="single" w:sz="4" w:space="0" w:color="000000"/>
            </w:tcBorders>
            <w:hideMark/>
          </w:tcPr>
          <w:p w14:paraId="72EC322B"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hd w:val="clear" w:color="auto" w:fill="FFFFFF"/>
              </w:rPr>
              <w:t>B</w:t>
            </w:r>
          </w:p>
        </w:tc>
      </w:tr>
      <w:tr w:rsidR="0034322D" w14:paraId="32696ECB"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3BF2DB56"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rPr>
              <w:t>SK/EZ/CA/168</w:t>
            </w:r>
          </w:p>
        </w:tc>
        <w:tc>
          <w:tcPr>
            <w:tcW w:w="4106" w:type="dxa"/>
            <w:tcBorders>
              <w:top w:val="single" w:sz="4" w:space="0" w:color="000000"/>
              <w:left w:val="single" w:sz="4" w:space="0" w:color="000000"/>
              <w:bottom w:val="single" w:sz="4" w:space="0" w:color="000000"/>
              <w:right w:val="single" w:sz="4" w:space="0" w:color="000000"/>
            </w:tcBorders>
            <w:hideMark/>
          </w:tcPr>
          <w:p w14:paraId="6ED53407"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z w:val="17"/>
                <w:szCs w:val="17"/>
                <w:shd w:val="clear" w:color="auto" w:fill="FFFFFF"/>
              </w:rPr>
              <w:t>CA (003) / Čadca - SAD</w:t>
            </w:r>
          </w:p>
        </w:tc>
        <w:tc>
          <w:tcPr>
            <w:tcW w:w="2654" w:type="dxa"/>
            <w:tcBorders>
              <w:top w:val="single" w:sz="4" w:space="0" w:color="000000"/>
              <w:left w:val="single" w:sz="4" w:space="0" w:color="000000"/>
              <w:bottom w:val="single" w:sz="4" w:space="0" w:color="000000"/>
              <w:right w:val="single" w:sz="4" w:space="0" w:color="000000"/>
            </w:tcBorders>
            <w:hideMark/>
          </w:tcPr>
          <w:p w14:paraId="0439DCD1"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rPr>
              <w:t>SAD</w:t>
            </w:r>
          </w:p>
        </w:tc>
        <w:tc>
          <w:tcPr>
            <w:tcW w:w="1147" w:type="dxa"/>
            <w:tcBorders>
              <w:top w:val="single" w:sz="4" w:space="0" w:color="000000"/>
              <w:left w:val="single" w:sz="4" w:space="0" w:color="000000"/>
              <w:bottom w:val="single" w:sz="4" w:space="0" w:color="000000"/>
              <w:right w:val="single" w:sz="4" w:space="0" w:color="000000"/>
            </w:tcBorders>
            <w:hideMark/>
          </w:tcPr>
          <w:p w14:paraId="3AD90389"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hd w:val="clear" w:color="auto" w:fill="FFFFFF"/>
              </w:rPr>
              <w:t>A</w:t>
            </w:r>
          </w:p>
        </w:tc>
      </w:tr>
      <w:tr w:rsidR="0034322D" w14:paraId="0746F0B0"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11CC3B4A" w14:textId="77777777" w:rsidR="0034322D" w:rsidRDefault="0034322D" w:rsidP="00931169">
            <w:pPr>
              <w:pStyle w:val="BATextvtabulce"/>
              <w:widowControl w:val="0"/>
              <w:jc w:val="both"/>
              <w:rPr>
                <w:rFonts w:asciiTheme="minorHAnsi" w:hAnsiTheme="minorHAnsi" w:cstheme="minorHAnsi"/>
                <w:color w:val="FF0000"/>
                <w:shd w:val="clear" w:color="auto" w:fill="FFFFFF"/>
              </w:rPr>
            </w:pPr>
            <w:r>
              <w:rPr>
                <w:rFonts w:asciiTheme="minorHAnsi" w:hAnsiTheme="minorHAnsi" w:cstheme="minorHAnsi"/>
              </w:rPr>
              <w:t>SK/EZ/CA/167</w:t>
            </w:r>
          </w:p>
        </w:tc>
        <w:tc>
          <w:tcPr>
            <w:tcW w:w="4106" w:type="dxa"/>
            <w:tcBorders>
              <w:top w:val="single" w:sz="4" w:space="0" w:color="000000"/>
              <w:left w:val="single" w:sz="4" w:space="0" w:color="000000"/>
              <w:bottom w:val="single" w:sz="4" w:space="0" w:color="000000"/>
              <w:right w:val="single" w:sz="4" w:space="0" w:color="000000"/>
            </w:tcBorders>
            <w:hideMark/>
          </w:tcPr>
          <w:p w14:paraId="630B3BAE" w14:textId="77777777" w:rsidR="0034322D" w:rsidRDefault="0034322D" w:rsidP="00931169">
            <w:pPr>
              <w:pStyle w:val="BATextvtabulce"/>
              <w:widowControl w:val="0"/>
              <w:jc w:val="both"/>
              <w:rPr>
                <w:rFonts w:asciiTheme="minorHAnsi" w:hAnsiTheme="minorHAnsi" w:cstheme="minorHAnsi"/>
                <w:color w:val="FF0000"/>
                <w:shd w:val="clear" w:color="auto" w:fill="FFFFFF"/>
              </w:rPr>
            </w:pPr>
            <w:r>
              <w:rPr>
                <w:rFonts w:asciiTheme="minorHAnsi" w:hAnsiTheme="minorHAnsi" w:cstheme="minorHAnsi"/>
                <w:color w:val="000000"/>
                <w:sz w:val="17"/>
                <w:szCs w:val="17"/>
                <w:shd w:val="clear" w:color="auto" w:fill="FFFFFF"/>
              </w:rPr>
              <w:t>ČS PHM Čadca - Horelica</w:t>
            </w:r>
          </w:p>
        </w:tc>
        <w:tc>
          <w:tcPr>
            <w:tcW w:w="2654" w:type="dxa"/>
            <w:tcBorders>
              <w:top w:val="single" w:sz="4" w:space="0" w:color="000000"/>
              <w:left w:val="single" w:sz="4" w:space="0" w:color="000000"/>
              <w:bottom w:val="single" w:sz="4" w:space="0" w:color="000000"/>
              <w:right w:val="single" w:sz="4" w:space="0" w:color="000000"/>
            </w:tcBorders>
            <w:hideMark/>
          </w:tcPr>
          <w:p w14:paraId="40FD6C16" w14:textId="77777777" w:rsidR="0034322D" w:rsidRDefault="0034322D" w:rsidP="00931169">
            <w:pPr>
              <w:pStyle w:val="BATextvtabulce"/>
              <w:widowControl w:val="0"/>
              <w:jc w:val="both"/>
              <w:rPr>
                <w:rFonts w:asciiTheme="minorHAnsi" w:hAnsiTheme="minorHAnsi" w:cstheme="minorHAnsi"/>
                <w:color w:val="FF0000"/>
                <w:shd w:val="clear" w:color="auto" w:fill="FFFFFF"/>
              </w:rPr>
            </w:pPr>
            <w:r>
              <w:rPr>
                <w:rFonts w:asciiTheme="minorHAnsi" w:hAnsiTheme="minorHAnsi" w:cstheme="minorHAnsi"/>
                <w:color w:val="000000"/>
                <w:sz w:val="17"/>
                <w:szCs w:val="17"/>
                <w:shd w:val="clear" w:color="auto" w:fill="FFFFFF"/>
              </w:rPr>
              <w:t>čerpacia stanica PHM</w:t>
            </w:r>
          </w:p>
        </w:tc>
        <w:tc>
          <w:tcPr>
            <w:tcW w:w="1147" w:type="dxa"/>
            <w:tcBorders>
              <w:top w:val="single" w:sz="4" w:space="0" w:color="000000"/>
              <w:left w:val="single" w:sz="4" w:space="0" w:color="000000"/>
              <w:bottom w:val="single" w:sz="4" w:space="0" w:color="000000"/>
              <w:right w:val="single" w:sz="4" w:space="0" w:color="000000"/>
            </w:tcBorders>
            <w:hideMark/>
          </w:tcPr>
          <w:p w14:paraId="552854B8" w14:textId="77777777" w:rsidR="0034322D" w:rsidRDefault="0034322D" w:rsidP="00931169">
            <w:pPr>
              <w:pStyle w:val="BATextvtabulce"/>
              <w:widowControl w:val="0"/>
              <w:jc w:val="both"/>
              <w:rPr>
                <w:rFonts w:asciiTheme="minorHAnsi" w:hAnsiTheme="minorHAnsi" w:cstheme="minorHAnsi"/>
                <w:color w:val="FF0000"/>
                <w:shd w:val="clear" w:color="auto" w:fill="FFFFFF"/>
              </w:rPr>
            </w:pPr>
            <w:r>
              <w:rPr>
                <w:rFonts w:asciiTheme="minorHAnsi" w:hAnsiTheme="minorHAnsi" w:cstheme="minorHAnsi"/>
                <w:shd w:val="clear" w:color="auto" w:fill="FFFFFF"/>
              </w:rPr>
              <w:t>B, C</w:t>
            </w:r>
          </w:p>
        </w:tc>
      </w:tr>
      <w:tr w:rsidR="0034322D" w14:paraId="38BB4B18"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478C3B3F" w14:textId="77777777" w:rsidR="0034322D" w:rsidRDefault="0034322D" w:rsidP="00931169">
            <w:pPr>
              <w:pStyle w:val="BATextvtabulce"/>
              <w:widowControl w:val="0"/>
              <w:jc w:val="both"/>
              <w:rPr>
                <w:rFonts w:asciiTheme="minorHAnsi" w:hAnsiTheme="minorHAnsi" w:cstheme="minorHAnsi"/>
              </w:rPr>
            </w:pPr>
            <w:r>
              <w:rPr>
                <w:rFonts w:asciiTheme="minorHAnsi" w:hAnsiTheme="minorHAnsi" w:cstheme="minorHAnsi"/>
                <w:color w:val="000000"/>
                <w:sz w:val="17"/>
                <w:szCs w:val="17"/>
                <w:shd w:val="clear" w:color="auto" w:fill="FFFFFF"/>
              </w:rPr>
              <w:t>SK/EZ/CA/173</w:t>
            </w:r>
          </w:p>
        </w:tc>
        <w:tc>
          <w:tcPr>
            <w:tcW w:w="4106" w:type="dxa"/>
            <w:tcBorders>
              <w:top w:val="single" w:sz="4" w:space="0" w:color="000000"/>
              <w:left w:val="single" w:sz="4" w:space="0" w:color="000000"/>
              <w:bottom w:val="single" w:sz="4" w:space="0" w:color="000000"/>
              <w:right w:val="single" w:sz="4" w:space="0" w:color="000000"/>
            </w:tcBorders>
            <w:hideMark/>
          </w:tcPr>
          <w:p w14:paraId="69C9B946" w14:textId="77777777" w:rsidR="0034322D" w:rsidRDefault="0034322D" w:rsidP="00931169">
            <w:pPr>
              <w:pStyle w:val="BATextvtabulce"/>
              <w:widowControl w:val="0"/>
              <w:jc w:val="both"/>
              <w:rPr>
                <w:rFonts w:asciiTheme="minorHAnsi" w:hAnsiTheme="minorHAnsi" w:cstheme="minorHAnsi"/>
                <w:color w:val="000000"/>
                <w:sz w:val="17"/>
                <w:szCs w:val="17"/>
                <w:shd w:val="clear" w:color="auto" w:fill="FFFFFF"/>
              </w:rPr>
            </w:pPr>
            <w:r>
              <w:rPr>
                <w:rFonts w:asciiTheme="minorHAnsi" w:hAnsiTheme="minorHAnsi" w:cstheme="minorHAnsi"/>
                <w:color w:val="000000"/>
                <w:sz w:val="17"/>
                <w:szCs w:val="17"/>
                <w:shd w:val="clear" w:color="auto" w:fill="FFFFFF"/>
              </w:rPr>
              <w:t>CA (008) / Oščadnica - FRACHO</w:t>
            </w:r>
          </w:p>
        </w:tc>
        <w:tc>
          <w:tcPr>
            <w:tcW w:w="2654" w:type="dxa"/>
            <w:tcBorders>
              <w:top w:val="single" w:sz="4" w:space="0" w:color="000000"/>
              <w:left w:val="single" w:sz="4" w:space="0" w:color="000000"/>
              <w:bottom w:val="single" w:sz="4" w:space="0" w:color="000000"/>
              <w:right w:val="single" w:sz="4" w:space="0" w:color="000000"/>
            </w:tcBorders>
            <w:hideMark/>
          </w:tcPr>
          <w:p w14:paraId="7AD5A704" w14:textId="77777777" w:rsidR="0034322D" w:rsidRDefault="0034322D" w:rsidP="00931169">
            <w:pPr>
              <w:pStyle w:val="BATextvtabulce"/>
              <w:widowControl w:val="0"/>
              <w:jc w:val="both"/>
              <w:rPr>
                <w:rFonts w:asciiTheme="minorHAnsi" w:hAnsiTheme="minorHAnsi" w:cstheme="minorHAnsi"/>
                <w:color w:val="000000"/>
                <w:sz w:val="17"/>
                <w:szCs w:val="17"/>
                <w:shd w:val="clear" w:color="auto" w:fill="FFFFFF"/>
              </w:rPr>
            </w:pPr>
            <w:r>
              <w:rPr>
                <w:rFonts w:asciiTheme="minorHAnsi" w:hAnsiTheme="minorHAnsi" w:cstheme="minorHAnsi"/>
                <w:color w:val="000000"/>
                <w:sz w:val="17"/>
                <w:szCs w:val="17"/>
                <w:shd w:val="clear" w:color="auto" w:fill="FFFFFF"/>
              </w:rPr>
              <w:t>-</w:t>
            </w:r>
          </w:p>
        </w:tc>
        <w:tc>
          <w:tcPr>
            <w:tcW w:w="1147" w:type="dxa"/>
            <w:tcBorders>
              <w:top w:val="single" w:sz="4" w:space="0" w:color="000000"/>
              <w:left w:val="single" w:sz="4" w:space="0" w:color="000000"/>
              <w:bottom w:val="single" w:sz="4" w:space="0" w:color="000000"/>
              <w:right w:val="single" w:sz="4" w:space="0" w:color="000000"/>
            </w:tcBorders>
            <w:hideMark/>
          </w:tcPr>
          <w:p w14:paraId="71753691"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hd w:val="clear" w:color="auto" w:fill="FFFFFF"/>
              </w:rPr>
              <w:t>A</w:t>
            </w:r>
          </w:p>
        </w:tc>
      </w:tr>
      <w:tr w:rsidR="0034322D" w14:paraId="7F2139E3"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043C9949" w14:textId="77777777" w:rsidR="0034322D" w:rsidRDefault="0034322D" w:rsidP="00931169">
            <w:pPr>
              <w:pStyle w:val="BATextvtabulce"/>
              <w:widowControl w:val="0"/>
              <w:jc w:val="both"/>
              <w:rPr>
                <w:rFonts w:asciiTheme="minorHAnsi" w:hAnsiTheme="minorHAnsi" w:cstheme="minorHAnsi"/>
              </w:rPr>
            </w:pPr>
            <w:r>
              <w:rPr>
                <w:rFonts w:asciiTheme="minorHAnsi" w:hAnsiTheme="minorHAnsi" w:cstheme="minorHAnsi"/>
                <w:color w:val="000000"/>
                <w:sz w:val="17"/>
                <w:szCs w:val="17"/>
                <w:shd w:val="clear" w:color="auto" w:fill="FFFFFF"/>
              </w:rPr>
              <w:t>SK/EZ/CA/171</w:t>
            </w:r>
          </w:p>
        </w:tc>
        <w:tc>
          <w:tcPr>
            <w:tcW w:w="4106" w:type="dxa"/>
            <w:tcBorders>
              <w:top w:val="single" w:sz="4" w:space="0" w:color="000000"/>
              <w:left w:val="single" w:sz="4" w:space="0" w:color="000000"/>
              <w:bottom w:val="single" w:sz="4" w:space="0" w:color="000000"/>
              <w:right w:val="single" w:sz="4" w:space="0" w:color="000000"/>
            </w:tcBorders>
            <w:hideMark/>
          </w:tcPr>
          <w:p w14:paraId="23D13686" w14:textId="77777777" w:rsidR="0034322D" w:rsidRDefault="0034322D" w:rsidP="00931169">
            <w:pPr>
              <w:pStyle w:val="BATextvtabulce"/>
              <w:widowControl w:val="0"/>
              <w:jc w:val="both"/>
              <w:rPr>
                <w:rFonts w:asciiTheme="minorHAnsi" w:hAnsiTheme="minorHAnsi" w:cstheme="minorHAnsi"/>
                <w:color w:val="000000"/>
                <w:sz w:val="17"/>
                <w:szCs w:val="17"/>
                <w:shd w:val="clear" w:color="auto" w:fill="FFFFFF"/>
              </w:rPr>
            </w:pPr>
            <w:r>
              <w:rPr>
                <w:rFonts w:asciiTheme="minorHAnsi" w:hAnsiTheme="minorHAnsi" w:cstheme="minorHAnsi"/>
                <w:color w:val="000000"/>
                <w:sz w:val="17"/>
                <w:szCs w:val="17"/>
                <w:shd w:val="clear" w:color="auto" w:fill="FFFFFF"/>
              </w:rPr>
              <w:t>CA (006) / Krásno nad Kysucou - skládka - rybári</w:t>
            </w:r>
          </w:p>
        </w:tc>
        <w:tc>
          <w:tcPr>
            <w:tcW w:w="2654" w:type="dxa"/>
            <w:tcBorders>
              <w:top w:val="single" w:sz="4" w:space="0" w:color="000000"/>
              <w:left w:val="single" w:sz="4" w:space="0" w:color="000000"/>
              <w:bottom w:val="single" w:sz="4" w:space="0" w:color="000000"/>
              <w:right w:val="single" w:sz="4" w:space="0" w:color="000000"/>
            </w:tcBorders>
            <w:hideMark/>
          </w:tcPr>
          <w:p w14:paraId="2C258494" w14:textId="77777777" w:rsidR="0034322D" w:rsidRDefault="0034322D" w:rsidP="00931169">
            <w:pPr>
              <w:pStyle w:val="BATextvtabulce"/>
              <w:widowControl w:val="0"/>
              <w:jc w:val="both"/>
              <w:rPr>
                <w:rFonts w:asciiTheme="minorHAnsi" w:hAnsiTheme="minorHAnsi" w:cstheme="minorHAnsi"/>
                <w:color w:val="000000"/>
                <w:sz w:val="17"/>
                <w:szCs w:val="17"/>
                <w:shd w:val="clear" w:color="auto" w:fill="FFFFFF"/>
              </w:rPr>
            </w:pPr>
            <w:r>
              <w:rPr>
                <w:rFonts w:asciiTheme="minorHAnsi" w:hAnsiTheme="minorHAnsi" w:cstheme="minorHAnsi"/>
                <w:color w:val="000000"/>
                <w:sz w:val="17"/>
                <w:szCs w:val="17"/>
                <w:shd w:val="clear" w:color="auto" w:fill="FFFFFF"/>
              </w:rPr>
              <w:t>skládka - rybári</w:t>
            </w:r>
          </w:p>
        </w:tc>
        <w:tc>
          <w:tcPr>
            <w:tcW w:w="1147" w:type="dxa"/>
            <w:tcBorders>
              <w:top w:val="single" w:sz="4" w:space="0" w:color="000000"/>
              <w:left w:val="single" w:sz="4" w:space="0" w:color="000000"/>
              <w:bottom w:val="single" w:sz="4" w:space="0" w:color="000000"/>
              <w:right w:val="single" w:sz="4" w:space="0" w:color="000000"/>
            </w:tcBorders>
            <w:hideMark/>
          </w:tcPr>
          <w:p w14:paraId="365BE9B3"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hd w:val="clear" w:color="auto" w:fill="FFFFFF"/>
              </w:rPr>
              <w:t>A</w:t>
            </w:r>
          </w:p>
        </w:tc>
      </w:tr>
      <w:tr w:rsidR="0034322D" w14:paraId="10FCC5E0" w14:textId="77777777" w:rsidTr="0034322D">
        <w:trPr>
          <w:cantSplit/>
        </w:trPr>
        <w:tc>
          <w:tcPr>
            <w:tcW w:w="1451" w:type="dxa"/>
            <w:tcBorders>
              <w:top w:val="single" w:sz="4" w:space="0" w:color="000000"/>
              <w:left w:val="single" w:sz="4" w:space="0" w:color="000000"/>
              <w:bottom w:val="single" w:sz="4" w:space="0" w:color="000000"/>
              <w:right w:val="single" w:sz="4" w:space="0" w:color="000000"/>
            </w:tcBorders>
            <w:hideMark/>
          </w:tcPr>
          <w:p w14:paraId="38B6ACB5" w14:textId="77777777" w:rsidR="0034322D" w:rsidRDefault="0034322D" w:rsidP="00931169">
            <w:pPr>
              <w:pStyle w:val="BATextvtabulce"/>
              <w:widowControl w:val="0"/>
              <w:jc w:val="both"/>
              <w:rPr>
                <w:rFonts w:asciiTheme="minorHAnsi" w:hAnsiTheme="minorHAnsi" w:cstheme="minorHAnsi"/>
              </w:rPr>
            </w:pPr>
            <w:r>
              <w:rPr>
                <w:rFonts w:asciiTheme="minorHAnsi" w:hAnsiTheme="minorHAnsi" w:cstheme="minorHAnsi"/>
                <w:color w:val="000000"/>
                <w:sz w:val="17"/>
                <w:szCs w:val="17"/>
                <w:shd w:val="clear" w:color="auto" w:fill="FFFFFF"/>
              </w:rPr>
              <w:t>SK/EZ/CA/172</w:t>
            </w:r>
          </w:p>
        </w:tc>
        <w:tc>
          <w:tcPr>
            <w:tcW w:w="4106" w:type="dxa"/>
            <w:tcBorders>
              <w:top w:val="single" w:sz="4" w:space="0" w:color="000000"/>
              <w:left w:val="single" w:sz="4" w:space="0" w:color="000000"/>
              <w:bottom w:val="single" w:sz="4" w:space="0" w:color="000000"/>
              <w:right w:val="single" w:sz="4" w:space="0" w:color="000000"/>
            </w:tcBorders>
            <w:hideMark/>
          </w:tcPr>
          <w:p w14:paraId="530C5D51" w14:textId="77777777" w:rsidR="0034322D" w:rsidRDefault="0034322D" w:rsidP="00931169">
            <w:pPr>
              <w:pStyle w:val="BATextvtabulce"/>
              <w:widowControl w:val="0"/>
              <w:jc w:val="both"/>
              <w:rPr>
                <w:rFonts w:asciiTheme="minorHAnsi" w:hAnsiTheme="minorHAnsi" w:cstheme="minorHAnsi"/>
                <w:color w:val="000000"/>
                <w:sz w:val="17"/>
                <w:szCs w:val="17"/>
                <w:shd w:val="clear" w:color="auto" w:fill="FFFFFF"/>
              </w:rPr>
            </w:pPr>
            <w:r>
              <w:rPr>
                <w:rFonts w:asciiTheme="minorHAnsi" w:hAnsiTheme="minorHAnsi" w:cstheme="minorHAnsi"/>
                <w:color w:val="000000"/>
                <w:sz w:val="17"/>
                <w:szCs w:val="17"/>
                <w:shd w:val="clear" w:color="auto" w:fill="FFFFFF"/>
              </w:rPr>
              <w:t>CA (007) / Krásno nad Kysucou - Struhy</w:t>
            </w:r>
          </w:p>
        </w:tc>
        <w:tc>
          <w:tcPr>
            <w:tcW w:w="2654" w:type="dxa"/>
            <w:tcBorders>
              <w:top w:val="single" w:sz="4" w:space="0" w:color="000000"/>
              <w:left w:val="single" w:sz="4" w:space="0" w:color="000000"/>
              <w:bottom w:val="single" w:sz="4" w:space="0" w:color="000000"/>
              <w:right w:val="single" w:sz="4" w:space="0" w:color="000000"/>
            </w:tcBorders>
            <w:hideMark/>
          </w:tcPr>
          <w:p w14:paraId="1C64C3CB" w14:textId="77777777" w:rsidR="0034322D" w:rsidRDefault="0034322D" w:rsidP="00931169">
            <w:pPr>
              <w:pStyle w:val="BATextvtabulce"/>
              <w:widowControl w:val="0"/>
              <w:jc w:val="both"/>
              <w:rPr>
                <w:rFonts w:asciiTheme="minorHAnsi" w:hAnsiTheme="minorHAnsi" w:cstheme="minorHAnsi"/>
                <w:color w:val="000000"/>
                <w:sz w:val="17"/>
                <w:szCs w:val="17"/>
                <w:shd w:val="clear" w:color="auto" w:fill="FFFFFF"/>
              </w:rPr>
            </w:pPr>
            <w:r>
              <w:rPr>
                <w:rFonts w:asciiTheme="minorHAnsi" w:hAnsiTheme="minorHAnsi" w:cstheme="minorHAnsi"/>
                <w:color w:val="000000"/>
                <w:sz w:val="17"/>
                <w:szCs w:val="17"/>
                <w:shd w:val="clear" w:color="auto" w:fill="FFFFFF"/>
              </w:rPr>
              <w:t>-</w:t>
            </w:r>
          </w:p>
        </w:tc>
        <w:tc>
          <w:tcPr>
            <w:tcW w:w="1147" w:type="dxa"/>
            <w:tcBorders>
              <w:top w:val="single" w:sz="4" w:space="0" w:color="000000"/>
              <w:left w:val="single" w:sz="4" w:space="0" w:color="000000"/>
              <w:bottom w:val="single" w:sz="4" w:space="0" w:color="000000"/>
              <w:right w:val="single" w:sz="4" w:space="0" w:color="000000"/>
            </w:tcBorders>
            <w:hideMark/>
          </w:tcPr>
          <w:p w14:paraId="60B814A4" w14:textId="77777777" w:rsidR="0034322D" w:rsidRDefault="0034322D" w:rsidP="00931169">
            <w:pPr>
              <w:pStyle w:val="BATextvtabulce"/>
              <w:widowControl w:val="0"/>
              <w:jc w:val="both"/>
              <w:rPr>
                <w:rFonts w:asciiTheme="minorHAnsi" w:hAnsiTheme="minorHAnsi" w:cstheme="minorHAnsi"/>
                <w:shd w:val="clear" w:color="auto" w:fill="FFFFFF"/>
              </w:rPr>
            </w:pPr>
            <w:r>
              <w:rPr>
                <w:rFonts w:asciiTheme="minorHAnsi" w:hAnsiTheme="minorHAnsi" w:cstheme="minorHAnsi"/>
                <w:shd w:val="clear" w:color="auto" w:fill="FFFFFF"/>
              </w:rPr>
              <w:t>A</w:t>
            </w:r>
          </w:p>
        </w:tc>
      </w:tr>
      <w:tr w:rsidR="0034322D" w14:paraId="2668DFCA" w14:textId="77777777" w:rsidTr="0034322D">
        <w:trPr>
          <w:cantSplit/>
        </w:trPr>
        <w:tc>
          <w:tcPr>
            <w:tcW w:w="9358" w:type="dxa"/>
            <w:gridSpan w:val="4"/>
            <w:tcBorders>
              <w:top w:val="single" w:sz="4" w:space="0" w:color="000000"/>
              <w:left w:val="single" w:sz="4" w:space="0" w:color="000000"/>
              <w:bottom w:val="single" w:sz="4" w:space="0" w:color="000000"/>
              <w:right w:val="single" w:sz="4" w:space="0" w:color="000000"/>
            </w:tcBorders>
            <w:hideMark/>
          </w:tcPr>
          <w:p w14:paraId="4C3FE43D" w14:textId="77777777" w:rsidR="0034322D" w:rsidRDefault="0034322D" w:rsidP="00931169">
            <w:pPr>
              <w:pStyle w:val="BATextvtabulce"/>
              <w:widowControl w:val="0"/>
              <w:jc w:val="both"/>
              <w:rPr>
                <w:rFonts w:asciiTheme="minorHAnsi" w:hAnsiTheme="minorHAnsi" w:cstheme="minorHAnsi"/>
                <w:i/>
                <w:lang w:val="sk-SK"/>
              </w:rPr>
            </w:pPr>
            <w:r>
              <w:rPr>
                <w:rFonts w:asciiTheme="minorHAnsi" w:hAnsiTheme="minorHAnsi" w:cstheme="minorHAnsi"/>
                <w:i/>
                <w:lang w:val="sk-SK"/>
              </w:rPr>
              <w:t>* A Pravdepodobná EZ – modrý bod</w:t>
            </w:r>
          </w:p>
          <w:p w14:paraId="4A23C509" w14:textId="77777777" w:rsidR="0034322D" w:rsidRDefault="0034322D" w:rsidP="00931169">
            <w:pPr>
              <w:pStyle w:val="BATextvtabulce"/>
              <w:widowControl w:val="0"/>
              <w:jc w:val="both"/>
              <w:rPr>
                <w:rFonts w:asciiTheme="minorHAnsi" w:hAnsiTheme="minorHAnsi" w:cstheme="minorHAnsi"/>
                <w:i/>
                <w:lang w:val="sk-SK"/>
              </w:rPr>
            </w:pPr>
            <w:r>
              <w:rPr>
                <w:rFonts w:asciiTheme="minorHAnsi" w:hAnsiTheme="minorHAnsi" w:cstheme="minorHAnsi"/>
                <w:i/>
                <w:lang w:val="sk-SK"/>
              </w:rPr>
              <w:t>B potvrdená EZ – červený bod</w:t>
            </w:r>
          </w:p>
          <w:p w14:paraId="594AD20B" w14:textId="77777777" w:rsidR="0034322D" w:rsidRDefault="0034322D" w:rsidP="00931169">
            <w:pPr>
              <w:pStyle w:val="BATextvtabulce"/>
              <w:widowControl w:val="0"/>
              <w:jc w:val="both"/>
              <w:rPr>
                <w:rFonts w:asciiTheme="minorHAnsi" w:hAnsiTheme="minorHAnsi" w:cstheme="minorHAnsi"/>
                <w:i/>
                <w:lang w:val="sk-SK"/>
              </w:rPr>
            </w:pPr>
            <w:r>
              <w:rPr>
                <w:rFonts w:asciiTheme="minorHAnsi" w:hAnsiTheme="minorHAnsi" w:cstheme="minorHAnsi"/>
                <w:i/>
                <w:lang w:val="sk-SK"/>
              </w:rPr>
              <w:t>C sanovaná/rekultivovaná lokalita – zelený bod</w:t>
            </w:r>
          </w:p>
        </w:tc>
      </w:tr>
      <w:tr w:rsidR="0034322D" w14:paraId="565F35DC" w14:textId="77777777" w:rsidTr="0034322D">
        <w:trPr>
          <w:trHeight w:val="418"/>
        </w:trPr>
        <w:tc>
          <w:tcPr>
            <w:tcW w:w="9358" w:type="dxa"/>
            <w:gridSpan w:val="4"/>
            <w:tcBorders>
              <w:top w:val="single" w:sz="6" w:space="0" w:color="000000"/>
              <w:left w:val="single" w:sz="4" w:space="0" w:color="000000"/>
              <w:bottom w:val="single" w:sz="4" w:space="0" w:color="000000"/>
              <w:right w:val="single" w:sz="4" w:space="0" w:color="000000"/>
            </w:tcBorders>
            <w:vAlign w:val="center"/>
            <w:hideMark/>
          </w:tcPr>
          <w:p w14:paraId="205E2286" w14:textId="77777777" w:rsidR="0034322D" w:rsidRDefault="0034322D" w:rsidP="00931169">
            <w:pPr>
              <w:pStyle w:val="Popis"/>
              <w:widowControl w:val="0"/>
              <w:jc w:val="both"/>
              <w:rPr>
                <w:rFonts w:asciiTheme="minorHAnsi" w:hAnsiTheme="minorHAnsi" w:cstheme="minorHAnsi"/>
                <w:lang w:val="cs-CZ"/>
              </w:rPr>
            </w:pPr>
            <w:bookmarkStart w:id="123" w:name="_Toc479159092"/>
            <w:bookmarkStart w:id="124" w:name="_Toc462812181"/>
            <w:r>
              <w:rPr>
                <w:rFonts w:asciiTheme="minorHAnsi" w:hAnsiTheme="minorHAnsi" w:cstheme="minorHAnsi"/>
              </w:rPr>
              <w:t>Tab. Prehľad  environmentálnych  záťaží (stav údajov k 13.11.2019)</w:t>
            </w:r>
            <w:bookmarkEnd w:id="123"/>
          </w:p>
        </w:tc>
      </w:tr>
    </w:tbl>
    <w:p w14:paraId="1DA22831" w14:textId="77777777" w:rsidR="0034322D" w:rsidRPr="00F4315B" w:rsidRDefault="0034322D" w:rsidP="00931169">
      <w:pPr>
        <w:pStyle w:val="Nadpis2"/>
        <w:rPr>
          <w:rFonts w:cstheme="minorHAnsi"/>
        </w:rPr>
      </w:pPr>
      <w:bookmarkStart w:id="125" w:name="_Toc479159170"/>
      <w:bookmarkStart w:id="126" w:name="_Toc24660444"/>
      <w:bookmarkStart w:id="127" w:name="_Toc24661456"/>
      <w:bookmarkStart w:id="128" w:name="_Toc88652943"/>
      <w:r w:rsidRPr="00F4315B">
        <w:rPr>
          <w:rFonts w:cstheme="minorHAnsi"/>
        </w:rPr>
        <w:lastRenderedPageBreak/>
        <w:t>Hydrogeologické pomery</w:t>
      </w:r>
      <w:bookmarkEnd w:id="124"/>
      <w:bookmarkEnd w:id="125"/>
      <w:bookmarkEnd w:id="126"/>
      <w:bookmarkEnd w:id="127"/>
      <w:bookmarkEnd w:id="128"/>
    </w:p>
    <w:p w14:paraId="70ECAF86" w14:textId="77777777" w:rsidR="0034322D" w:rsidRDefault="0034322D" w:rsidP="00931169">
      <w:pPr>
        <w:autoSpaceDE w:val="0"/>
        <w:autoSpaceDN w:val="0"/>
        <w:adjustRightInd w:val="0"/>
        <w:spacing w:after="120" w:line="268" w:lineRule="auto"/>
        <w:ind w:firstLine="708"/>
        <w:rPr>
          <w:rFonts w:eastAsia="Times New Roman" w:cstheme="minorHAnsi"/>
          <w:lang w:eastAsia="sk-SK"/>
        </w:rPr>
      </w:pPr>
      <w:r>
        <w:rPr>
          <w:rFonts w:eastAsia="Times New Roman" w:cstheme="minorHAnsi"/>
          <w:lang w:eastAsia="sk-SK"/>
        </w:rPr>
        <w:t>Z hydrogeologického hľadiska možno podzemné vody v hodnotenom území priradiť k nasledovným hydrogeologickým celkom:</w:t>
      </w:r>
    </w:p>
    <w:p w14:paraId="43168BB6" w14:textId="77777777" w:rsidR="0034322D" w:rsidRDefault="0034322D" w:rsidP="00931169">
      <w:pPr>
        <w:autoSpaceDE w:val="0"/>
        <w:autoSpaceDN w:val="0"/>
        <w:adjustRightInd w:val="0"/>
        <w:spacing w:after="120" w:line="268" w:lineRule="auto"/>
        <w:rPr>
          <w:rFonts w:eastAsia="Times New Roman" w:cstheme="minorHAnsi"/>
          <w:lang w:eastAsia="sk-SK"/>
        </w:rPr>
      </w:pPr>
      <w:r>
        <w:rPr>
          <w:rFonts w:eastAsia="Times New Roman" w:cstheme="minorHAnsi"/>
          <w:lang w:eastAsia="sk-SK"/>
        </w:rPr>
        <w:t>- podzemné vody paleogénu</w:t>
      </w:r>
    </w:p>
    <w:p w14:paraId="52FA8B79" w14:textId="77777777" w:rsidR="0034322D" w:rsidRDefault="0034322D" w:rsidP="00931169">
      <w:pPr>
        <w:autoSpaceDE w:val="0"/>
        <w:autoSpaceDN w:val="0"/>
        <w:adjustRightInd w:val="0"/>
        <w:spacing w:after="120" w:line="268" w:lineRule="auto"/>
        <w:rPr>
          <w:rFonts w:eastAsia="Times New Roman" w:cstheme="minorHAnsi"/>
          <w:lang w:eastAsia="sk-SK"/>
        </w:rPr>
      </w:pPr>
      <w:r>
        <w:rPr>
          <w:rFonts w:eastAsia="Times New Roman" w:cstheme="minorHAnsi"/>
          <w:lang w:eastAsia="sk-SK"/>
        </w:rPr>
        <w:t>- podzemné vody kvartérnych komplexov.</w:t>
      </w:r>
    </w:p>
    <w:p w14:paraId="70C5904C" w14:textId="77777777" w:rsidR="0034322D" w:rsidRDefault="0034322D" w:rsidP="00931169">
      <w:pPr>
        <w:autoSpaceDE w:val="0"/>
        <w:autoSpaceDN w:val="0"/>
        <w:adjustRightInd w:val="0"/>
        <w:spacing w:after="120" w:line="268" w:lineRule="auto"/>
        <w:ind w:firstLine="708"/>
        <w:rPr>
          <w:rFonts w:eastAsia="Times New Roman" w:cstheme="minorHAnsi"/>
          <w:lang w:eastAsia="sk-SK"/>
        </w:rPr>
      </w:pPr>
      <w:r>
        <w:rPr>
          <w:rFonts w:eastAsia="Times New Roman" w:cstheme="minorHAnsi"/>
          <w:lang w:eastAsia="sk-SK"/>
        </w:rPr>
        <w:t>Z hľadiska regionálneho hydrogeologického členenia hodnotené územie patrí do hydrogeologického rajónu PQ-028 Paleogén povodia Kysuce. Hydrogeologické pomery v oblasti sú odrazom litologickej stavby podložných paleogénnych a pokryvných kvartérnych útvarov. Hlavným hydrogeologickým kolektorom vo flyšovom území je pripovrchová zóna, zahrňujúca pásmo podpovrchového rozvoľnenia puklín a zónu zvetrania. Pre flyšové územie je charakteristický pokles priepustnosti s narastajúcou hĺbkou. Obeh podzemnej vody je plytký a prakticky viazaný, len na pripovrchovú zónu. Hlbší obeh podzemnej vody je obmedzený len na tektonicky porušené otvorené zóny.</w:t>
      </w:r>
    </w:p>
    <w:p w14:paraId="663DB0AA" w14:textId="77777777" w:rsidR="0034322D" w:rsidRDefault="0034322D" w:rsidP="00931169">
      <w:pPr>
        <w:autoSpaceDE w:val="0"/>
        <w:autoSpaceDN w:val="0"/>
        <w:adjustRightInd w:val="0"/>
        <w:spacing w:after="120" w:line="268" w:lineRule="auto"/>
        <w:ind w:firstLine="708"/>
        <w:rPr>
          <w:rFonts w:eastAsia="Times New Roman" w:cstheme="minorHAnsi"/>
          <w:lang w:eastAsia="sk-SK"/>
        </w:rPr>
      </w:pPr>
      <w:r>
        <w:rPr>
          <w:rFonts w:eastAsia="Times New Roman" w:cstheme="minorHAnsi"/>
          <w:lang w:eastAsia="sk-SK"/>
        </w:rPr>
        <w:t>Z kvartérnych sedimentov sú vyššou priepustnosťou charakterizované fluviálne, terasové a proluviálne štrky, menej významné sú deluviálne sute. Ich hydrogeologická funkcia je ale obmedzená najmä ich malou hrúbkou, ako aj stupňom zahlinenia.</w:t>
      </w:r>
    </w:p>
    <w:p w14:paraId="67AF49BD" w14:textId="77777777" w:rsidR="0034322D" w:rsidRDefault="0034322D" w:rsidP="00931169">
      <w:pPr>
        <w:rPr>
          <w:rFonts w:cstheme="minorHAnsi"/>
          <w:b/>
        </w:rPr>
      </w:pPr>
      <w:r>
        <w:rPr>
          <w:rFonts w:cstheme="minorHAnsi"/>
          <w:b/>
        </w:rPr>
        <w:t>Chránené vodohospodárske oblasti a vodné zdroje</w:t>
      </w:r>
    </w:p>
    <w:p w14:paraId="4AACCBA6" w14:textId="0C0DDBFC" w:rsidR="0034322D" w:rsidRDefault="0034322D" w:rsidP="00931169">
      <w:pPr>
        <w:autoSpaceDE w:val="0"/>
        <w:autoSpaceDN w:val="0"/>
        <w:adjustRightInd w:val="0"/>
        <w:spacing w:after="120" w:line="268" w:lineRule="auto"/>
        <w:ind w:firstLine="708"/>
        <w:rPr>
          <w:rFonts w:eastAsia="Times New Roman" w:cstheme="minorHAnsi"/>
          <w:lang w:eastAsia="sk-SK"/>
        </w:rPr>
      </w:pPr>
      <w:bookmarkStart w:id="129" w:name="_Toc479159171"/>
      <w:bookmarkStart w:id="130" w:name="_Toc462812182"/>
      <w:r>
        <w:rPr>
          <w:rFonts w:eastAsia="Times New Roman" w:cstheme="minorHAnsi"/>
          <w:lang w:eastAsia="sk-SK"/>
        </w:rPr>
        <w:t>Podľa zákona NR</w:t>
      </w:r>
      <w:r w:rsidR="003A7D4A">
        <w:rPr>
          <w:rFonts w:eastAsia="Times New Roman" w:cstheme="minorHAnsi"/>
          <w:lang w:eastAsia="sk-SK"/>
        </w:rPr>
        <w:t xml:space="preserve"> </w:t>
      </w:r>
      <w:r>
        <w:rPr>
          <w:rFonts w:eastAsia="Times New Roman" w:cstheme="minorHAnsi"/>
          <w:lang w:eastAsia="sk-SK"/>
        </w:rPr>
        <w:t>SR č. 364/2004 Z.</w:t>
      </w:r>
      <w:r w:rsidR="003A7D4A">
        <w:rPr>
          <w:rFonts w:eastAsia="Times New Roman" w:cstheme="minorHAnsi"/>
          <w:lang w:eastAsia="sk-SK"/>
        </w:rPr>
        <w:t xml:space="preserve"> </w:t>
      </w:r>
      <w:r>
        <w:rPr>
          <w:rFonts w:eastAsia="Times New Roman" w:cstheme="minorHAnsi"/>
          <w:lang w:eastAsia="sk-SK"/>
        </w:rPr>
        <w:t xml:space="preserve">z. o vodách </w:t>
      </w:r>
      <w:r w:rsidR="003A7D4A">
        <w:rPr>
          <w:rFonts w:eastAsia="Times New Roman" w:cstheme="minorHAnsi"/>
          <w:lang w:eastAsia="sk-SK"/>
        </w:rPr>
        <w:t xml:space="preserve">v znení neskorších predpisov </w:t>
      </w:r>
      <w:r>
        <w:rPr>
          <w:rFonts w:eastAsia="Times New Roman" w:cstheme="minorHAnsi"/>
          <w:lang w:eastAsia="sk-SK"/>
        </w:rPr>
        <w:t xml:space="preserve">môže vláda </w:t>
      </w:r>
      <w:r w:rsidR="003A7D4A">
        <w:rPr>
          <w:rFonts w:eastAsia="Times New Roman" w:cstheme="minorHAnsi"/>
          <w:lang w:eastAsia="sk-SK"/>
        </w:rPr>
        <w:t xml:space="preserve">SR </w:t>
      </w:r>
      <w:r>
        <w:rPr>
          <w:rFonts w:eastAsia="Times New Roman" w:cstheme="minorHAnsi"/>
          <w:lang w:eastAsia="sk-SK"/>
        </w:rPr>
        <w:t xml:space="preserve">na zabezpečenie ochrany vôd a jej trvalo udržateľného využívania vyhlásiť územie, ktoré svojimi prírodnými podmienkami tvorí významnú prirodzenú akumuláciu vôd, za chránenú vodohospodársku oblasť. Celá hodnotená oblasť sa nachádza v chránenej oblasti prirodzenej akumulácie vôd – Chránenej vodohospodárskej oblasti Beskydy a Javorníky. Hranica CHVO je na severnej a severovýchodnej hranice určená štátnou hranicou, južnú hranicu tvorí takmer v celej dĺžke rieka Váh. </w:t>
      </w:r>
    </w:p>
    <w:p w14:paraId="620D8009" w14:textId="77777777" w:rsidR="0034322D" w:rsidRDefault="0034322D" w:rsidP="00931169">
      <w:pPr>
        <w:autoSpaceDE w:val="0"/>
        <w:autoSpaceDN w:val="0"/>
        <w:adjustRightInd w:val="0"/>
        <w:spacing w:after="120" w:line="268" w:lineRule="auto"/>
        <w:ind w:firstLine="708"/>
        <w:rPr>
          <w:rFonts w:eastAsia="Times New Roman" w:cstheme="minorHAnsi"/>
          <w:lang w:eastAsia="sk-SK"/>
        </w:rPr>
      </w:pPr>
      <w:r>
        <w:rPr>
          <w:rFonts w:eastAsia="Times New Roman" w:cstheme="minorHAnsi"/>
          <w:lang w:eastAsia="sk-SK"/>
        </w:rPr>
        <w:t>CHVO Beskydy a Javorníky sa rozkladá na ploche 805 km2 a celá sa nachádza na ploche povodia Váhu. Kapacita využiteľných množstiev povrchových vodných zdrojov (1,84 m</w:t>
      </w:r>
      <w:r>
        <w:rPr>
          <w:rFonts w:eastAsia="Times New Roman" w:cstheme="minorHAnsi"/>
          <w:vertAlign w:val="superscript"/>
          <w:lang w:eastAsia="sk-SK"/>
        </w:rPr>
        <w:t>3</w:t>
      </w:r>
      <w:r>
        <w:rPr>
          <w:rFonts w:eastAsia="Times New Roman" w:cstheme="minorHAnsi"/>
          <w:lang w:eastAsia="sk-SK"/>
        </w:rPr>
        <w:t>.s</w:t>
      </w:r>
      <w:r>
        <w:rPr>
          <w:rFonts w:eastAsia="Times New Roman" w:cstheme="minorHAnsi"/>
          <w:vertAlign w:val="superscript"/>
          <w:lang w:eastAsia="sk-SK"/>
        </w:rPr>
        <w:t>-1</w:t>
      </w:r>
      <w:r>
        <w:rPr>
          <w:rFonts w:eastAsia="Times New Roman" w:cstheme="minorHAnsi"/>
          <w:lang w:eastAsia="sk-SK"/>
        </w:rPr>
        <w:t>) je takmer trajnásobne väčšia ako množstvo využiteľných podzemných zdojov vody (0,69 m</w:t>
      </w:r>
      <w:r>
        <w:rPr>
          <w:rFonts w:eastAsia="Times New Roman" w:cstheme="minorHAnsi"/>
          <w:vertAlign w:val="superscript"/>
          <w:lang w:eastAsia="sk-SK"/>
        </w:rPr>
        <w:t>3</w:t>
      </w:r>
      <w:r>
        <w:rPr>
          <w:rFonts w:eastAsia="Times New Roman" w:cstheme="minorHAnsi"/>
          <w:lang w:eastAsia="sk-SK"/>
        </w:rPr>
        <w:t>.s</w:t>
      </w:r>
      <w:r>
        <w:rPr>
          <w:rFonts w:eastAsia="Times New Roman" w:cstheme="minorHAnsi"/>
          <w:vertAlign w:val="superscript"/>
          <w:lang w:eastAsia="sk-SK"/>
        </w:rPr>
        <w:t>-1</w:t>
      </w:r>
      <w:r>
        <w:rPr>
          <w:rFonts w:eastAsia="Times New Roman" w:cstheme="minorHAnsi"/>
          <w:lang w:eastAsia="sk-SK"/>
        </w:rPr>
        <w:t>).</w:t>
      </w:r>
    </w:p>
    <w:p w14:paraId="3AF5C637" w14:textId="434EAE24" w:rsidR="0034322D" w:rsidRDefault="0034322D" w:rsidP="00931169">
      <w:pPr>
        <w:pStyle w:val="tlPopisArial9pt"/>
        <w:widowControl/>
        <w:ind w:left="0" w:right="-79" w:firstLine="0"/>
        <w:rPr>
          <w:rFonts w:asciiTheme="minorHAnsi" w:hAnsiTheme="minorHAnsi" w:cstheme="minorHAnsi"/>
          <w:bCs w:val="0"/>
        </w:rPr>
      </w:pPr>
      <w:r>
        <w:rPr>
          <w:rStyle w:val="tlPopisArial9ptChar"/>
          <w:rFonts w:asciiTheme="minorHAnsi" w:hAnsiTheme="minorHAnsi" w:cstheme="minorHAnsi"/>
          <w:bCs/>
        </w:rPr>
        <w:lastRenderedPageBreak/>
        <w:t>Tab.</w:t>
      </w:r>
      <w:r w:rsidR="005940CA">
        <w:rPr>
          <w:rStyle w:val="tlPopisArial9ptChar"/>
          <w:rFonts w:asciiTheme="minorHAnsi" w:hAnsiTheme="minorHAnsi" w:cstheme="minorHAnsi"/>
          <w:bCs/>
        </w:rPr>
        <w:t xml:space="preserve"> 11</w:t>
      </w:r>
      <w:r>
        <w:rPr>
          <w:rStyle w:val="tlPopisArial9ptChar"/>
          <w:rFonts w:asciiTheme="minorHAnsi" w:hAnsiTheme="minorHAnsi" w:cstheme="minorHAnsi"/>
          <w:bCs/>
        </w:rPr>
        <w:t xml:space="preserve"> Vodný zdroj Krásno nad Kysucou</w:t>
      </w:r>
    </w:p>
    <w:p w14:paraId="01C209DF" w14:textId="77777777" w:rsidR="0034322D" w:rsidRDefault="0034322D" w:rsidP="00931169">
      <w:pPr>
        <w:pStyle w:val="Zkladntext"/>
        <w:jc w:val="both"/>
        <w:rPr>
          <w:rFonts w:asciiTheme="minorHAnsi" w:hAnsiTheme="minorHAnsi" w:cstheme="minorHAnsi"/>
        </w:rPr>
      </w:pPr>
      <w:r>
        <w:rPr>
          <w:rFonts w:asciiTheme="minorHAnsi" w:hAnsiTheme="minorHAnsi" w:cstheme="minorHAnsi"/>
        </w:rPr>
        <w:object w:dxaOrig="9360" w:dyaOrig="2895" w14:anchorId="2A0F0A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144.85pt" o:ole="" o:bordertopcolor="this">
            <v:imagedata r:id="rId20" o:title=""/>
            <w10:bordertop type="single" width="4"/>
          </v:shape>
          <o:OLEObject Type="Embed" ProgID="PBrush" ShapeID="_x0000_i1025" DrawAspect="Content" ObjectID="_1700925103" r:id="rId21"/>
        </w:object>
      </w:r>
    </w:p>
    <w:p w14:paraId="0C0153FB" w14:textId="77777777" w:rsidR="0034322D" w:rsidRDefault="0034322D" w:rsidP="00931169">
      <w:pPr>
        <w:autoSpaceDE w:val="0"/>
        <w:autoSpaceDN w:val="0"/>
        <w:adjustRightInd w:val="0"/>
        <w:spacing w:after="120" w:line="268" w:lineRule="auto"/>
        <w:ind w:firstLine="708"/>
        <w:rPr>
          <w:rFonts w:eastAsia="Times New Roman" w:cstheme="minorHAnsi"/>
          <w:lang w:eastAsia="sk-SK"/>
        </w:rPr>
      </w:pPr>
      <w:r>
        <w:rPr>
          <w:rFonts w:eastAsia="Times New Roman" w:cstheme="minorHAnsi"/>
          <w:lang w:eastAsia="sk-SK"/>
        </w:rPr>
        <w:t xml:space="preserve">V záujme ochrany vodárenského zdroja pred ohrozením zo vzdialenejších miest boli na predmetnom úseku určené dve pásmo hygienickej ochrany druhého stupňa vodného zdroja Krásno nad Kysucou a pásmo hygienickej ochrany druhého stupňa vodného zdroja Čadca. Existujúca železničná trať križuje pásmo hygienickej ochrany II. stupňa vodného zdroja Krásno nad Kysucou v úseku sžkm 272,0 – sžkm 273,8. Vodný zdroj je určený na zachytávanie podzemných vôd akumulovaných v kvartérnych aluviálnych náplavoch rieky Kysuce, tvorených piesčitými a balvanitými štrkmi. Ich mocnosť sa v predmetnom území pohybuje od 9,0 – 11,5 m. Pokryvná hlinitá vrstva je malá (0,1 – 0,3 m, ojedinele 2,0 m), miestami chýba, podložie tovrí íl. V súčasnosti sa vodný zdroj nevyužíva. </w:t>
      </w:r>
    </w:p>
    <w:p w14:paraId="29FF7EDB" w14:textId="77777777" w:rsidR="0034322D" w:rsidRPr="00F4315B" w:rsidRDefault="0034322D" w:rsidP="00931169">
      <w:pPr>
        <w:pStyle w:val="Nadpis2"/>
        <w:rPr>
          <w:rFonts w:cstheme="minorHAnsi"/>
        </w:rPr>
      </w:pPr>
      <w:bookmarkStart w:id="131" w:name="_Toc24660445"/>
      <w:bookmarkStart w:id="132" w:name="_Toc24661457"/>
      <w:bookmarkStart w:id="133" w:name="_Toc88652944"/>
      <w:r w:rsidRPr="00F4315B">
        <w:rPr>
          <w:rFonts w:cstheme="minorHAnsi"/>
        </w:rPr>
        <w:t>Hydrologické pomery</w:t>
      </w:r>
      <w:bookmarkEnd w:id="129"/>
      <w:bookmarkEnd w:id="130"/>
      <w:bookmarkEnd w:id="131"/>
      <w:bookmarkEnd w:id="132"/>
      <w:bookmarkEnd w:id="133"/>
    </w:p>
    <w:p w14:paraId="49B26AA5" w14:textId="77777777" w:rsidR="0034322D" w:rsidRDefault="0034322D" w:rsidP="00931169">
      <w:pPr>
        <w:autoSpaceDE w:val="0"/>
        <w:autoSpaceDN w:val="0"/>
        <w:adjustRightInd w:val="0"/>
        <w:spacing w:after="120" w:line="268" w:lineRule="auto"/>
        <w:ind w:firstLine="708"/>
        <w:rPr>
          <w:rFonts w:eastAsia="Times New Roman" w:cstheme="minorHAnsi"/>
          <w:lang w:eastAsia="sk-SK"/>
        </w:rPr>
      </w:pPr>
      <w:r>
        <w:rPr>
          <w:rFonts w:eastAsia="Times New Roman" w:cstheme="minorHAnsi"/>
          <w:lang w:eastAsia="sk-SK"/>
        </w:rPr>
        <w:t xml:space="preserve">Hydrologickú os dotknutého územia tvorí v úseku Krásno nad Kysucou – Čadca rieka Kysuca s pravostrannými prítokmi Bystrica, Oščadnica, Nemčákov potok, Bukovský potok a ľavostrannými prítokmi Vlčovský potok a Rieka. Železničná trať je v nadväzujúcom úseku medzi Čadcou a Svrčinovcom vedená v údolí rieky Čierňanka, ktorá je zároveň pravostranným prítokom Kysuce. V predmetnom úseku sa do Čierňanky vlieva tok Čadečanka z pravej strany a ľavostranným prítokom je Milošovský potok a Šľahorov potok, ktorého údolím je železničná trať vedená až po štátnu hranicu s Českou republikou. </w:t>
      </w:r>
    </w:p>
    <w:p w14:paraId="5CB21764" w14:textId="77777777" w:rsidR="0034322D" w:rsidRDefault="0034322D" w:rsidP="00931169">
      <w:pPr>
        <w:autoSpaceDE w:val="0"/>
        <w:autoSpaceDN w:val="0"/>
        <w:adjustRightInd w:val="0"/>
        <w:spacing w:after="120" w:line="268" w:lineRule="auto"/>
        <w:ind w:firstLine="709"/>
        <w:rPr>
          <w:rFonts w:eastAsia="Times New Roman" w:cstheme="minorHAnsi"/>
          <w:lang w:eastAsia="sk-SK"/>
        </w:rPr>
      </w:pPr>
      <w:r>
        <w:rPr>
          <w:rFonts w:eastAsia="Times New Roman" w:cstheme="minorHAnsi"/>
          <w:lang w:eastAsia="sk-SK"/>
        </w:rPr>
        <w:t>Z uvedených vodných tokov sú zaradené v zoznamoch podľa vyhlášky Ministerstva životného prostredia SR č. 211/2005 Z.z, ktorou sa ustanovuje zoznam vodohospodársky významných vodných tokov a vodárenských vodných tokov, nasledujúce toky:</w:t>
      </w:r>
    </w:p>
    <w:p w14:paraId="37383896" w14:textId="77777777" w:rsidR="0034322D" w:rsidRDefault="0034322D" w:rsidP="00931169">
      <w:pPr>
        <w:keepNext/>
        <w:autoSpaceDE w:val="0"/>
        <w:autoSpaceDN w:val="0"/>
        <w:adjustRightInd w:val="0"/>
        <w:spacing w:before="240" w:after="120" w:line="268" w:lineRule="auto"/>
        <w:ind w:firstLine="709"/>
        <w:rPr>
          <w:rFonts w:eastAsia="Times New Roman" w:cstheme="minorHAnsi"/>
          <w:lang w:eastAsia="sk-SK"/>
        </w:rPr>
      </w:pPr>
      <w:r>
        <w:rPr>
          <w:rFonts w:eastAsia="Times New Roman" w:cstheme="minorHAnsi"/>
          <w:i/>
          <w:iCs/>
          <w:lang w:eastAsia="sk-SK"/>
        </w:rPr>
        <w:t>Vodohospodársky významné vodné toky</w:t>
      </w:r>
      <w:r>
        <w:rPr>
          <w:rFonts w:eastAsia="Times New Roman" w:cstheme="minorHAnsi"/>
          <w:lang w:eastAsia="sk-SK"/>
        </w:rPr>
        <w:t>:</w:t>
      </w:r>
    </w:p>
    <w:p w14:paraId="02DFA37E" w14:textId="77777777" w:rsidR="0034322D" w:rsidRDefault="0034322D" w:rsidP="00931169">
      <w:pPr>
        <w:keepNext/>
        <w:numPr>
          <w:ilvl w:val="0"/>
          <w:numId w:val="54"/>
        </w:numPr>
        <w:autoSpaceDE w:val="0"/>
        <w:autoSpaceDN w:val="0"/>
        <w:adjustRightInd w:val="0"/>
        <w:spacing w:line="268" w:lineRule="auto"/>
        <w:ind w:left="1071" w:hanging="357"/>
        <w:rPr>
          <w:rFonts w:eastAsia="Times New Roman" w:cstheme="minorHAnsi"/>
          <w:lang w:eastAsia="sk-SK"/>
        </w:rPr>
      </w:pPr>
      <w:r>
        <w:rPr>
          <w:rFonts w:eastAsia="Arial Unicode MS" w:cstheme="minorHAnsi"/>
          <w:lang w:eastAsia="sk-SK"/>
        </w:rPr>
        <w:t>Kysuca 4-21-06-012</w:t>
      </w:r>
    </w:p>
    <w:p w14:paraId="588FD9CF" w14:textId="77777777" w:rsidR="0034322D" w:rsidRDefault="0034322D" w:rsidP="00931169">
      <w:pPr>
        <w:numPr>
          <w:ilvl w:val="0"/>
          <w:numId w:val="54"/>
        </w:numPr>
        <w:autoSpaceDE w:val="0"/>
        <w:autoSpaceDN w:val="0"/>
        <w:adjustRightInd w:val="0"/>
        <w:spacing w:line="268" w:lineRule="auto"/>
        <w:ind w:left="1071" w:hanging="357"/>
        <w:rPr>
          <w:rFonts w:eastAsia="Times New Roman" w:cstheme="minorHAnsi"/>
          <w:lang w:eastAsia="sk-SK"/>
        </w:rPr>
      </w:pPr>
      <w:r>
        <w:rPr>
          <w:rFonts w:eastAsia="Arial Unicode MS" w:cstheme="minorHAnsi"/>
          <w:lang w:eastAsia="sk-SK"/>
        </w:rPr>
        <w:t xml:space="preserve">Čierňanka 4-21-06-045 </w:t>
      </w:r>
    </w:p>
    <w:p w14:paraId="21A3CD85" w14:textId="77777777" w:rsidR="0034322D" w:rsidRDefault="0034322D" w:rsidP="00931169">
      <w:pPr>
        <w:numPr>
          <w:ilvl w:val="0"/>
          <w:numId w:val="54"/>
        </w:numPr>
        <w:autoSpaceDE w:val="0"/>
        <w:autoSpaceDN w:val="0"/>
        <w:adjustRightInd w:val="0"/>
        <w:spacing w:line="268" w:lineRule="auto"/>
        <w:ind w:left="1071" w:hanging="357"/>
        <w:rPr>
          <w:rFonts w:eastAsia="Times New Roman" w:cstheme="minorHAnsi"/>
          <w:lang w:eastAsia="sk-SK"/>
        </w:rPr>
      </w:pPr>
      <w:r>
        <w:rPr>
          <w:rFonts w:eastAsia="Arial Unicode MS" w:cstheme="minorHAnsi"/>
          <w:lang w:eastAsia="sk-SK"/>
        </w:rPr>
        <w:t xml:space="preserve">Oščadnica 4-21-06-063 </w:t>
      </w:r>
    </w:p>
    <w:p w14:paraId="24102057" w14:textId="77777777" w:rsidR="0034322D" w:rsidRDefault="0034322D" w:rsidP="00931169">
      <w:pPr>
        <w:numPr>
          <w:ilvl w:val="0"/>
          <w:numId w:val="54"/>
        </w:numPr>
        <w:autoSpaceDE w:val="0"/>
        <w:autoSpaceDN w:val="0"/>
        <w:adjustRightInd w:val="0"/>
        <w:spacing w:after="60" w:line="268" w:lineRule="auto"/>
        <w:ind w:left="1071" w:hanging="357"/>
        <w:rPr>
          <w:rFonts w:eastAsia="Times New Roman" w:cstheme="minorHAnsi"/>
          <w:lang w:eastAsia="sk-SK"/>
        </w:rPr>
      </w:pPr>
      <w:r>
        <w:rPr>
          <w:rFonts w:eastAsia="Arial Unicode MS" w:cstheme="minorHAnsi"/>
          <w:lang w:eastAsia="sk-SK"/>
        </w:rPr>
        <w:t xml:space="preserve">Bystrica 4-21-06-073 </w:t>
      </w:r>
    </w:p>
    <w:p w14:paraId="19B565DA" w14:textId="77777777" w:rsidR="0034322D" w:rsidRDefault="0034322D" w:rsidP="00931169">
      <w:pPr>
        <w:autoSpaceDE w:val="0"/>
        <w:autoSpaceDN w:val="0"/>
        <w:adjustRightInd w:val="0"/>
        <w:spacing w:before="240" w:after="120" w:line="268" w:lineRule="auto"/>
        <w:ind w:firstLine="709"/>
        <w:rPr>
          <w:rFonts w:eastAsia="Times New Roman" w:cstheme="minorHAnsi"/>
          <w:lang w:eastAsia="sk-SK"/>
        </w:rPr>
      </w:pPr>
      <w:r>
        <w:rPr>
          <w:rFonts w:eastAsia="Times New Roman" w:cstheme="minorHAnsi"/>
          <w:i/>
          <w:iCs/>
          <w:lang w:eastAsia="sk-SK"/>
        </w:rPr>
        <w:lastRenderedPageBreak/>
        <w:t>Vodárenský tok</w:t>
      </w:r>
    </w:p>
    <w:p w14:paraId="5F11112B" w14:textId="77777777" w:rsidR="0034322D" w:rsidRDefault="0034322D" w:rsidP="00931169">
      <w:pPr>
        <w:numPr>
          <w:ilvl w:val="0"/>
          <w:numId w:val="54"/>
        </w:numPr>
        <w:autoSpaceDE w:val="0"/>
        <w:autoSpaceDN w:val="0"/>
        <w:adjustRightInd w:val="0"/>
        <w:spacing w:line="268" w:lineRule="auto"/>
        <w:ind w:left="1071" w:hanging="357"/>
        <w:rPr>
          <w:rFonts w:eastAsia="Arial Unicode MS" w:cstheme="minorHAnsi"/>
          <w:lang w:eastAsia="sk-SK"/>
        </w:rPr>
      </w:pPr>
      <w:r>
        <w:rPr>
          <w:rFonts w:eastAsia="Arial Unicode MS" w:cstheme="minorHAnsi"/>
          <w:lang w:eastAsia="sk-SK"/>
        </w:rPr>
        <w:t xml:space="preserve">Kysuca 4-21-06-012 </w:t>
      </w:r>
      <w:r>
        <w:rPr>
          <w:rFonts w:eastAsia="Arial Unicode MS" w:cstheme="minorHAnsi"/>
          <w:lang w:eastAsia="sk-SK"/>
        </w:rPr>
        <w:tab/>
        <w:t>od km 30,8 do km 65,60</w:t>
      </w:r>
    </w:p>
    <w:p w14:paraId="2CCC8892" w14:textId="77777777" w:rsidR="0034322D" w:rsidRDefault="0034322D" w:rsidP="00931169">
      <w:pPr>
        <w:numPr>
          <w:ilvl w:val="0"/>
          <w:numId w:val="54"/>
        </w:numPr>
        <w:autoSpaceDE w:val="0"/>
        <w:autoSpaceDN w:val="0"/>
        <w:adjustRightInd w:val="0"/>
        <w:spacing w:line="268" w:lineRule="auto"/>
        <w:ind w:left="1071" w:hanging="357"/>
        <w:rPr>
          <w:rFonts w:eastAsia="Arial Unicode MS" w:cstheme="minorHAnsi"/>
          <w:lang w:eastAsia="sk-SK"/>
        </w:rPr>
      </w:pPr>
      <w:r>
        <w:rPr>
          <w:rFonts w:eastAsia="Arial Unicode MS" w:cstheme="minorHAnsi"/>
          <w:lang w:eastAsia="sk-SK"/>
        </w:rPr>
        <w:t xml:space="preserve">Oščadnica 4-21-06-063 </w:t>
      </w:r>
      <w:r>
        <w:rPr>
          <w:rFonts w:eastAsia="Arial Unicode MS" w:cstheme="minorHAnsi"/>
          <w:lang w:eastAsia="sk-SK"/>
        </w:rPr>
        <w:tab/>
        <w:t>od km 7,2 do km 13,8</w:t>
      </w:r>
    </w:p>
    <w:p w14:paraId="3DA01CBC" w14:textId="0ABD0294" w:rsidR="0034322D" w:rsidRPr="003A7D4A" w:rsidRDefault="0034322D" w:rsidP="00931169">
      <w:pPr>
        <w:numPr>
          <w:ilvl w:val="0"/>
          <w:numId w:val="54"/>
        </w:numPr>
        <w:autoSpaceDE w:val="0"/>
        <w:autoSpaceDN w:val="0"/>
        <w:adjustRightInd w:val="0"/>
        <w:spacing w:after="60" w:line="268" w:lineRule="auto"/>
        <w:ind w:left="1071" w:hanging="357"/>
        <w:rPr>
          <w:rFonts w:eastAsia="Times New Roman" w:cstheme="minorHAnsi"/>
          <w:lang w:eastAsia="sk-SK"/>
        </w:rPr>
      </w:pPr>
      <w:r>
        <w:rPr>
          <w:rFonts w:eastAsia="Arial Unicode MS" w:cstheme="minorHAnsi"/>
          <w:lang w:eastAsia="sk-SK"/>
        </w:rPr>
        <w:t xml:space="preserve">Bystrica 4-21-06-073 </w:t>
      </w:r>
      <w:r>
        <w:rPr>
          <w:rFonts w:eastAsia="Arial Unicode MS" w:cstheme="minorHAnsi"/>
          <w:lang w:eastAsia="sk-SK"/>
        </w:rPr>
        <w:tab/>
        <w:t>od km 20,8 do km 31,3</w:t>
      </w:r>
    </w:p>
    <w:p w14:paraId="1018ABCE" w14:textId="77777777" w:rsidR="003A7D4A" w:rsidRDefault="003A7D4A" w:rsidP="00931169">
      <w:pPr>
        <w:autoSpaceDE w:val="0"/>
        <w:autoSpaceDN w:val="0"/>
        <w:adjustRightInd w:val="0"/>
        <w:spacing w:after="60" w:line="268" w:lineRule="auto"/>
        <w:ind w:left="1071"/>
        <w:rPr>
          <w:rFonts w:eastAsia="Times New Roman" w:cstheme="minorHAnsi"/>
          <w:lang w:eastAsia="sk-SK"/>
        </w:rPr>
      </w:pPr>
    </w:p>
    <w:p w14:paraId="427B2E04" w14:textId="77777777" w:rsidR="0034322D" w:rsidRDefault="0034322D" w:rsidP="00931169">
      <w:pPr>
        <w:ind w:firstLine="708"/>
        <w:rPr>
          <w:rFonts w:eastAsia="Times New Roman" w:cstheme="minorHAnsi"/>
          <w:lang w:eastAsia="sk-SK"/>
        </w:rPr>
      </w:pPr>
      <w:r>
        <w:rPr>
          <w:rFonts w:eastAsia="Times New Roman" w:cstheme="minorHAnsi"/>
          <w:lang w:eastAsia="sk-SK"/>
        </w:rPr>
        <w:t xml:space="preserve">Do zoznamu </w:t>
      </w:r>
      <w:r>
        <w:rPr>
          <w:rFonts w:eastAsia="Times New Roman" w:cstheme="minorHAnsi"/>
          <w:i/>
          <w:iCs/>
          <w:lang w:eastAsia="sk-SK"/>
        </w:rPr>
        <w:t>vodohospodársky významných vodných tokov</w:t>
      </w:r>
      <w:r>
        <w:rPr>
          <w:rFonts w:eastAsia="Times New Roman" w:cstheme="minorHAnsi"/>
          <w:lang w:eastAsia="sk-SK"/>
        </w:rPr>
        <w:t xml:space="preserve"> sa zaraďujú tieto vodné toky a ich ucelené úseky:</w:t>
      </w:r>
    </w:p>
    <w:p w14:paraId="0AA12181" w14:textId="5FF265EF" w:rsidR="0034322D" w:rsidRPr="003A7D4A" w:rsidRDefault="0034322D" w:rsidP="0080507D">
      <w:pPr>
        <w:pStyle w:val="Odsekzoznamu"/>
        <w:numPr>
          <w:ilvl w:val="0"/>
          <w:numId w:val="71"/>
        </w:numPr>
        <w:jc w:val="both"/>
        <w:rPr>
          <w:rFonts w:eastAsia="Times New Roman" w:cstheme="minorHAnsi"/>
          <w:lang w:eastAsia="sk-SK"/>
        </w:rPr>
      </w:pPr>
      <w:r w:rsidRPr="003A7D4A">
        <w:rPr>
          <w:rFonts w:eastAsia="Times New Roman" w:cstheme="minorHAnsi"/>
          <w:lang w:eastAsia="sk-SK"/>
        </w:rPr>
        <w:t xml:space="preserve">vodné toky, ktorými prechádza štátna hranica, </w:t>
      </w:r>
    </w:p>
    <w:p w14:paraId="628F015E" w14:textId="668C70B1" w:rsidR="0034322D" w:rsidRPr="003A7D4A" w:rsidRDefault="0034322D" w:rsidP="0080507D">
      <w:pPr>
        <w:pStyle w:val="Odsekzoznamu"/>
        <w:numPr>
          <w:ilvl w:val="0"/>
          <w:numId w:val="71"/>
        </w:numPr>
        <w:jc w:val="both"/>
        <w:rPr>
          <w:rFonts w:eastAsia="Times New Roman" w:cstheme="minorHAnsi"/>
          <w:lang w:eastAsia="sk-SK"/>
        </w:rPr>
      </w:pPr>
      <w:r w:rsidRPr="003A7D4A">
        <w:rPr>
          <w:rFonts w:eastAsia="Times New Roman" w:cstheme="minorHAnsi"/>
          <w:lang w:eastAsia="sk-SK"/>
        </w:rPr>
        <w:t xml:space="preserve">vodné toky, ktoré sa využívajú ako vodárenský zdroj alebo sa môžu využívať ako vodárenské zdroje (ďalej len vodárenský vodný tok ), </w:t>
      </w:r>
    </w:p>
    <w:p w14:paraId="23345322" w14:textId="06676CBB" w:rsidR="0034322D" w:rsidRPr="003A7D4A" w:rsidRDefault="0034322D" w:rsidP="0080507D">
      <w:pPr>
        <w:pStyle w:val="Odsekzoznamu"/>
        <w:numPr>
          <w:ilvl w:val="0"/>
          <w:numId w:val="71"/>
        </w:numPr>
        <w:jc w:val="both"/>
        <w:rPr>
          <w:rFonts w:eastAsia="Times New Roman" w:cstheme="minorHAnsi"/>
          <w:lang w:eastAsia="sk-SK"/>
        </w:rPr>
      </w:pPr>
      <w:r w:rsidRPr="003A7D4A">
        <w:rPr>
          <w:rFonts w:eastAsia="Times New Roman" w:cstheme="minorHAnsi"/>
          <w:lang w:eastAsia="sk-SK"/>
        </w:rPr>
        <w:t>vodné toky s plavebným využitím,</w:t>
      </w:r>
    </w:p>
    <w:p w14:paraId="29660CFB" w14:textId="28DAAEED" w:rsidR="0034322D" w:rsidRPr="003A7D4A" w:rsidRDefault="0034322D" w:rsidP="0080507D">
      <w:pPr>
        <w:pStyle w:val="Odsekzoznamu"/>
        <w:numPr>
          <w:ilvl w:val="0"/>
          <w:numId w:val="71"/>
        </w:numPr>
        <w:jc w:val="both"/>
        <w:rPr>
          <w:rFonts w:eastAsia="Times New Roman" w:cstheme="minorHAnsi"/>
          <w:lang w:eastAsia="sk-SK"/>
        </w:rPr>
      </w:pPr>
      <w:r w:rsidRPr="003A7D4A">
        <w:rPr>
          <w:rFonts w:eastAsia="Times New Roman" w:cstheme="minorHAnsi"/>
          <w:lang w:eastAsia="sk-SK"/>
        </w:rPr>
        <w:t xml:space="preserve">vodné toky s významným odberom vody pre priemysel a pre poľnohospodárstvo; ich významnosť sa určuje vo vzťahu k vodohospodárskej bilancii povrchových vôd v príslušnom čiastkovom povodí, </w:t>
      </w:r>
    </w:p>
    <w:p w14:paraId="4B0CB38D" w14:textId="0AFF3A68" w:rsidR="0034322D" w:rsidRPr="003A7D4A" w:rsidRDefault="0034322D" w:rsidP="0080507D">
      <w:pPr>
        <w:pStyle w:val="Odsekzoznamu"/>
        <w:numPr>
          <w:ilvl w:val="0"/>
          <w:numId w:val="71"/>
        </w:numPr>
        <w:jc w:val="both"/>
        <w:rPr>
          <w:rFonts w:eastAsia="Times New Roman" w:cstheme="minorHAnsi"/>
          <w:lang w:eastAsia="sk-SK"/>
        </w:rPr>
      </w:pPr>
      <w:r w:rsidRPr="003A7D4A">
        <w:rPr>
          <w:rFonts w:eastAsia="Times New Roman" w:cstheme="minorHAnsi"/>
          <w:lang w:eastAsia="sk-SK"/>
        </w:rPr>
        <w:t>vodné toky využívané na iné účely, napríklad na využívanie hydroenergetického potenciálu, ako vody vhodné pre život rýb a reprodukciu pôvodných druhov rýb alebo na rekreáciu.</w:t>
      </w:r>
    </w:p>
    <w:p w14:paraId="4151152B" w14:textId="77777777" w:rsidR="0034322D" w:rsidRDefault="0034322D" w:rsidP="00931169">
      <w:pPr>
        <w:autoSpaceDE w:val="0"/>
        <w:autoSpaceDN w:val="0"/>
        <w:adjustRightInd w:val="0"/>
        <w:spacing w:after="120" w:line="268" w:lineRule="auto"/>
        <w:ind w:firstLine="709"/>
        <w:rPr>
          <w:rFonts w:eastAsia="Times New Roman" w:cstheme="minorHAnsi"/>
          <w:lang w:eastAsia="sk-SK"/>
        </w:rPr>
      </w:pPr>
      <w:r>
        <w:rPr>
          <w:rFonts w:eastAsia="Times New Roman" w:cstheme="minorHAnsi"/>
          <w:i/>
          <w:iCs/>
          <w:lang w:eastAsia="sk-SK"/>
        </w:rPr>
        <w:t>Vodárenský tok</w:t>
      </w:r>
      <w:r>
        <w:rPr>
          <w:rFonts w:eastAsia="Times New Roman" w:cstheme="minorHAnsi"/>
          <w:lang w:eastAsia="sk-SK"/>
        </w:rPr>
        <w:t xml:space="preserve"> je vodárenský zdroj, ktorým je vodný tok. Vodárenské toky sú vodné toky alebo úseky vodných tokov, ktoré sa využívajú ako vodárenské zdroje alebo sa môžu využívať ako vodárenské zdroje na odber pre pitnú vodu.</w:t>
      </w:r>
    </w:p>
    <w:p w14:paraId="5EA5F081" w14:textId="77777777" w:rsidR="0034322D" w:rsidRDefault="0034322D" w:rsidP="00931169">
      <w:pPr>
        <w:autoSpaceDE w:val="0"/>
        <w:autoSpaceDN w:val="0"/>
        <w:adjustRightInd w:val="0"/>
        <w:spacing w:after="120" w:line="268" w:lineRule="auto"/>
        <w:ind w:firstLine="709"/>
        <w:rPr>
          <w:rFonts w:eastAsia="Times New Roman" w:cstheme="minorHAnsi"/>
          <w:color w:val="FF0000"/>
          <w:lang w:eastAsia="sk-SK"/>
        </w:rPr>
      </w:pPr>
      <w:r>
        <w:rPr>
          <w:rFonts w:eastAsia="Times New Roman" w:cstheme="minorHAnsi"/>
          <w:lang w:eastAsia="sk-SK"/>
        </w:rPr>
        <w:t xml:space="preserve">Podľa Hydrologickej ročenky povrchových vôd 2008 (SHMÚ, 2009) sa hodnoty priemerných ročných prietokov </w:t>
      </w:r>
      <w:r>
        <w:rPr>
          <w:rFonts w:eastAsia="Times New Roman" w:cstheme="minorHAnsi"/>
          <w:b/>
          <w:bCs/>
          <w:lang w:eastAsia="sk-SK"/>
        </w:rPr>
        <w:t>v povodí Váhu</w:t>
      </w:r>
      <w:r>
        <w:rPr>
          <w:rFonts w:eastAsia="Times New Roman" w:cstheme="minorHAnsi"/>
          <w:lang w:eastAsia="sk-SK"/>
        </w:rPr>
        <w:t xml:space="preserve"> v roku 2008 pohybovali prevažne v rozpätí  55 až 128 % Q</w:t>
      </w:r>
      <w:r>
        <w:rPr>
          <w:rFonts w:eastAsia="Times New Roman" w:cstheme="minorHAnsi"/>
          <w:vertAlign w:val="subscript"/>
          <w:lang w:eastAsia="sk-SK"/>
        </w:rPr>
        <w:t>a</w:t>
      </w:r>
      <w:r>
        <w:rPr>
          <w:rFonts w:eastAsia="Times New Roman" w:cstheme="minorHAnsi"/>
          <w:lang w:eastAsia="sk-SK"/>
        </w:rPr>
        <w:t>, na hlavnom toku povodia dosahovali hodnoty 80 až 105 % Q</w:t>
      </w:r>
      <w:r>
        <w:rPr>
          <w:rFonts w:eastAsia="Times New Roman" w:cstheme="minorHAnsi"/>
          <w:vertAlign w:val="subscript"/>
          <w:lang w:eastAsia="sk-SK"/>
        </w:rPr>
        <w:t>a</w:t>
      </w:r>
      <w:r>
        <w:rPr>
          <w:rFonts w:eastAsia="Times New Roman" w:cstheme="minorHAnsi"/>
          <w:lang w:eastAsia="sk-SK"/>
        </w:rPr>
        <w:t>.</w:t>
      </w:r>
      <w:r>
        <w:rPr>
          <w:rFonts w:eastAsia="Times New Roman" w:cstheme="minorHAnsi"/>
          <w:color w:val="FF0000"/>
          <w:lang w:eastAsia="sk-SK"/>
        </w:rPr>
        <w:t xml:space="preserve"> </w:t>
      </w:r>
    </w:p>
    <w:p w14:paraId="1F08758F" w14:textId="09B4A092" w:rsidR="0034322D" w:rsidRDefault="0034322D" w:rsidP="00931169">
      <w:pPr>
        <w:keepNext/>
        <w:widowControl w:val="0"/>
        <w:spacing w:before="120" w:after="120"/>
        <w:ind w:right="-81"/>
        <w:rPr>
          <w:rFonts w:eastAsia="Times New Roman" w:cstheme="minorHAnsi"/>
          <w:b/>
          <w:lang w:eastAsia="cs-CZ"/>
        </w:rPr>
      </w:pPr>
      <w:r>
        <w:rPr>
          <w:rFonts w:eastAsia="Times New Roman" w:cstheme="minorHAnsi"/>
          <w:b/>
          <w:lang w:eastAsia="cs-CZ"/>
        </w:rPr>
        <w:t xml:space="preserve">Tab. </w:t>
      </w:r>
      <w:r w:rsidR="005940CA">
        <w:rPr>
          <w:rFonts w:eastAsia="Times New Roman" w:cstheme="minorHAnsi"/>
          <w:b/>
          <w:lang w:eastAsia="cs-CZ"/>
        </w:rPr>
        <w:t xml:space="preserve">12 </w:t>
      </w:r>
      <w:r>
        <w:rPr>
          <w:rFonts w:eastAsia="Times New Roman" w:cstheme="minorHAnsi"/>
          <w:b/>
          <w:lang w:eastAsia="cs-CZ"/>
        </w:rPr>
        <w:t>Priemerné výšky zrážok a odtoku v povodí Váhu SR v roku 2008 (Hydrologická ročenka, Povrchové vody, SHMÚ 2009)</w:t>
      </w:r>
    </w:p>
    <w:tbl>
      <w:tblPr>
        <w:tblpPr w:leftFromText="141" w:rightFromText="141" w:bottomFromText="160" w:vertAnchor="text" w:horzAnchor="margin" w:tblpY="53"/>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70"/>
        <w:gridCol w:w="1620"/>
        <w:gridCol w:w="1080"/>
        <w:gridCol w:w="1260"/>
        <w:gridCol w:w="900"/>
        <w:gridCol w:w="1080"/>
        <w:gridCol w:w="1080"/>
        <w:gridCol w:w="1080"/>
      </w:tblGrid>
      <w:tr w:rsidR="0034322D" w14:paraId="7B705278" w14:textId="77777777" w:rsidTr="0034322D">
        <w:tc>
          <w:tcPr>
            <w:tcW w:w="970" w:type="dxa"/>
            <w:tcBorders>
              <w:top w:val="single" w:sz="4" w:space="0" w:color="auto"/>
              <w:left w:val="single" w:sz="4" w:space="0" w:color="auto"/>
              <w:bottom w:val="single" w:sz="4" w:space="0" w:color="auto"/>
              <w:right w:val="single" w:sz="4" w:space="0" w:color="auto"/>
            </w:tcBorders>
            <w:hideMark/>
          </w:tcPr>
          <w:p w14:paraId="2292A99F"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Povodie</w:t>
            </w:r>
          </w:p>
        </w:tc>
        <w:tc>
          <w:tcPr>
            <w:tcW w:w="1620" w:type="dxa"/>
            <w:tcBorders>
              <w:top w:val="single" w:sz="4" w:space="0" w:color="auto"/>
              <w:left w:val="single" w:sz="4" w:space="0" w:color="auto"/>
              <w:bottom w:val="single" w:sz="4" w:space="0" w:color="auto"/>
              <w:right w:val="single" w:sz="4" w:space="0" w:color="auto"/>
            </w:tcBorders>
            <w:hideMark/>
          </w:tcPr>
          <w:p w14:paraId="6F81F4DA"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Čiastkové</w:t>
            </w:r>
            <w:r>
              <w:rPr>
                <w:rFonts w:eastAsia="Times New Roman" w:cstheme="minorHAnsi"/>
                <w:b/>
                <w:bCs/>
                <w:sz w:val="18"/>
                <w:szCs w:val="18"/>
                <w:lang w:eastAsia="sk-SK"/>
              </w:rPr>
              <w:br/>
              <w:t>povodie</w:t>
            </w:r>
          </w:p>
        </w:tc>
        <w:tc>
          <w:tcPr>
            <w:tcW w:w="1080" w:type="dxa"/>
            <w:tcBorders>
              <w:top w:val="single" w:sz="4" w:space="0" w:color="auto"/>
              <w:left w:val="single" w:sz="4" w:space="0" w:color="auto"/>
              <w:bottom w:val="single" w:sz="4" w:space="0" w:color="auto"/>
              <w:right w:val="single" w:sz="4" w:space="0" w:color="auto"/>
            </w:tcBorders>
            <w:hideMark/>
          </w:tcPr>
          <w:p w14:paraId="679B42F5"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Plocha povodia</w:t>
            </w:r>
            <w:r>
              <w:rPr>
                <w:rFonts w:eastAsia="Times New Roman" w:cstheme="minorHAnsi"/>
                <w:b/>
                <w:bCs/>
                <w:sz w:val="18"/>
                <w:szCs w:val="18"/>
                <w:lang w:eastAsia="sk-SK"/>
              </w:rPr>
              <w:br/>
              <w:t>[km</w:t>
            </w:r>
            <w:r>
              <w:rPr>
                <w:rFonts w:eastAsia="Times New Roman" w:cstheme="minorHAnsi"/>
                <w:b/>
                <w:bCs/>
                <w:sz w:val="18"/>
                <w:szCs w:val="18"/>
                <w:vertAlign w:val="superscript"/>
                <w:lang w:eastAsia="sk-SK"/>
              </w:rPr>
              <w:t>2</w:t>
            </w:r>
            <w:r>
              <w:rPr>
                <w:rFonts w:eastAsia="Times New Roman" w:cstheme="minorHAnsi"/>
                <w:b/>
                <w:bCs/>
                <w:sz w:val="18"/>
                <w:szCs w:val="18"/>
                <w:lang w:eastAsia="sk-SK"/>
              </w:rPr>
              <w:t>]</w:t>
            </w:r>
          </w:p>
        </w:tc>
        <w:tc>
          <w:tcPr>
            <w:tcW w:w="1260" w:type="dxa"/>
            <w:tcBorders>
              <w:top w:val="single" w:sz="4" w:space="0" w:color="auto"/>
              <w:left w:val="single" w:sz="4" w:space="0" w:color="auto"/>
              <w:bottom w:val="single" w:sz="4" w:space="0" w:color="auto"/>
              <w:right w:val="single" w:sz="4" w:space="0" w:color="auto"/>
            </w:tcBorders>
            <w:hideMark/>
          </w:tcPr>
          <w:p w14:paraId="4A64A345"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Priemerný úhrn</w:t>
            </w:r>
            <w:r>
              <w:rPr>
                <w:rFonts w:eastAsia="Times New Roman" w:cstheme="minorHAnsi"/>
                <w:b/>
                <w:bCs/>
                <w:sz w:val="18"/>
                <w:szCs w:val="18"/>
                <w:lang w:eastAsia="sk-SK"/>
              </w:rPr>
              <w:br/>
              <w:t>zrážok</w:t>
            </w:r>
            <w:r>
              <w:rPr>
                <w:rFonts w:eastAsia="Times New Roman" w:cstheme="minorHAnsi"/>
                <w:b/>
                <w:bCs/>
                <w:sz w:val="18"/>
                <w:szCs w:val="18"/>
                <w:lang w:eastAsia="sk-SK"/>
              </w:rPr>
              <w:br/>
              <w:t>[mm]</w:t>
            </w:r>
          </w:p>
        </w:tc>
        <w:tc>
          <w:tcPr>
            <w:tcW w:w="900" w:type="dxa"/>
            <w:tcBorders>
              <w:top w:val="single" w:sz="4" w:space="0" w:color="auto"/>
              <w:left w:val="single" w:sz="4" w:space="0" w:color="auto"/>
              <w:bottom w:val="single" w:sz="4" w:space="0" w:color="auto"/>
              <w:right w:val="single" w:sz="4" w:space="0" w:color="auto"/>
            </w:tcBorders>
            <w:hideMark/>
          </w:tcPr>
          <w:p w14:paraId="11D867FC"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 normálu</w:t>
            </w:r>
          </w:p>
        </w:tc>
        <w:tc>
          <w:tcPr>
            <w:tcW w:w="1080" w:type="dxa"/>
            <w:tcBorders>
              <w:top w:val="single" w:sz="4" w:space="0" w:color="auto"/>
              <w:left w:val="single" w:sz="4" w:space="0" w:color="auto"/>
              <w:bottom w:val="single" w:sz="4" w:space="0" w:color="auto"/>
              <w:right w:val="single" w:sz="4" w:space="0" w:color="auto"/>
            </w:tcBorders>
            <w:hideMark/>
          </w:tcPr>
          <w:p w14:paraId="3619E0D3"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 xml:space="preserve">Charakter </w:t>
            </w:r>
            <w:r>
              <w:rPr>
                <w:rFonts w:eastAsia="Times New Roman" w:cstheme="minorHAnsi"/>
                <w:b/>
                <w:bCs/>
                <w:sz w:val="18"/>
                <w:szCs w:val="18"/>
                <w:lang w:eastAsia="sk-SK"/>
              </w:rPr>
              <w:br/>
              <w:t>zrážkového obdobia</w:t>
            </w:r>
          </w:p>
        </w:tc>
        <w:tc>
          <w:tcPr>
            <w:tcW w:w="1080" w:type="dxa"/>
            <w:tcBorders>
              <w:top w:val="single" w:sz="4" w:space="0" w:color="auto"/>
              <w:left w:val="single" w:sz="4" w:space="0" w:color="auto"/>
              <w:bottom w:val="single" w:sz="4" w:space="0" w:color="auto"/>
              <w:right w:val="single" w:sz="4" w:space="0" w:color="auto"/>
            </w:tcBorders>
            <w:hideMark/>
          </w:tcPr>
          <w:p w14:paraId="19D2D3EC"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Ročný odtok</w:t>
            </w:r>
            <w:r>
              <w:rPr>
                <w:rFonts w:eastAsia="Times New Roman" w:cstheme="minorHAnsi"/>
                <w:b/>
                <w:bCs/>
                <w:sz w:val="18"/>
                <w:szCs w:val="18"/>
                <w:lang w:eastAsia="sk-SK"/>
              </w:rPr>
              <w:br/>
              <w:t>[mm]</w:t>
            </w:r>
          </w:p>
        </w:tc>
        <w:tc>
          <w:tcPr>
            <w:tcW w:w="1080" w:type="dxa"/>
            <w:tcBorders>
              <w:top w:val="single" w:sz="4" w:space="0" w:color="auto"/>
              <w:left w:val="single" w:sz="4" w:space="0" w:color="auto"/>
              <w:bottom w:val="single" w:sz="4" w:space="0" w:color="auto"/>
              <w:right w:val="single" w:sz="4" w:space="0" w:color="auto"/>
            </w:tcBorders>
            <w:hideMark/>
          </w:tcPr>
          <w:p w14:paraId="4818D356" w14:textId="77777777" w:rsidR="0034322D" w:rsidRDefault="0034322D" w:rsidP="00931169">
            <w:pPr>
              <w:keepNext/>
              <w:rPr>
                <w:rFonts w:eastAsia="Arial Unicode MS" w:cstheme="minorHAnsi"/>
                <w:sz w:val="18"/>
                <w:szCs w:val="18"/>
                <w:lang w:eastAsia="sk-SK"/>
              </w:rPr>
            </w:pPr>
            <w:r>
              <w:rPr>
                <w:rFonts w:eastAsia="Times New Roman" w:cstheme="minorHAnsi"/>
                <w:b/>
                <w:bCs/>
                <w:sz w:val="18"/>
                <w:szCs w:val="18"/>
                <w:lang w:eastAsia="sk-SK"/>
              </w:rPr>
              <w:t>% normálu</w:t>
            </w:r>
          </w:p>
        </w:tc>
      </w:tr>
      <w:tr w:rsidR="0034322D" w14:paraId="234ACBB5" w14:textId="77777777" w:rsidTr="0034322D">
        <w:tc>
          <w:tcPr>
            <w:tcW w:w="970" w:type="dxa"/>
            <w:tcBorders>
              <w:top w:val="single" w:sz="4" w:space="0" w:color="auto"/>
              <w:left w:val="single" w:sz="4" w:space="0" w:color="auto"/>
              <w:bottom w:val="single" w:sz="4" w:space="0" w:color="auto"/>
              <w:right w:val="single" w:sz="4" w:space="0" w:color="auto"/>
            </w:tcBorders>
            <w:hideMark/>
          </w:tcPr>
          <w:p w14:paraId="1F18C9B2" w14:textId="77777777" w:rsidR="0034322D" w:rsidRDefault="0034322D" w:rsidP="00931169">
            <w:pPr>
              <w:rPr>
                <w:rFonts w:eastAsia="Arial Unicode MS" w:cstheme="minorHAnsi"/>
                <w:sz w:val="18"/>
                <w:szCs w:val="18"/>
                <w:lang w:eastAsia="sk-SK"/>
              </w:rPr>
            </w:pPr>
            <w:r>
              <w:rPr>
                <w:rFonts w:eastAsia="Times New Roman" w:cstheme="minorHAnsi"/>
                <w:b/>
                <w:bCs/>
                <w:sz w:val="18"/>
                <w:szCs w:val="18"/>
                <w:lang w:eastAsia="sk-SK"/>
              </w:rPr>
              <w:t>Váh</w:t>
            </w:r>
          </w:p>
        </w:tc>
        <w:tc>
          <w:tcPr>
            <w:tcW w:w="1620" w:type="dxa"/>
            <w:tcBorders>
              <w:top w:val="single" w:sz="4" w:space="0" w:color="auto"/>
              <w:left w:val="single" w:sz="4" w:space="0" w:color="auto"/>
              <w:bottom w:val="single" w:sz="4" w:space="0" w:color="auto"/>
              <w:right w:val="single" w:sz="4" w:space="0" w:color="auto"/>
            </w:tcBorders>
            <w:hideMark/>
          </w:tcPr>
          <w:p w14:paraId="14FE6E22" w14:textId="77777777" w:rsidR="0034322D" w:rsidRDefault="0034322D" w:rsidP="00931169">
            <w:pPr>
              <w:rPr>
                <w:rFonts w:eastAsia="Arial Unicode MS" w:cstheme="minorHAnsi"/>
                <w:sz w:val="18"/>
                <w:szCs w:val="18"/>
                <w:lang w:eastAsia="sk-SK"/>
              </w:rPr>
            </w:pPr>
            <w:r>
              <w:rPr>
                <w:rFonts w:eastAsia="Times New Roman" w:cstheme="minorHAnsi"/>
                <w:sz w:val="18"/>
                <w:szCs w:val="18"/>
                <w:lang w:eastAsia="sk-SK"/>
              </w:rPr>
              <w:t>Váh</w:t>
            </w:r>
          </w:p>
        </w:tc>
        <w:tc>
          <w:tcPr>
            <w:tcW w:w="1080" w:type="dxa"/>
            <w:tcBorders>
              <w:top w:val="single" w:sz="4" w:space="0" w:color="auto"/>
              <w:left w:val="single" w:sz="4" w:space="0" w:color="auto"/>
              <w:bottom w:val="single" w:sz="4" w:space="0" w:color="auto"/>
              <w:right w:val="single" w:sz="4" w:space="0" w:color="auto"/>
            </w:tcBorders>
            <w:hideMark/>
          </w:tcPr>
          <w:p w14:paraId="7FD3D83A" w14:textId="77777777" w:rsidR="0034322D" w:rsidRDefault="0034322D" w:rsidP="00931169">
            <w:pPr>
              <w:rPr>
                <w:rFonts w:eastAsia="Arial Unicode MS" w:cstheme="minorHAnsi"/>
                <w:sz w:val="18"/>
                <w:szCs w:val="18"/>
                <w:lang w:eastAsia="sk-SK"/>
              </w:rPr>
            </w:pPr>
            <w:r>
              <w:rPr>
                <w:rFonts w:eastAsia="Times New Roman" w:cstheme="minorHAnsi"/>
                <w:sz w:val="18"/>
                <w:szCs w:val="18"/>
                <w:lang w:eastAsia="sk-SK"/>
              </w:rPr>
              <w:t>14 268</w:t>
            </w:r>
          </w:p>
        </w:tc>
        <w:tc>
          <w:tcPr>
            <w:tcW w:w="1260" w:type="dxa"/>
            <w:tcBorders>
              <w:top w:val="single" w:sz="4" w:space="0" w:color="auto"/>
              <w:left w:val="single" w:sz="4" w:space="0" w:color="auto"/>
              <w:bottom w:val="single" w:sz="4" w:space="0" w:color="auto"/>
              <w:right w:val="single" w:sz="4" w:space="0" w:color="auto"/>
            </w:tcBorders>
            <w:hideMark/>
          </w:tcPr>
          <w:p w14:paraId="7D1B2D04" w14:textId="77777777" w:rsidR="0034322D" w:rsidRDefault="0034322D" w:rsidP="00931169">
            <w:pPr>
              <w:rPr>
                <w:rFonts w:eastAsia="Arial Unicode MS" w:cstheme="minorHAnsi"/>
                <w:sz w:val="18"/>
                <w:szCs w:val="18"/>
                <w:lang w:eastAsia="sk-SK"/>
              </w:rPr>
            </w:pPr>
            <w:r>
              <w:rPr>
                <w:rFonts w:eastAsia="Times New Roman" w:cstheme="minorHAnsi"/>
                <w:sz w:val="18"/>
                <w:szCs w:val="18"/>
                <w:lang w:eastAsia="sk-SK"/>
              </w:rPr>
              <w:t>851</w:t>
            </w:r>
          </w:p>
        </w:tc>
        <w:tc>
          <w:tcPr>
            <w:tcW w:w="900" w:type="dxa"/>
            <w:tcBorders>
              <w:top w:val="single" w:sz="4" w:space="0" w:color="auto"/>
              <w:left w:val="single" w:sz="4" w:space="0" w:color="auto"/>
              <w:bottom w:val="single" w:sz="4" w:space="0" w:color="auto"/>
              <w:right w:val="single" w:sz="4" w:space="0" w:color="auto"/>
            </w:tcBorders>
            <w:hideMark/>
          </w:tcPr>
          <w:p w14:paraId="169AEDB7" w14:textId="77777777" w:rsidR="0034322D" w:rsidRDefault="0034322D" w:rsidP="00931169">
            <w:pPr>
              <w:rPr>
                <w:rFonts w:eastAsia="Arial Unicode MS" w:cstheme="minorHAnsi"/>
                <w:sz w:val="18"/>
                <w:szCs w:val="18"/>
                <w:lang w:eastAsia="sk-SK"/>
              </w:rPr>
            </w:pPr>
            <w:r>
              <w:rPr>
                <w:rFonts w:eastAsia="Times New Roman" w:cstheme="minorHAnsi"/>
                <w:sz w:val="18"/>
                <w:szCs w:val="18"/>
                <w:lang w:eastAsia="sk-SK"/>
              </w:rPr>
              <w:t>101</w:t>
            </w:r>
          </w:p>
        </w:tc>
        <w:tc>
          <w:tcPr>
            <w:tcW w:w="1080" w:type="dxa"/>
            <w:tcBorders>
              <w:top w:val="single" w:sz="4" w:space="0" w:color="auto"/>
              <w:left w:val="single" w:sz="4" w:space="0" w:color="auto"/>
              <w:bottom w:val="single" w:sz="4" w:space="0" w:color="auto"/>
              <w:right w:val="single" w:sz="4" w:space="0" w:color="auto"/>
            </w:tcBorders>
            <w:hideMark/>
          </w:tcPr>
          <w:p w14:paraId="509E3150"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normálny</w:t>
            </w:r>
          </w:p>
        </w:tc>
        <w:tc>
          <w:tcPr>
            <w:tcW w:w="1080" w:type="dxa"/>
            <w:tcBorders>
              <w:top w:val="single" w:sz="4" w:space="0" w:color="auto"/>
              <w:left w:val="single" w:sz="4" w:space="0" w:color="auto"/>
              <w:bottom w:val="single" w:sz="4" w:space="0" w:color="auto"/>
              <w:right w:val="single" w:sz="4" w:space="0" w:color="auto"/>
            </w:tcBorders>
            <w:hideMark/>
          </w:tcPr>
          <w:p w14:paraId="5FD6ADDE"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259</w:t>
            </w:r>
          </w:p>
        </w:tc>
        <w:tc>
          <w:tcPr>
            <w:tcW w:w="1080" w:type="dxa"/>
            <w:tcBorders>
              <w:top w:val="single" w:sz="4" w:space="0" w:color="auto"/>
              <w:left w:val="single" w:sz="4" w:space="0" w:color="auto"/>
              <w:bottom w:val="single" w:sz="4" w:space="0" w:color="auto"/>
              <w:right w:val="single" w:sz="4" w:space="0" w:color="auto"/>
            </w:tcBorders>
            <w:hideMark/>
          </w:tcPr>
          <w:p w14:paraId="49D8F564"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83</w:t>
            </w:r>
          </w:p>
        </w:tc>
      </w:tr>
    </w:tbl>
    <w:p w14:paraId="07759215" w14:textId="77777777" w:rsidR="0034322D" w:rsidRDefault="0034322D" w:rsidP="00931169">
      <w:pPr>
        <w:rPr>
          <w:rFonts w:eastAsia="Times New Roman" w:cstheme="minorHAnsi"/>
          <w:color w:val="FF0000"/>
          <w:sz w:val="22"/>
          <w:lang w:eastAsia="sk-SK"/>
        </w:rPr>
      </w:pPr>
    </w:p>
    <w:p w14:paraId="4471F35D" w14:textId="77777777" w:rsidR="0034322D" w:rsidRDefault="0034322D" w:rsidP="00931169">
      <w:pPr>
        <w:autoSpaceDE w:val="0"/>
        <w:autoSpaceDN w:val="0"/>
        <w:adjustRightInd w:val="0"/>
        <w:spacing w:after="120" w:line="268" w:lineRule="auto"/>
        <w:ind w:firstLine="709"/>
        <w:rPr>
          <w:rFonts w:eastAsia="Times New Roman" w:cstheme="minorHAnsi"/>
          <w:lang w:eastAsia="sk-SK"/>
        </w:rPr>
      </w:pPr>
      <w:r>
        <w:rPr>
          <w:rFonts w:eastAsia="Times New Roman" w:cstheme="minorHAnsi"/>
          <w:color w:val="231F20"/>
          <w:lang w:eastAsia="sk-SK"/>
        </w:rPr>
        <w:t>Maximálne priemerné mesačné prietoky sa v povodí Váhu vyskytovali prevažne v marci, ich relatívne hodnoty sa pohybovali v rozpätí 68 až 153 % Q</w:t>
      </w:r>
      <w:r>
        <w:rPr>
          <w:rFonts w:eastAsia="Times New Roman" w:cstheme="minorHAnsi"/>
          <w:color w:val="231F20"/>
          <w:vertAlign w:val="subscript"/>
          <w:lang w:eastAsia="sk-SK"/>
        </w:rPr>
        <w:t>ma</w:t>
      </w:r>
      <w:r>
        <w:rPr>
          <w:rFonts w:eastAsia="Times New Roman" w:cstheme="minorHAnsi"/>
          <w:color w:val="231F20"/>
          <w:lang w:eastAsia="sk-SK"/>
        </w:rPr>
        <w:t>, na tokoch Ipoltica, Boca a Turiec boli zaznamenané v apríli s relatívnymi hodnotami 69 až 105 % Q</w:t>
      </w:r>
      <w:r>
        <w:rPr>
          <w:rFonts w:eastAsia="Times New Roman" w:cstheme="minorHAnsi"/>
          <w:color w:val="231F20"/>
          <w:vertAlign w:val="subscript"/>
          <w:lang w:eastAsia="sk-SK"/>
        </w:rPr>
        <w:t>ma</w:t>
      </w:r>
      <w:r>
        <w:rPr>
          <w:rFonts w:eastAsia="Times New Roman" w:cstheme="minorHAnsi"/>
          <w:color w:val="231F20"/>
          <w:lang w:eastAsia="sk-SK"/>
        </w:rPr>
        <w:t xml:space="preserve">. Na Štiavnici, Belej a na Váhu v Liptovskom Mikuláši boli zaznamenané maximálne priemerné mesačné prietoky v máji ( 73 až 115 </w:t>
      </w:r>
      <w:r>
        <w:rPr>
          <w:rFonts w:eastAsia="Times New Roman" w:cstheme="minorHAnsi"/>
          <w:lang w:eastAsia="sk-SK"/>
        </w:rPr>
        <w:t>% Q</w:t>
      </w:r>
      <w:r>
        <w:rPr>
          <w:rFonts w:eastAsia="Times New Roman" w:cstheme="minorHAnsi"/>
          <w:vertAlign w:val="subscript"/>
          <w:lang w:eastAsia="sk-SK"/>
        </w:rPr>
        <w:t>ma</w:t>
      </w:r>
      <w:r>
        <w:rPr>
          <w:rFonts w:eastAsia="Times New Roman" w:cstheme="minorHAnsi"/>
          <w:lang w:eastAsia="sk-SK"/>
        </w:rPr>
        <w:t xml:space="preserve"> ). </w:t>
      </w:r>
    </w:p>
    <w:p w14:paraId="6292186A" w14:textId="77777777" w:rsidR="0034322D" w:rsidRDefault="0034322D" w:rsidP="00931169">
      <w:pPr>
        <w:autoSpaceDE w:val="0"/>
        <w:autoSpaceDN w:val="0"/>
        <w:adjustRightInd w:val="0"/>
        <w:spacing w:after="120" w:line="268" w:lineRule="auto"/>
        <w:ind w:firstLine="709"/>
        <w:rPr>
          <w:rFonts w:eastAsia="Times New Roman" w:cstheme="minorHAnsi"/>
          <w:color w:val="231F20"/>
          <w:lang w:eastAsia="cs-CZ"/>
        </w:rPr>
      </w:pPr>
      <w:r>
        <w:rPr>
          <w:rFonts w:eastAsia="Times New Roman" w:cstheme="minorHAnsi"/>
          <w:lang w:eastAsia="sk-SK"/>
        </w:rPr>
        <w:t>Minimálne priemerné mesačné prietoky sa vyskytovali v rôznych mesiacoch, v januári, vo februári, v júni, v septembri, v októbri a v novembri s relatívnymi hodnotami 22 až 169 % Q</w:t>
      </w:r>
      <w:r>
        <w:rPr>
          <w:rFonts w:eastAsia="Times New Roman" w:cstheme="minorHAnsi"/>
          <w:vertAlign w:val="subscript"/>
          <w:lang w:eastAsia="sk-SK"/>
        </w:rPr>
        <w:t>ma</w:t>
      </w:r>
      <w:r>
        <w:rPr>
          <w:rFonts w:eastAsia="Times New Roman" w:cstheme="minorHAnsi"/>
          <w:lang w:eastAsia="sk-SK"/>
        </w:rPr>
        <w:t>.</w:t>
      </w:r>
    </w:p>
    <w:p w14:paraId="19BF8E5A" w14:textId="4D1F187C" w:rsidR="0034322D" w:rsidRDefault="0034322D" w:rsidP="00931169">
      <w:pPr>
        <w:keepNext/>
        <w:widowControl w:val="0"/>
        <w:spacing w:before="120" w:after="120"/>
        <w:ind w:right="-81"/>
        <w:rPr>
          <w:rFonts w:eastAsia="Times New Roman" w:cstheme="minorHAnsi"/>
          <w:b/>
          <w:bCs/>
          <w:lang w:val="cs-CZ" w:eastAsia="cs-CZ"/>
        </w:rPr>
      </w:pPr>
      <w:r>
        <w:rPr>
          <w:rFonts w:eastAsia="Times New Roman" w:cstheme="minorHAnsi"/>
          <w:b/>
          <w:lang w:eastAsia="cs-CZ"/>
        </w:rPr>
        <w:lastRenderedPageBreak/>
        <w:t xml:space="preserve">Tab. </w:t>
      </w:r>
      <w:r w:rsidR="005940CA">
        <w:rPr>
          <w:rFonts w:eastAsia="Times New Roman" w:cstheme="minorHAnsi"/>
          <w:b/>
          <w:lang w:eastAsia="cs-CZ"/>
        </w:rPr>
        <w:t xml:space="preserve">13 </w:t>
      </w:r>
      <w:r>
        <w:rPr>
          <w:rFonts w:eastAsia="Times New Roman" w:cstheme="minorHAnsi"/>
          <w:b/>
          <w:lang w:eastAsia="cs-CZ"/>
        </w:rPr>
        <w:t>Priemerné mesačné prietoky vo vodomerných staniciach SHMÚ za rok 2008 (m</w:t>
      </w:r>
      <w:r>
        <w:rPr>
          <w:rFonts w:eastAsia="Times New Roman" w:cstheme="minorHAnsi"/>
          <w:b/>
          <w:vertAlign w:val="superscript"/>
          <w:lang w:eastAsia="cs-CZ"/>
        </w:rPr>
        <w:t>3</w:t>
      </w:r>
      <w:r>
        <w:rPr>
          <w:rFonts w:eastAsia="Times New Roman" w:cstheme="minorHAnsi"/>
          <w:b/>
          <w:lang w:eastAsia="cs-CZ"/>
        </w:rPr>
        <w:t>.s</w:t>
      </w:r>
      <w:r>
        <w:rPr>
          <w:rFonts w:eastAsia="Times New Roman" w:cstheme="minorHAnsi"/>
          <w:b/>
          <w:vertAlign w:val="superscript"/>
          <w:lang w:eastAsia="cs-CZ"/>
        </w:rPr>
        <w:t>-1</w:t>
      </w:r>
      <w:r>
        <w:rPr>
          <w:rFonts w:eastAsia="Times New Roman" w:cstheme="minorHAnsi"/>
          <w:b/>
          <w:lang w:eastAsia="cs-CZ"/>
        </w:rPr>
        <w:t xml:space="preserve"> )</w:t>
      </w:r>
    </w:p>
    <w:p w14:paraId="64C4BF20" w14:textId="77777777" w:rsidR="0034322D" w:rsidRDefault="0034322D" w:rsidP="00931169">
      <w:pPr>
        <w:keepNext/>
        <w:shd w:val="clear" w:color="auto" w:fill="FFFFFF"/>
        <w:rPr>
          <w:rFonts w:eastAsia="Times New Roman" w:cstheme="minorHAnsi"/>
          <w:b/>
          <w:vanish/>
          <w:lang w:eastAsia="sk-SK"/>
        </w:rPr>
      </w:pPr>
    </w:p>
    <w:tbl>
      <w:tblPr>
        <w:tblW w:w="100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149"/>
        <w:gridCol w:w="1079"/>
        <w:gridCol w:w="690"/>
        <w:gridCol w:w="690"/>
        <w:gridCol w:w="590"/>
        <w:gridCol w:w="654"/>
        <w:gridCol w:w="654"/>
        <w:gridCol w:w="654"/>
        <w:gridCol w:w="626"/>
        <w:gridCol w:w="690"/>
        <w:gridCol w:w="804"/>
        <w:gridCol w:w="590"/>
        <w:gridCol w:w="590"/>
        <w:gridCol w:w="590"/>
      </w:tblGrid>
      <w:tr w:rsidR="0034322D" w14:paraId="3450C2A4" w14:textId="77777777" w:rsidTr="0034322D">
        <w:tc>
          <w:tcPr>
            <w:tcW w:w="1150" w:type="dxa"/>
            <w:tcBorders>
              <w:top w:val="single" w:sz="4" w:space="0" w:color="auto"/>
              <w:left w:val="single" w:sz="4" w:space="0" w:color="auto"/>
              <w:bottom w:val="single" w:sz="4" w:space="0" w:color="auto"/>
              <w:right w:val="single" w:sz="4" w:space="0" w:color="auto"/>
            </w:tcBorders>
            <w:vAlign w:val="center"/>
            <w:hideMark/>
          </w:tcPr>
          <w:p w14:paraId="6AE523D0" w14:textId="77777777" w:rsidR="0034322D" w:rsidRDefault="0034322D" w:rsidP="00931169">
            <w:pPr>
              <w:keepNext/>
              <w:rPr>
                <w:rFonts w:eastAsia="Times New Roman" w:cstheme="minorHAnsi"/>
                <w:b/>
                <w:bCs/>
                <w:sz w:val="18"/>
                <w:szCs w:val="18"/>
                <w:lang w:eastAsia="sk-SK"/>
              </w:rPr>
            </w:pPr>
            <w:r>
              <w:rPr>
                <w:rFonts w:eastAsia="Times New Roman" w:cstheme="minorHAnsi"/>
                <w:b/>
                <w:bCs/>
                <w:sz w:val="18"/>
                <w:szCs w:val="18"/>
                <w:lang w:eastAsia="sk-SK"/>
              </w:rPr>
              <w:t>Stanica</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39BBFB2" w14:textId="77777777" w:rsidR="0034322D" w:rsidRDefault="0034322D" w:rsidP="00931169">
            <w:pPr>
              <w:keepNext/>
              <w:rPr>
                <w:rFonts w:eastAsia="Arial Unicode MS" w:cstheme="minorHAnsi"/>
                <w:b/>
                <w:bCs/>
                <w:sz w:val="18"/>
                <w:szCs w:val="18"/>
                <w:lang w:eastAsia="sk-SK"/>
              </w:rPr>
            </w:pPr>
            <w:r>
              <w:rPr>
                <w:rFonts w:eastAsia="Times New Roman" w:cstheme="minorHAnsi"/>
                <w:b/>
                <w:bCs/>
                <w:sz w:val="18"/>
                <w:szCs w:val="18"/>
                <w:lang w:eastAsia="sk-SK"/>
              </w:rPr>
              <w:t>Tok</w:t>
            </w:r>
          </w:p>
        </w:tc>
        <w:tc>
          <w:tcPr>
            <w:tcW w:w="690" w:type="dxa"/>
            <w:tcBorders>
              <w:top w:val="single" w:sz="4" w:space="0" w:color="auto"/>
              <w:left w:val="single" w:sz="4" w:space="0" w:color="auto"/>
              <w:bottom w:val="single" w:sz="4" w:space="0" w:color="auto"/>
              <w:right w:val="single" w:sz="4" w:space="0" w:color="auto"/>
            </w:tcBorders>
            <w:vAlign w:val="center"/>
            <w:hideMark/>
          </w:tcPr>
          <w:p w14:paraId="3916077A"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I</w:t>
            </w:r>
          </w:p>
        </w:tc>
        <w:tc>
          <w:tcPr>
            <w:tcW w:w="690" w:type="dxa"/>
            <w:tcBorders>
              <w:top w:val="single" w:sz="4" w:space="0" w:color="auto"/>
              <w:left w:val="single" w:sz="4" w:space="0" w:color="auto"/>
              <w:bottom w:val="single" w:sz="4" w:space="0" w:color="auto"/>
              <w:right w:val="single" w:sz="4" w:space="0" w:color="auto"/>
            </w:tcBorders>
            <w:vAlign w:val="center"/>
            <w:hideMark/>
          </w:tcPr>
          <w:p w14:paraId="1D2997E2"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II</w:t>
            </w:r>
          </w:p>
        </w:tc>
        <w:tc>
          <w:tcPr>
            <w:tcW w:w="590" w:type="dxa"/>
            <w:tcBorders>
              <w:top w:val="single" w:sz="4" w:space="0" w:color="auto"/>
              <w:left w:val="single" w:sz="4" w:space="0" w:color="auto"/>
              <w:bottom w:val="single" w:sz="4" w:space="0" w:color="auto"/>
              <w:right w:val="single" w:sz="4" w:space="0" w:color="auto"/>
            </w:tcBorders>
            <w:vAlign w:val="center"/>
            <w:hideMark/>
          </w:tcPr>
          <w:p w14:paraId="5FB4744B"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III</w:t>
            </w:r>
          </w:p>
        </w:tc>
        <w:tc>
          <w:tcPr>
            <w:tcW w:w="654" w:type="dxa"/>
            <w:tcBorders>
              <w:top w:val="single" w:sz="4" w:space="0" w:color="auto"/>
              <w:left w:val="single" w:sz="4" w:space="0" w:color="auto"/>
              <w:bottom w:val="single" w:sz="4" w:space="0" w:color="auto"/>
              <w:right w:val="single" w:sz="4" w:space="0" w:color="auto"/>
            </w:tcBorders>
            <w:vAlign w:val="center"/>
            <w:hideMark/>
          </w:tcPr>
          <w:p w14:paraId="28DE4E1E"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IV</w:t>
            </w:r>
          </w:p>
        </w:tc>
        <w:tc>
          <w:tcPr>
            <w:tcW w:w="654" w:type="dxa"/>
            <w:tcBorders>
              <w:top w:val="single" w:sz="4" w:space="0" w:color="auto"/>
              <w:left w:val="single" w:sz="4" w:space="0" w:color="auto"/>
              <w:bottom w:val="single" w:sz="4" w:space="0" w:color="auto"/>
              <w:right w:val="single" w:sz="4" w:space="0" w:color="auto"/>
            </w:tcBorders>
            <w:vAlign w:val="center"/>
            <w:hideMark/>
          </w:tcPr>
          <w:p w14:paraId="7367ABD0"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V</w:t>
            </w:r>
          </w:p>
        </w:tc>
        <w:tc>
          <w:tcPr>
            <w:tcW w:w="654" w:type="dxa"/>
            <w:tcBorders>
              <w:top w:val="single" w:sz="4" w:space="0" w:color="auto"/>
              <w:left w:val="single" w:sz="4" w:space="0" w:color="auto"/>
              <w:bottom w:val="single" w:sz="4" w:space="0" w:color="auto"/>
              <w:right w:val="single" w:sz="4" w:space="0" w:color="auto"/>
            </w:tcBorders>
            <w:vAlign w:val="center"/>
            <w:hideMark/>
          </w:tcPr>
          <w:p w14:paraId="6B373F60"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VI</w:t>
            </w:r>
          </w:p>
        </w:tc>
        <w:tc>
          <w:tcPr>
            <w:tcW w:w="626" w:type="dxa"/>
            <w:tcBorders>
              <w:top w:val="single" w:sz="4" w:space="0" w:color="auto"/>
              <w:left w:val="single" w:sz="4" w:space="0" w:color="auto"/>
              <w:bottom w:val="single" w:sz="4" w:space="0" w:color="auto"/>
              <w:right w:val="single" w:sz="4" w:space="0" w:color="auto"/>
            </w:tcBorders>
            <w:vAlign w:val="center"/>
            <w:hideMark/>
          </w:tcPr>
          <w:p w14:paraId="4187269C"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VII</w:t>
            </w:r>
          </w:p>
        </w:tc>
        <w:tc>
          <w:tcPr>
            <w:tcW w:w="690" w:type="dxa"/>
            <w:tcBorders>
              <w:top w:val="single" w:sz="4" w:space="0" w:color="auto"/>
              <w:left w:val="single" w:sz="4" w:space="0" w:color="auto"/>
              <w:bottom w:val="single" w:sz="4" w:space="0" w:color="auto"/>
              <w:right w:val="single" w:sz="4" w:space="0" w:color="auto"/>
            </w:tcBorders>
            <w:vAlign w:val="center"/>
            <w:hideMark/>
          </w:tcPr>
          <w:p w14:paraId="78E0F553"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VIII</w:t>
            </w:r>
          </w:p>
        </w:tc>
        <w:tc>
          <w:tcPr>
            <w:tcW w:w="804" w:type="dxa"/>
            <w:tcBorders>
              <w:top w:val="single" w:sz="4" w:space="0" w:color="auto"/>
              <w:left w:val="single" w:sz="4" w:space="0" w:color="auto"/>
              <w:bottom w:val="single" w:sz="4" w:space="0" w:color="auto"/>
              <w:right w:val="single" w:sz="4" w:space="0" w:color="auto"/>
            </w:tcBorders>
            <w:vAlign w:val="center"/>
            <w:hideMark/>
          </w:tcPr>
          <w:p w14:paraId="69307C5E"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IX</w:t>
            </w:r>
          </w:p>
        </w:tc>
        <w:tc>
          <w:tcPr>
            <w:tcW w:w="590" w:type="dxa"/>
            <w:tcBorders>
              <w:top w:val="single" w:sz="4" w:space="0" w:color="auto"/>
              <w:left w:val="single" w:sz="4" w:space="0" w:color="auto"/>
              <w:bottom w:val="single" w:sz="4" w:space="0" w:color="auto"/>
              <w:right w:val="single" w:sz="4" w:space="0" w:color="auto"/>
            </w:tcBorders>
            <w:vAlign w:val="center"/>
            <w:hideMark/>
          </w:tcPr>
          <w:p w14:paraId="04200EE0"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X</w:t>
            </w:r>
          </w:p>
        </w:tc>
        <w:tc>
          <w:tcPr>
            <w:tcW w:w="590" w:type="dxa"/>
            <w:tcBorders>
              <w:top w:val="single" w:sz="4" w:space="0" w:color="auto"/>
              <w:left w:val="single" w:sz="4" w:space="0" w:color="auto"/>
              <w:bottom w:val="single" w:sz="4" w:space="0" w:color="auto"/>
              <w:right w:val="single" w:sz="4" w:space="0" w:color="auto"/>
            </w:tcBorders>
            <w:vAlign w:val="center"/>
            <w:hideMark/>
          </w:tcPr>
          <w:p w14:paraId="5CE749FE"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XI</w:t>
            </w:r>
          </w:p>
        </w:tc>
        <w:tc>
          <w:tcPr>
            <w:tcW w:w="590" w:type="dxa"/>
            <w:tcBorders>
              <w:top w:val="single" w:sz="4" w:space="0" w:color="auto"/>
              <w:left w:val="single" w:sz="4" w:space="0" w:color="auto"/>
              <w:bottom w:val="single" w:sz="4" w:space="0" w:color="auto"/>
              <w:right w:val="single" w:sz="4" w:space="0" w:color="auto"/>
            </w:tcBorders>
            <w:vAlign w:val="center"/>
            <w:hideMark/>
          </w:tcPr>
          <w:p w14:paraId="300E6BF7" w14:textId="77777777" w:rsidR="0034322D" w:rsidRDefault="0034322D" w:rsidP="00931169">
            <w:pPr>
              <w:keepNext/>
              <w:spacing w:line="360" w:lineRule="auto"/>
              <w:rPr>
                <w:rFonts w:eastAsia="Times New Roman" w:cstheme="minorHAnsi"/>
                <w:b/>
                <w:bCs/>
                <w:sz w:val="18"/>
                <w:szCs w:val="18"/>
                <w:lang w:eastAsia="sk-SK"/>
              </w:rPr>
            </w:pPr>
            <w:r>
              <w:rPr>
                <w:rFonts w:eastAsia="Times New Roman" w:cstheme="minorHAnsi"/>
                <w:b/>
                <w:bCs/>
                <w:sz w:val="18"/>
                <w:szCs w:val="18"/>
                <w:lang w:eastAsia="sk-SK"/>
              </w:rPr>
              <w:t>XII</w:t>
            </w:r>
          </w:p>
        </w:tc>
      </w:tr>
      <w:tr w:rsidR="0034322D" w14:paraId="583C9AB9" w14:textId="77777777" w:rsidTr="0034322D">
        <w:tc>
          <w:tcPr>
            <w:tcW w:w="1150" w:type="dxa"/>
            <w:tcBorders>
              <w:top w:val="single" w:sz="4" w:space="0" w:color="auto"/>
              <w:left w:val="single" w:sz="4" w:space="0" w:color="auto"/>
              <w:bottom w:val="single" w:sz="4" w:space="0" w:color="auto"/>
              <w:right w:val="single" w:sz="4" w:space="0" w:color="auto"/>
            </w:tcBorders>
            <w:vAlign w:val="center"/>
            <w:hideMark/>
          </w:tcPr>
          <w:p w14:paraId="1947D43D" w14:textId="77777777" w:rsidR="0034322D" w:rsidRDefault="0034322D" w:rsidP="00931169">
            <w:pPr>
              <w:keepNext/>
              <w:rPr>
                <w:rFonts w:eastAsia="Arial Unicode MS" w:cstheme="minorHAnsi"/>
                <w:b/>
                <w:bCs/>
                <w:sz w:val="18"/>
                <w:szCs w:val="18"/>
                <w:lang w:eastAsia="sk-SK"/>
              </w:rPr>
            </w:pPr>
            <w:r>
              <w:rPr>
                <w:rFonts w:eastAsia="Times New Roman" w:cstheme="minorHAnsi"/>
                <w:b/>
                <w:bCs/>
                <w:sz w:val="18"/>
                <w:szCs w:val="18"/>
                <w:lang w:eastAsia="sk-SK"/>
              </w:rPr>
              <w:t>Turzovka </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3A5E6A6" w14:textId="77777777" w:rsidR="0034322D" w:rsidRDefault="0034322D" w:rsidP="00931169">
            <w:pPr>
              <w:keepNext/>
              <w:rPr>
                <w:rFonts w:eastAsia="Arial Unicode MS" w:cstheme="minorHAnsi"/>
                <w:b/>
                <w:bCs/>
                <w:sz w:val="18"/>
                <w:szCs w:val="18"/>
                <w:lang w:eastAsia="sk-SK"/>
              </w:rPr>
            </w:pPr>
            <w:r>
              <w:rPr>
                <w:rFonts w:eastAsia="Times New Roman" w:cstheme="minorHAnsi"/>
                <w:b/>
                <w:bCs/>
                <w:sz w:val="18"/>
                <w:szCs w:val="18"/>
                <w:lang w:eastAsia="sk-SK"/>
              </w:rPr>
              <w:t>Kysuca </w:t>
            </w:r>
          </w:p>
        </w:tc>
        <w:tc>
          <w:tcPr>
            <w:tcW w:w="690" w:type="dxa"/>
            <w:tcBorders>
              <w:top w:val="single" w:sz="4" w:space="0" w:color="auto"/>
              <w:left w:val="single" w:sz="4" w:space="0" w:color="auto"/>
              <w:bottom w:val="single" w:sz="4" w:space="0" w:color="auto"/>
              <w:right w:val="single" w:sz="4" w:space="0" w:color="auto"/>
            </w:tcBorders>
            <w:vAlign w:val="center"/>
            <w:hideMark/>
          </w:tcPr>
          <w:p w14:paraId="3E8E5AE0"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2,773</w:t>
            </w:r>
          </w:p>
        </w:tc>
        <w:tc>
          <w:tcPr>
            <w:tcW w:w="690" w:type="dxa"/>
            <w:tcBorders>
              <w:top w:val="single" w:sz="4" w:space="0" w:color="auto"/>
              <w:left w:val="single" w:sz="4" w:space="0" w:color="auto"/>
              <w:bottom w:val="single" w:sz="4" w:space="0" w:color="auto"/>
              <w:right w:val="single" w:sz="4" w:space="0" w:color="auto"/>
            </w:tcBorders>
            <w:vAlign w:val="center"/>
            <w:hideMark/>
          </w:tcPr>
          <w:p w14:paraId="764124DB"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3,407</w:t>
            </w:r>
          </w:p>
        </w:tc>
        <w:tc>
          <w:tcPr>
            <w:tcW w:w="590" w:type="dxa"/>
            <w:tcBorders>
              <w:top w:val="single" w:sz="4" w:space="0" w:color="auto"/>
              <w:left w:val="single" w:sz="4" w:space="0" w:color="auto"/>
              <w:bottom w:val="single" w:sz="4" w:space="0" w:color="auto"/>
              <w:right w:val="single" w:sz="4" w:space="0" w:color="auto"/>
            </w:tcBorders>
            <w:vAlign w:val="center"/>
            <w:hideMark/>
          </w:tcPr>
          <w:p w14:paraId="3C2FCB76"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3,785</w:t>
            </w:r>
          </w:p>
        </w:tc>
        <w:tc>
          <w:tcPr>
            <w:tcW w:w="654" w:type="dxa"/>
            <w:tcBorders>
              <w:top w:val="single" w:sz="4" w:space="0" w:color="auto"/>
              <w:left w:val="single" w:sz="4" w:space="0" w:color="auto"/>
              <w:bottom w:val="single" w:sz="4" w:space="0" w:color="auto"/>
              <w:right w:val="single" w:sz="4" w:space="0" w:color="auto"/>
            </w:tcBorders>
            <w:vAlign w:val="center"/>
            <w:hideMark/>
          </w:tcPr>
          <w:p w14:paraId="109D48E9"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1,109</w:t>
            </w:r>
          </w:p>
        </w:tc>
        <w:tc>
          <w:tcPr>
            <w:tcW w:w="654" w:type="dxa"/>
            <w:tcBorders>
              <w:top w:val="single" w:sz="4" w:space="0" w:color="auto"/>
              <w:left w:val="single" w:sz="4" w:space="0" w:color="auto"/>
              <w:bottom w:val="single" w:sz="4" w:space="0" w:color="auto"/>
              <w:right w:val="single" w:sz="4" w:space="0" w:color="auto"/>
            </w:tcBorders>
            <w:vAlign w:val="center"/>
            <w:hideMark/>
          </w:tcPr>
          <w:p w14:paraId="7D02BA5A"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1,057</w:t>
            </w:r>
          </w:p>
        </w:tc>
        <w:tc>
          <w:tcPr>
            <w:tcW w:w="654" w:type="dxa"/>
            <w:tcBorders>
              <w:top w:val="single" w:sz="4" w:space="0" w:color="auto"/>
              <w:left w:val="single" w:sz="4" w:space="0" w:color="auto"/>
              <w:bottom w:val="single" w:sz="4" w:space="0" w:color="auto"/>
              <w:right w:val="single" w:sz="4" w:space="0" w:color="auto"/>
            </w:tcBorders>
            <w:vAlign w:val="center"/>
            <w:hideMark/>
          </w:tcPr>
          <w:p w14:paraId="6CB4193C"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0,891</w:t>
            </w:r>
          </w:p>
        </w:tc>
        <w:tc>
          <w:tcPr>
            <w:tcW w:w="626" w:type="dxa"/>
            <w:tcBorders>
              <w:top w:val="single" w:sz="4" w:space="0" w:color="auto"/>
              <w:left w:val="single" w:sz="4" w:space="0" w:color="auto"/>
              <w:bottom w:val="single" w:sz="4" w:space="0" w:color="auto"/>
              <w:right w:val="single" w:sz="4" w:space="0" w:color="auto"/>
            </w:tcBorders>
            <w:vAlign w:val="center"/>
            <w:hideMark/>
          </w:tcPr>
          <w:p w14:paraId="54390D74"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4,608</w:t>
            </w:r>
          </w:p>
        </w:tc>
        <w:tc>
          <w:tcPr>
            <w:tcW w:w="690" w:type="dxa"/>
            <w:tcBorders>
              <w:top w:val="single" w:sz="4" w:space="0" w:color="auto"/>
              <w:left w:val="single" w:sz="4" w:space="0" w:color="auto"/>
              <w:bottom w:val="single" w:sz="4" w:space="0" w:color="auto"/>
              <w:right w:val="single" w:sz="4" w:space="0" w:color="auto"/>
            </w:tcBorders>
            <w:vAlign w:val="center"/>
            <w:hideMark/>
          </w:tcPr>
          <w:p w14:paraId="2BC60252"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1,223</w:t>
            </w:r>
          </w:p>
        </w:tc>
        <w:tc>
          <w:tcPr>
            <w:tcW w:w="804" w:type="dxa"/>
            <w:tcBorders>
              <w:top w:val="single" w:sz="4" w:space="0" w:color="auto"/>
              <w:left w:val="single" w:sz="4" w:space="0" w:color="auto"/>
              <w:bottom w:val="single" w:sz="4" w:space="0" w:color="auto"/>
              <w:right w:val="single" w:sz="4" w:space="0" w:color="auto"/>
            </w:tcBorders>
            <w:vAlign w:val="center"/>
            <w:hideMark/>
          </w:tcPr>
          <w:p w14:paraId="6653BBD5"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0,618</w:t>
            </w:r>
          </w:p>
        </w:tc>
        <w:tc>
          <w:tcPr>
            <w:tcW w:w="590" w:type="dxa"/>
            <w:tcBorders>
              <w:top w:val="single" w:sz="4" w:space="0" w:color="auto"/>
              <w:left w:val="single" w:sz="4" w:space="0" w:color="auto"/>
              <w:bottom w:val="single" w:sz="4" w:space="0" w:color="auto"/>
              <w:right w:val="single" w:sz="4" w:space="0" w:color="auto"/>
            </w:tcBorders>
            <w:vAlign w:val="center"/>
            <w:hideMark/>
          </w:tcPr>
          <w:p w14:paraId="3559D57D"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0,624</w:t>
            </w:r>
          </w:p>
        </w:tc>
        <w:tc>
          <w:tcPr>
            <w:tcW w:w="590" w:type="dxa"/>
            <w:tcBorders>
              <w:top w:val="single" w:sz="4" w:space="0" w:color="auto"/>
              <w:left w:val="single" w:sz="4" w:space="0" w:color="auto"/>
              <w:bottom w:val="single" w:sz="4" w:space="0" w:color="auto"/>
              <w:right w:val="single" w:sz="4" w:space="0" w:color="auto"/>
            </w:tcBorders>
            <w:vAlign w:val="center"/>
            <w:hideMark/>
          </w:tcPr>
          <w:p w14:paraId="525FE098"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1,226</w:t>
            </w:r>
          </w:p>
        </w:tc>
        <w:tc>
          <w:tcPr>
            <w:tcW w:w="590" w:type="dxa"/>
            <w:tcBorders>
              <w:top w:val="single" w:sz="4" w:space="0" w:color="auto"/>
              <w:left w:val="single" w:sz="4" w:space="0" w:color="auto"/>
              <w:bottom w:val="single" w:sz="4" w:space="0" w:color="auto"/>
              <w:right w:val="single" w:sz="4" w:space="0" w:color="auto"/>
            </w:tcBorders>
            <w:vAlign w:val="center"/>
            <w:hideMark/>
          </w:tcPr>
          <w:p w14:paraId="43380C4C"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4,126</w:t>
            </w:r>
          </w:p>
        </w:tc>
      </w:tr>
      <w:tr w:rsidR="0034322D" w14:paraId="72DD5594" w14:textId="77777777" w:rsidTr="0034322D">
        <w:trPr>
          <w:trHeight w:val="209"/>
        </w:trPr>
        <w:tc>
          <w:tcPr>
            <w:tcW w:w="1150" w:type="dxa"/>
            <w:tcBorders>
              <w:top w:val="single" w:sz="4" w:space="0" w:color="auto"/>
              <w:left w:val="single" w:sz="4" w:space="0" w:color="auto"/>
              <w:bottom w:val="single" w:sz="4" w:space="0" w:color="auto"/>
              <w:right w:val="single" w:sz="4" w:space="0" w:color="auto"/>
            </w:tcBorders>
            <w:vAlign w:val="center"/>
            <w:hideMark/>
          </w:tcPr>
          <w:p w14:paraId="28088041" w14:textId="77777777" w:rsidR="0034322D" w:rsidRDefault="0034322D" w:rsidP="00931169">
            <w:pPr>
              <w:keepNext/>
              <w:rPr>
                <w:rFonts w:eastAsia="Arial Unicode MS" w:cstheme="minorHAnsi"/>
                <w:b/>
                <w:bCs/>
                <w:sz w:val="18"/>
                <w:szCs w:val="18"/>
                <w:lang w:eastAsia="sk-SK"/>
              </w:rPr>
            </w:pPr>
            <w:r>
              <w:rPr>
                <w:rFonts w:eastAsia="Times New Roman" w:cstheme="minorHAnsi"/>
                <w:b/>
                <w:bCs/>
                <w:sz w:val="18"/>
                <w:szCs w:val="18"/>
                <w:lang w:eastAsia="sk-SK"/>
              </w:rPr>
              <w:t>Čadca</w:t>
            </w:r>
          </w:p>
        </w:tc>
        <w:tc>
          <w:tcPr>
            <w:tcW w:w="1080" w:type="dxa"/>
            <w:tcBorders>
              <w:top w:val="single" w:sz="4" w:space="0" w:color="auto"/>
              <w:left w:val="single" w:sz="4" w:space="0" w:color="auto"/>
              <w:bottom w:val="single" w:sz="4" w:space="0" w:color="auto"/>
              <w:right w:val="single" w:sz="4" w:space="0" w:color="auto"/>
            </w:tcBorders>
            <w:vAlign w:val="center"/>
            <w:hideMark/>
          </w:tcPr>
          <w:p w14:paraId="692CF74E" w14:textId="77777777" w:rsidR="0034322D" w:rsidRDefault="0034322D" w:rsidP="00931169">
            <w:pPr>
              <w:keepNext/>
              <w:rPr>
                <w:rFonts w:eastAsia="Arial Unicode MS" w:cstheme="minorHAnsi"/>
                <w:b/>
                <w:bCs/>
                <w:sz w:val="18"/>
                <w:szCs w:val="18"/>
                <w:lang w:eastAsia="sk-SK"/>
              </w:rPr>
            </w:pPr>
            <w:r>
              <w:rPr>
                <w:rFonts w:eastAsia="Times New Roman" w:cstheme="minorHAnsi"/>
                <w:b/>
                <w:bCs/>
                <w:sz w:val="18"/>
                <w:szCs w:val="18"/>
                <w:lang w:eastAsia="sk-SK"/>
              </w:rPr>
              <w:t>Čierňanka</w:t>
            </w:r>
          </w:p>
        </w:tc>
        <w:tc>
          <w:tcPr>
            <w:tcW w:w="690" w:type="dxa"/>
            <w:tcBorders>
              <w:top w:val="single" w:sz="4" w:space="0" w:color="auto"/>
              <w:left w:val="single" w:sz="4" w:space="0" w:color="auto"/>
              <w:bottom w:val="single" w:sz="4" w:space="0" w:color="auto"/>
              <w:right w:val="single" w:sz="4" w:space="0" w:color="auto"/>
            </w:tcBorders>
            <w:vAlign w:val="center"/>
            <w:hideMark/>
          </w:tcPr>
          <w:p w14:paraId="7D18664A"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2,141</w:t>
            </w:r>
          </w:p>
        </w:tc>
        <w:tc>
          <w:tcPr>
            <w:tcW w:w="690" w:type="dxa"/>
            <w:tcBorders>
              <w:top w:val="single" w:sz="4" w:space="0" w:color="auto"/>
              <w:left w:val="single" w:sz="4" w:space="0" w:color="auto"/>
              <w:bottom w:val="single" w:sz="4" w:space="0" w:color="auto"/>
              <w:right w:val="single" w:sz="4" w:space="0" w:color="auto"/>
            </w:tcBorders>
            <w:vAlign w:val="center"/>
            <w:hideMark/>
          </w:tcPr>
          <w:p w14:paraId="2C1927DC"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2,331</w:t>
            </w:r>
          </w:p>
        </w:tc>
        <w:tc>
          <w:tcPr>
            <w:tcW w:w="590" w:type="dxa"/>
            <w:tcBorders>
              <w:top w:val="single" w:sz="4" w:space="0" w:color="auto"/>
              <w:left w:val="single" w:sz="4" w:space="0" w:color="auto"/>
              <w:bottom w:val="single" w:sz="4" w:space="0" w:color="auto"/>
              <w:right w:val="single" w:sz="4" w:space="0" w:color="auto"/>
            </w:tcBorders>
            <w:vAlign w:val="center"/>
            <w:hideMark/>
          </w:tcPr>
          <w:p w14:paraId="5C1AE9E1"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3,994</w:t>
            </w:r>
          </w:p>
        </w:tc>
        <w:tc>
          <w:tcPr>
            <w:tcW w:w="654" w:type="dxa"/>
            <w:tcBorders>
              <w:top w:val="single" w:sz="4" w:space="0" w:color="auto"/>
              <w:left w:val="single" w:sz="4" w:space="0" w:color="auto"/>
              <w:bottom w:val="single" w:sz="4" w:space="0" w:color="auto"/>
              <w:right w:val="single" w:sz="4" w:space="0" w:color="auto"/>
            </w:tcBorders>
            <w:vAlign w:val="center"/>
            <w:hideMark/>
          </w:tcPr>
          <w:p w14:paraId="0F8B371B"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1,227</w:t>
            </w:r>
          </w:p>
        </w:tc>
        <w:tc>
          <w:tcPr>
            <w:tcW w:w="654" w:type="dxa"/>
            <w:tcBorders>
              <w:top w:val="single" w:sz="4" w:space="0" w:color="auto"/>
              <w:left w:val="single" w:sz="4" w:space="0" w:color="auto"/>
              <w:bottom w:val="single" w:sz="4" w:space="0" w:color="auto"/>
              <w:right w:val="single" w:sz="4" w:space="0" w:color="auto"/>
            </w:tcBorders>
            <w:vAlign w:val="center"/>
            <w:hideMark/>
          </w:tcPr>
          <w:p w14:paraId="6ACDBC88"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1,126</w:t>
            </w:r>
          </w:p>
        </w:tc>
        <w:tc>
          <w:tcPr>
            <w:tcW w:w="654" w:type="dxa"/>
            <w:tcBorders>
              <w:top w:val="single" w:sz="4" w:space="0" w:color="auto"/>
              <w:left w:val="single" w:sz="4" w:space="0" w:color="auto"/>
              <w:bottom w:val="single" w:sz="4" w:space="0" w:color="auto"/>
              <w:right w:val="single" w:sz="4" w:space="0" w:color="auto"/>
            </w:tcBorders>
            <w:vAlign w:val="center"/>
            <w:hideMark/>
          </w:tcPr>
          <w:p w14:paraId="71C6904F"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1,37</w:t>
            </w:r>
          </w:p>
        </w:tc>
        <w:tc>
          <w:tcPr>
            <w:tcW w:w="626" w:type="dxa"/>
            <w:tcBorders>
              <w:top w:val="single" w:sz="4" w:space="0" w:color="auto"/>
              <w:left w:val="single" w:sz="4" w:space="0" w:color="auto"/>
              <w:bottom w:val="single" w:sz="4" w:space="0" w:color="auto"/>
              <w:right w:val="single" w:sz="4" w:space="0" w:color="auto"/>
            </w:tcBorders>
            <w:vAlign w:val="center"/>
            <w:hideMark/>
          </w:tcPr>
          <w:p w14:paraId="699B1DE8"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3,426</w:t>
            </w:r>
          </w:p>
        </w:tc>
        <w:tc>
          <w:tcPr>
            <w:tcW w:w="690" w:type="dxa"/>
            <w:tcBorders>
              <w:top w:val="single" w:sz="4" w:space="0" w:color="auto"/>
              <w:left w:val="single" w:sz="4" w:space="0" w:color="auto"/>
              <w:bottom w:val="single" w:sz="4" w:space="0" w:color="auto"/>
              <w:right w:val="single" w:sz="4" w:space="0" w:color="auto"/>
            </w:tcBorders>
            <w:vAlign w:val="center"/>
            <w:hideMark/>
          </w:tcPr>
          <w:p w14:paraId="7ED74D2E"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0,592</w:t>
            </w:r>
          </w:p>
        </w:tc>
        <w:tc>
          <w:tcPr>
            <w:tcW w:w="804" w:type="dxa"/>
            <w:tcBorders>
              <w:top w:val="single" w:sz="4" w:space="0" w:color="auto"/>
              <w:left w:val="single" w:sz="4" w:space="0" w:color="auto"/>
              <w:bottom w:val="single" w:sz="4" w:space="0" w:color="auto"/>
              <w:right w:val="single" w:sz="4" w:space="0" w:color="auto"/>
            </w:tcBorders>
            <w:vAlign w:val="center"/>
            <w:hideMark/>
          </w:tcPr>
          <w:p w14:paraId="24B8E03D"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0,352</w:t>
            </w:r>
          </w:p>
        </w:tc>
        <w:tc>
          <w:tcPr>
            <w:tcW w:w="590" w:type="dxa"/>
            <w:tcBorders>
              <w:top w:val="single" w:sz="4" w:space="0" w:color="auto"/>
              <w:left w:val="single" w:sz="4" w:space="0" w:color="auto"/>
              <w:bottom w:val="single" w:sz="4" w:space="0" w:color="auto"/>
              <w:right w:val="single" w:sz="4" w:space="0" w:color="auto"/>
            </w:tcBorders>
            <w:vAlign w:val="center"/>
            <w:hideMark/>
          </w:tcPr>
          <w:p w14:paraId="637F47D2"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0,375</w:t>
            </w:r>
          </w:p>
        </w:tc>
        <w:tc>
          <w:tcPr>
            <w:tcW w:w="590" w:type="dxa"/>
            <w:tcBorders>
              <w:top w:val="single" w:sz="4" w:space="0" w:color="auto"/>
              <w:left w:val="single" w:sz="4" w:space="0" w:color="auto"/>
              <w:bottom w:val="single" w:sz="4" w:space="0" w:color="auto"/>
              <w:right w:val="single" w:sz="4" w:space="0" w:color="auto"/>
            </w:tcBorders>
            <w:vAlign w:val="center"/>
            <w:hideMark/>
          </w:tcPr>
          <w:p w14:paraId="24F31DF4"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1,104</w:t>
            </w:r>
          </w:p>
        </w:tc>
        <w:tc>
          <w:tcPr>
            <w:tcW w:w="590" w:type="dxa"/>
            <w:tcBorders>
              <w:top w:val="single" w:sz="4" w:space="0" w:color="auto"/>
              <w:left w:val="single" w:sz="4" w:space="0" w:color="auto"/>
              <w:bottom w:val="single" w:sz="4" w:space="0" w:color="auto"/>
              <w:right w:val="single" w:sz="4" w:space="0" w:color="auto"/>
            </w:tcBorders>
            <w:vAlign w:val="center"/>
            <w:hideMark/>
          </w:tcPr>
          <w:p w14:paraId="1DD0EB3D"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3,184</w:t>
            </w:r>
          </w:p>
        </w:tc>
      </w:tr>
      <w:tr w:rsidR="0034322D" w14:paraId="402A235A" w14:textId="77777777" w:rsidTr="0034322D">
        <w:tc>
          <w:tcPr>
            <w:tcW w:w="1150" w:type="dxa"/>
            <w:tcBorders>
              <w:top w:val="single" w:sz="4" w:space="0" w:color="auto"/>
              <w:left w:val="single" w:sz="4" w:space="0" w:color="auto"/>
              <w:bottom w:val="single" w:sz="4" w:space="0" w:color="auto"/>
              <w:right w:val="single" w:sz="4" w:space="0" w:color="auto"/>
            </w:tcBorders>
            <w:vAlign w:val="center"/>
            <w:hideMark/>
          </w:tcPr>
          <w:p w14:paraId="3029077A" w14:textId="77777777" w:rsidR="0034322D" w:rsidRDefault="0034322D" w:rsidP="00931169">
            <w:pPr>
              <w:keepNext/>
              <w:rPr>
                <w:rFonts w:eastAsia="Arial Unicode MS" w:cstheme="minorHAnsi"/>
                <w:b/>
                <w:bCs/>
                <w:sz w:val="18"/>
                <w:szCs w:val="18"/>
                <w:lang w:eastAsia="sk-SK"/>
              </w:rPr>
            </w:pPr>
            <w:r>
              <w:rPr>
                <w:rFonts w:eastAsia="Times New Roman" w:cstheme="minorHAnsi"/>
                <w:b/>
                <w:bCs/>
                <w:sz w:val="18"/>
                <w:szCs w:val="18"/>
                <w:lang w:eastAsia="sk-SK"/>
              </w:rPr>
              <w:t>Čadca</w:t>
            </w:r>
          </w:p>
        </w:tc>
        <w:tc>
          <w:tcPr>
            <w:tcW w:w="1080" w:type="dxa"/>
            <w:tcBorders>
              <w:top w:val="single" w:sz="4" w:space="0" w:color="auto"/>
              <w:left w:val="single" w:sz="4" w:space="0" w:color="auto"/>
              <w:bottom w:val="single" w:sz="4" w:space="0" w:color="auto"/>
              <w:right w:val="single" w:sz="4" w:space="0" w:color="auto"/>
            </w:tcBorders>
            <w:vAlign w:val="center"/>
            <w:hideMark/>
          </w:tcPr>
          <w:p w14:paraId="31109EC6" w14:textId="77777777" w:rsidR="0034322D" w:rsidRDefault="0034322D" w:rsidP="00931169">
            <w:pPr>
              <w:keepNext/>
              <w:rPr>
                <w:rFonts w:eastAsia="Arial Unicode MS" w:cstheme="minorHAnsi"/>
                <w:b/>
                <w:bCs/>
                <w:sz w:val="18"/>
                <w:szCs w:val="18"/>
                <w:lang w:eastAsia="sk-SK"/>
              </w:rPr>
            </w:pPr>
            <w:r>
              <w:rPr>
                <w:rFonts w:eastAsia="Times New Roman" w:cstheme="minorHAnsi"/>
                <w:b/>
                <w:bCs/>
                <w:sz w:val="18"/>
                <w:szCs w:val="18"/>
                <w:lang w:eastAsia="sk-SK"/>
              </w:rPr>
              <w:t>Kysuca</w:t>
            </w:r>
          </w:p>
        </w:tc>
        <w:tc>
          <w:tcPr>
            <w:tcW w:w="690" w:type="dxa"/>
            <w:tcBorders>
              <w:top w:val="single" w:sz="4" w:space="0" w:color="auto"/>
              <w:left w:val="single" w:sz="4" w:space="0" w:color="auto"/>
              <w:bottom w:val="single" w:sz="4" w:space="0" w:color="auto"/>
              <w:right w:val="single" w:sz="4" w:space="0" w:color="auto"/>
            </w:tcBorders>
            <w:vAlign w:val="center"/>
            <w:hideMark/>
          </w:tcPr>
          <w:p w14:paraId="65A7E865"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7,384</w:t>
            </w:r>
          </w:p>
        </w:tc>
        <w:tc>
          <w:tcPr>
            <w:tcW w:w="690" w:type="dxa"/>
            <w:tcBorders>
              <w:top w:val="single" w:sz="4" w:space="0" w:color="auto"/>
              <w:left w:val="single" w:sz="4" w:space="0" w:color="auto"/>
              <w:bottom w:val="single" w:sz="4" w:space="0" w:color="auto"/>
              <w:right w:val="single" w:sz="4" w:space="0" w:color="auto"/>
            </w:tcBorders>
            <w:vAlign w:val="center"/>
            <w:hideMark/>
          </w:tcPr>
          <w:p w14:paraId="758B5C0E"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8,808</w:t>
            </w:r>
          </w:p>
        </w:tc>
        <w:tc>
          <w:tcPr>
            <w:tcW w:w="590" w:type="dxa"/>
            <w:tcBorders>
              <w:top w:val="single" w:sz="4" w:space="0" w:color="auto"/>
              <w:left w:val="single" w:sz="4" w:space="0" w:color="auto"/>
              <w:bottom w:val="single" w:sz="4" w:space="0" w:color="auto"/>
              <w:right w:val="single" w:sz="4" w:space="0" w:color="auto"/>
            </w:tcBorders>
            <w:vAlign w:val="center"/>
            <w:hideMark/>
          </w:tcPr>
          <w:p w14:paraId="7E577E77"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11,52</w:t>
            </w:r>
          </w:p>
        </w:tc>
        <w:tc>
          <w:tcPr>
            <w:tcW w:w="654" w:type="dxa"/>
            <w:tcBorders>
              <w:top w:val="single" w:sz="4" w:space="0" w:color="auto"/>
              <w:left w:val="single" w:sz="4" w:space="0" w:color="auto"/>
              <w:bottom w:val="single" w:sz="4" w:space="0" w:color="auto"/>
              <w:right w:val="single" w:sz="4" w:space="0" w:color="auto"/>
            </w:tcBorders>
            <w:vAlign w:val="center"/>
            <w:hideMark/>
          </w:tcPr>
          <w:p w14:paraId="7D9BA552"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4,355</w:t>
            </w:r>
          </w:p>
        </w:tc>
        <w:tc>
          <w:tcPr>
            <w:tcW w:w="654" w:type="dxa"/>
            <w:tcBorders>
              <w:top w:val="single" w:sz="4" w:space="0" w:color="auto"/>
              <w:left w:val="single" w:sz="4" w:space="0" w:color="auto"/>
              <w:bottom w:val="single" w:sz="4" w:space="0" w:color="auto"/>
              <w:right w:val="single" w:sz="4" w:space="0" w:color="auto"/>
            </w:tcBorders>
            <w:vAlign w:val="center"/>
            <w:hideMark/>
          </w:tcPr>
          <w:p w14:paraId="57223200"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3,12</w:t>
            </w:r>
          </w:p>
        </w:tc>
        <w:tc>
          <w:tcPr>
            <w:tcW w:w="654" w:type="dxa"/>
            <w:tcBorders>
              <w:top w:val="single" w:sz="4" w:space="0" w:color="auto"/>
              <w:left w:val="single" w:sz="4" w:space="0" w:color="auto"/>
              <w:bottom w:val="single" w:sz="4" w:space="0" w:color="auto"/>
              <w:right w:val="single" w:sz="4" w:space="0" w:color="auto"/>
            </w:tcBorders>
            <w:vAlign w:val="center"/>
            <w:hideMark/>
          </w:tcPr>
          <w:p w14:paraId="55E5038A"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3,092</w:t>
            </w:r>
          </w:p>
        </w:tc>
        <w:tc>
          <w:tcPr>
            <w:tcW w:w="626" w:type="dxa"/>
            <w:tcBorders>
              <w:top w:val="single" w:sz="4" w:space="0" w:color="auto"/>
              <w:left w:val="single" w:sz="4" w:space="0" w:color="auto"/>
              <w:bottom w:val="single" w:sz="4" w:space="0" w:color="auto"/>
              <w:right w:val="single" w:sz="4" w:space="0" w:color="auto"/>
            </w:tcBorders>
            <w:vAlign w:val="center"/>
            <w:hideMark/>
          </w:tcPr>
          <w:p w14:paraId="4DC5A14B"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9,744</w:t>
            </w:r>
          </w:p>
        </w:tc>
        <w:tc>
          <w:tcPr>
            <w:tcW w:w="690" w:type="dxa"/>
            <w:tcBorders>
              <w:top w:val="single" w:sz="4" w:space="0" w:color="auto"/>
              <w:left w:val="single" w:sz="4" w:space="0" w:color="auto"/>
              <w:bottom w:val="single" w:sz="4" w:space="0" w:color="auto"/>
              <w:right w:val="single" w:sz="4" w:space="0" w:color="auto"/>
            </w:tcBorders>
            <w:vAlign w:val="center"/>
            <w:hideMark/>
          </w:tcPr>
          <w:p w14:paraId="31C9A41F"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2,65</w:t>
            </w:r>
          </w:p>
        </w:tc>
        <w:tc>
          <w:tcPr>
            <w:tcW w:w="804" w:type="dxa"/>
            <w:tcBorders>
              <w:top w:val="single" w:sz="4" w:space="0" w:color="auto"/>
              <w:left w:val="single" w:sz="4" w:space="0" w:color="auto"/>
              <w:bottom w:val="single" w:sz="4" w:space="0" w:color="auto"/>
              <w:right w:val="single" w:sz="4" w:space="0" w:color="auto"/>
            </w:tcBorders>
            <w:vAlign w:val="center"/>
            <w:hideMark/>
          </w:tcPr>
          <w:p w14:paraId="1FAA05FE"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1,1419</w:t>
            </w:r>
          </w:p>
        </w:tc>
        <w:tc>
          <w:tcPr>
            <w:tcW w:w="590" w:type="dxa"/>
            <w:tcBorders>
              <w:top w:val="single" w:sz="4" w:space="0" w:color="auto"/>
              <w:left w:val="single" w:sz="4" w:space="0" w:color="auto"/>
              <w:bottom w:val="single" w:sz="4" w:space="0" w:color="auto"/>
              <w:right w:val="single" w:sz="4" w:space="0" w:color="auto"/>
            </w:tcBorders>
            <w:vAlign w:val="center"/>
            <w:hideMark/>
          </w:tcPr>
          <w:p w14:paraId="58B494BF"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1,368</w:t>
            </w:r>
          </w:p>
        </w:tc>
        <w:tc>
          <w:tcPr>
            <w:tcW w:w="590" w:type="dxa"/>
            <w:tcBorders>
              <w:top w:val="single" w:sz="4" w:space="0" w:color="auto"/>
              <w:left w:val="single" w:sz="4" w:space="0" w:color="auto"/>
              <w:bottom w:val="single" w:sz="4" w:space="0" w:color="auto"/>
              <w:right w:val="single" w:sz="4" w:space="0" w:color="auto"/>
            </w:tcBorders>
            <w:vAlign w:val="center"/>
            <w:hideMark/>
          </w:tcPr>
          <w:p w14:paraId="22BB5B6D"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2,7</w:t>
            </w:r>
          </w:p>
        </w:tc>
        <w:tc>
          <w:tcPr>
            <w:tcW w:w="590" w:type="dxa"/>
            <w:tcBorders>
              <w:top w:val="single" w:sz="4" w:space="0" w:color="auto"/>
              <w:left w:val="single" w:sz="4" w:space="0" w:color="auto"/>
              <w:bottom w:val="single" w:sz="4" w:space="0" w:color="auto"/>
              <w:right w:val="single" w:sz="4" w:space="0" w:color="auto"/>
            </w:tcBorders>
            <w:vAlign w:val="center"/>
            <w:hideMark/>
          </w:tcPr>
          <w:p w14:paraId="08AF17A1" w14:textId="77777777" w:rsidR="0034322D" w:rsidRDefault="0034322D" w:rsidP="00931169">
            <w:pPr>
              <w:keepNext/>
              <w:rPr>
                <w:rFonts w:eastAsia="Arial Unicode MS" w:cstheme="minorHAnsi"/>
                <w:sz w:val="18"/>
                <w:szCs w:val="18"/>
                <w:lang w:eastAsia="sk-SK"/>
              </w:rPr>
            </w:pPr>
            <w:r>
              <w:rPr>
                <w:rFonts w:eastAsia="Arial Unicode MS" w:cstheme="minorHAnsi"/>
                <w:sz w:val="18"/>
                <w:szCs w:val="18"/>
                <w:lang w:eastAsia="sk-SK"/>
              </w:rPr>
              <w:t>8,937</w:t>
            </w:r>
          </w:p>
        </w:tc>
      </w:tr>
      <w:tr w:rsidR="0034322D" w14:paraId="2F804C2F" w14:textId="77777777" w:rsidTr="0034322D">
        <w:tc>
          <w:tcPr>
            <w:tcW w:w="1150" w:type="dxa"/>
            <w:tcBorders>
              <w:top w:val="single" w:sz="4" w:space="0" w:color="auto"/>
              <w:left w:val="single" w:sz="4" w:space="0" w:color="auto"/>
              <w:bottom w:val="single" w:sz="4" w:space="0" w:color="auto"/>
              <w:right w:val="single" w:sz="4" w:space="0" w:color="auto"/>
            </w:tcBorders>
            <w:vAlign w:val="center"/>
            <w:hideMark/>
          </w:tcPr>
          <w:p w14:paraId="2B9AFF73" w14:textId="77777777" w:rsidR="0034322D" w:rsidRDefault="0034322D" w:rsidP="00931169">
            <w:pPr>
              <w:rPr>
                <w:rFonts w:eastAsia="Arial Unicode MS" w:cstheme="minorHAnsi"/>
                <w:b/>
                <w:bCs/>
                <w:sz w:val="18"/>
                <w:szCs w:val="18"/>
                <w:lang w:eastAsia="sk-SK"/>
              </w:rPr>
            </w:pPr>
            <w:r>
              <w:rPr>
                <w:rFonts w:eastAsia="Times New Roman" w:cstheme="minorHAnsi"/>
                <w:b/>
                <w:bCs/>
                <w:sz w:val="18"/>
                <w:szCs w:val="18"/>
                <w:lang w:eastAsia="sk-SK"/>
              </w:rPr>
              <w:t>Nová Bystrica</w:t>
            </w:r>
          </w:p>
        </w:tc>
        <w:tc>
          <w:tcPr>
            <w:tcW w:w="1080" w:type="dxa"/>
            <w:tcBorders>
              <w:top w:val="single" w:sz="4" w:space="0" w:color="auto"/>
              <w:left w:val="single" w:sz="4" w:space="0" w:color="auto"/>
              <w:bottom w:val="single" w:sz="4" w:space="0" w:color="auto"/>
              <w:right w:val="single" w:sz="4" w:space="0" w:color="auto"/>
            </w:tcBorders>
            <w:vAlign w:val="center"/>
            <w:hideMark/>
          </w:tcPr>
          <w:p w14:paraId="7446AAC0" w14:textId="77777777" w:rsidR="0034322D" w:rsidRDefault="0034322D" w:rsidP="00931169">
            <w:pPr>
              <w:rPr>
                <w:rFonts w:eastAsia="Arial Unicode MS" w:cstheme="minorHAnsi"/>
                <w:b/>
                <w:bCs/>
                <w:sz w:val="18"/>
                <w:szCs w:val="18"/>
                <w:lang w:eastAsia="sk-SK"/>
              </w:rPr>
            </w:pPr>
            <w:r>
              <w:rPr>
                <w:rFonts w:eastAsia="Times New Roman" w:cstheme="minorHAnsi"/>
                <w:b/>
                <w:bCs/>
                <w:sz w:val="18"/>
                <w:szCs w:val="18"/>
                <w:lang w:eastAsia="sk-SK"/>
              </w:rPr>
              <w:t>Bystrica </w:t>
            </w:r>
          </w:p>
        </w:tc>
        <w:tc>
          <w:tcPr>
            <w:tcW w:w="690" w:type="dxa"/>
            <w:tcBorders>
              <w:top w:val="single" w:sz="4" w:space="0" w:color="auto"/>
              <w:left w:val="single" w:sz="4" w:space="0" w:color="auto"/>
              <w:bottom w:val="single" w:sz="4" w:space="0" w:color="auto"/>
              <w:right w:val="single" w:sz="4" w:space="0" w:color="auto"/>
            </w:tcBorders>
            <w:vAlign w:val="center"/>
            <w:hideMark/>
          </w:tcPr>
          <w:p w14:paraId="56118EFF"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1,456</w:t>
            </w:r>
          </w:p>
        </w:tc>
        <w:tc>
          <w:tcPr>
            <w:tcW w:w="690" w:type="dxa"/>
            <w:tcBorders>
              <w:top w:val="single" w:sz="4" w:space="0" w:color="auto"/>
              <w:left w:val="single" w:sz="4" w:space="0" w:color="auto"/>
              <w:bottom w:val="single" w:sz="4" w:space="0" w:color="auto"/>
              <w:right w:val="single" w:sz="4" w:space="0" w:color="auto"/>
            </w:tcBorders>
            <w:vAlign w:val="center"/>
            <w:hideMark/>
          </w:tcPr>
          <w:p w14:paraId="7AA7A13A"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0,846</w:t>
            </w:r>
          </w:p>
        </w:tc>
        <w:tc>
          <w:tcPr>
            <w:tcW w:w="590" w:type="dxa"/>
            <w:tcBorders>
              <w:top w:val="single" w:sz="4" w:space="0" w:color="auto"/>
              <w:left w:val="single" w:sz="4" w:space="0" w:color="auto"/>
              <w:bottom w:val="single" w:sz="4" w:space="0" w:color="auto"/>
              <w:right w:val="single" w:sz="4" w:space="0" w:color="auto"/>
            </w:tcBorders>
            <w:vAlign w:val="center"/>
            <w:hideMark/>
          </w:tcPr>
          <w:p w14:paraId="0BE1310C"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2,086</w:t>
            </w:r>
          </w:p>
        </w:tc>
        <w:tc>
          <w:tcPr>
            <w:tcW w:w="654" w:type="dxa"/>
            <w:tcBorders>
              <w:top w:val="single" w:sz="4" w:space="0" w:color="auto"/>
              <w:left w:val="single" w:sz="4" w:space="0" w:color="auto"/>
              <w:bottom w:val="single" w:sz="4" w:space="0" w:color="auto"/>
              <w:right w:val="single" w:sz="4" w:space="0" w:color="auto"/>
            </w:tcBorders>
            <w:vAlign w:val="center"/>
            <w:hideMark/>
          </w:tcPr>
          <w:p w14:paraId="59236051"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0,836</w:t>
            </w:r>
          </w:p>
        </w:tc>
        <w:tc>
          <w:tcPr>
            <w:tcW w:w="654" w:type="dxa"/>
            <w:tcBorders>
              <w:top w:val="single" w:sz="4" w:space="0" w:color="auto"/>
              <w:left w:val="single" w:sz="4" w:space="0" w:color="auto"/>
              <w:bottom w:val="single" w:sz="4" w:space="0" w:color="auto"/>
              <w:right w:val="single" w:sz="4" w:space="0" w:color="auto"/>
            </w:tcBorders>
            <w:vAlign w:val="center"/>
            <w:hideMark/>
          </w:tcPr>
          <w:p w14:paraId="3D32DDCA"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0,84</w:t>
            </w:r>
          </w:p>
        </w:tc>
        <w:tc>
          <w:tcPr>
            <w:tcW w:w="654" w:type="dxa"/>
            <w:tcBorders>
              <w:top w:val="single" w:sz="4" w:space="0" w:color="auto"/>
              <w:left w:val="single" w:sz="4" w:space="0" w:color="auto"/>
              <w:bottom w:val="single" w:sz="4" w:space="0" w:color="auto"/>
              <w:right w:val="single" w:sz="4" w:space="0" w:color="auto"/>
            </w:tcBorders>
            <w:vAlign w:val="center"/>
            <w:hideMark/>
          </w:tcPr>
          <w:p w14:paraId="63736A78"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0,854</w:t>
            </w:r>
          </w:p>
        </w:tc>
        <w:tc>
          <w:tcPr>
            <w:tcW w:w="626" w:type="dxa"/>
            <w:tcBorders>
              <w:top w:val="single" w:sz="4" w:space="0" w:color="auto"/>
              <w:left w:val="single" w:sz="4" w:space="0" w:color="auto"/>
              <w:bottom w:val="single" w:sz="4" w:space="0" w:color="auto"/>
              <w:right w:val="single" w:sz="4" w:space="0" w:color="auto"/>
            </w:tcBorders>
            <w:vAlign w:val="center"/>
            <w:hideMark/>
          </w:tcPr>
          <w:p w14:paraId="5DC8607F"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0,86</w:t>
            </w:r>
          </w:p>
        </w:tc>
        <w:tc>
          <w:tcPr>
            <w:tcW w:w="690" w:type="dxa"/>
            <w:tcBorders>
              <w:top w:val="single" w:sz="4" w:space="0" w:color="auto"/>
              <w:left w:val="single" w:sz="4" w:space="0" w:color="auto"/>
              <w:bottom w:val="single" w:sz="4" w:space="0" w:color="auto"/>
              <w:right w:val="single" w:sz="4" w:space="0" w:color="auto"/>
            </w:tcBorders>
            <w:vAlign w:val="center"/>
            <w:hideMark/>
          </w:tcPr>
          <w:p w14:paraId="6B2ADF58"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0,922</w:t>
            </w:r>
          </w:p>
        </w:tc>
        <w:tc>
          <w:tcPr>
            <w:tcW w:w="804" w:type="dxa"/>
            <w:tcBorders>
              <w:top w:val="single" w:sz="4" w:space="0" w:color="auto"/>
              <w:left w:val="single" w:sz="4" w:space="0" w:color="auto"/>
              <w:bottom w:val="single" w:sz="4" w:space="0" w:color="auto"/>
              <w:right w:val="single" w:sz="4" w:space="0" w:color="auto"/>
            </w:tcBorders>
            <w:vAlign w:val="center"/>
            <w:hideMark/>
          </w:tcPr>
          <w:p w14:paraId="66C732CB"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0,872</w:t>
            </w:r>
          </w:p>
        </w:tc>
        <w:tc>
          <w:tcPr>
            <w:tcW w:w="590" w:type="dxa"/>
            <w:tcBorders>
              <w:top w:val="single" w:sz="4" w:space="0" w:color="auto"/>
              <w:left w:val="single" w:sz="4" w:space="0" w:color="auto"/>
              <w:bottom w:val="single" w:sz="4" w:space="0" w:color="auto"/>
              <w:right w:val="single" w:sz="4" w:space="0" w:color="auto"/>
            </w:tcBorders>
            <w:vAlign w:val="center"/>
            <w:hideMark/>
          </w:tcPr>
          <w:p w14:paraId="02F49175"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0,459</w:t>
            </w:r>
          </w:p>
        </w:tc>
        <w:tc>
          <w:tcPr>
            <w:tcW w:w="590" w:type="dxa"/>
            <w:tcBorders>
              <w:top w:val="single" w:sz="4" w:space="0" w:color="auto"/>
              <w:left w:val="single" w:sz="4" w:space="0" w:color="auto"/>
              <w:bottom w:val="single" w:sz="4" w:space="0" w:color="auto"/>
              <w:right w:val="single" w:sz="4" w:space="0" w:color="auto"/>
            </w:tcBorders>
            <w:vAlign w:val="center"/>
            <w:hideMark/>
          </w:tcPr>
          <w:p w14:paraId="7B7CE4B5"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0,22</w:t>
            </w:r>
          </w:p>
        </w:tc>
        <w:tc>
          <w:tcPr>
            <w:tcW w:w="590" w:type="dxa"/>
            <w:tcBorders>
              <w:top w:val="single" w:sz="4" w:space="0" w:color="auto"/>
              <w:left w:val="single" w:sz="4" w:space="0" w:color="auto"/>
              <w:bottom w:val="single" w:sz="4" w:space="0" w:color="auto"/>
              <w:right w:val="single" w:sz="4" w:space="0" w:color="auto"/>
            </w:tcBorders>
            <w:vAlign w:val="center"/>
            <w:hideMark/>
          </w:tcPr>
          <w:p w14:paraId="015EDE3C"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0,434</w:t>
            </w:r>
          </w:p>
        </w:tc>
      </w:tr>
      <w:tr w:rsidR="0034322D" w14:paraId="3590ECED" w14:textId="77777777" w:rsidTr="0034322D">
        <w:tc>
          <w:tcPr>
            <w:tcW w:w="1150" w:type="dxa"/>
            <w:tcBorders>
              <w:top w:val="single" w:sz="4" w:space="0" w:color="auto"/>
              <w:left w:val="single" w:sz="4" w:space="0" w:color="auto"/>
              <w:bottom w:val="single" w:sz="4" w:space="0" w:color="auto"/>
              <w:right w:val="single" w:sz="4" w:space="0" w:color="auto"/>
            </w:tcBorders>
            <w:vAlign w:val="center"/>
            <w:hideMark/>
          </w:tcPr>
          <w:p w14:paraId="67F77D3E" w14:textId="77777777" w:rsidR="0034322D" w:rsidRDefault="0034322D" w:rsidP="00931169">
            <w:pPr>
              <w:rPr>
                <w:rFonts w:eastAsia="Arial Unicode MS" w:cstheme="minorHAnsi"/>
                <w:b/>
                <w:bCs/>
                <w:sz w:val="18"/>
                <w:szCs w:val="18"/>
                <w:lang w:eastAsia="sk-SK"/>
              </w:rPr>
            </w:pPr>
            <w:r>
              <w:rPr>
                <w:rFonts w:eastAsia="Times New Roman" w:cstheme="minorHAnsi"/>
                <w:b/>
                <w:bCs/>
                <w:sz w:val="18"/>
                <w:szCs w:val="18"/>
                <w:lang w:eastAsia="sk-SK"/>
              </w:rPr>
              <w:t>Zborov nad Bystricou </w:t>
            </w:r>
          </w:p>
        </w:tc>
        <w:tc>
          <w:tcPr>
            <w:tcW w:w="1080" w:type="dxa"/>
            <w:tcBorders>
              <w:top w:val="single" w:sz="4" w:space="0" w:color="auto"/>
              <w:left w:val="single" w:sz="4" w:space="0" w:color="auto"/>
              <w:bottom w:val="single" w:sz="4" w:space="0" w:color="auto"/>
              <w:right w:val="single" w:sz="4" w:space="0" w:color="auto"/>
            </w:tcBorders>
            <w:vAlign w:val="center"/>
            <w:hideMark/>
          </w:tcPr>
          <w:p w14:paraId="1C8C9485" w14:textId="77777777" w:rsidR="0034322D" w:rsidRDefault="0034322D" w:rsidP="00931169">
            <w:pPr>
              <w:rPr>
                <w:rFonts w:eastAsia="Arial Unicode MS" w:cstheme="minorHAnsi"/>
                <w:b/>
                <w:bCs/>
                <w:sz w:val="18"/>
                <w:szCs w:val="18"/>
                <w:lang w:eastAsia="sk-SK"/>
              </w:rPr>
            </w:pPr>
            <w:r>
              <w:rPr>
                <w:rFonts w:eastAsia="Times New Roman" w:cstheme="minorHAnsi"/>
                <w:b/>
                <w:bCs/>
                <w:sz w:val="18"/>
                <w:szCs w:val="18"/>
                <w:lang w:eastAsia="sk-SK"/>
              </w:rPr>
              <w:t>Bystrica</w:t>
            </w:r>
          </w:p>
        </w:tc>
        <w:tc>
          <w:tcPr>
            <w:tcW w:w="690" w:type="dxa"/>
            <w:tcBorders>
              <w:top w:val="single" w:sz="4" w:space="0" w:color="auto"/>
              <w:left w:val="single" w:sz="4" w:space="0" w:color="auto"/>
              <w:bottom w:val="single" w:sz="4" w:space="0" w:color="auto"/>
              <w:right w:val="single" w:sz="4" w:space="0" w:color="auto"/>
            </w:tcBorders>
            <w:vAlign w:val="center"/>
            <w:hideMark/>
          </w:tcPr>
          <w:p w14:paraId="582A7E25"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5,547</w:t>
            </w:r>
          </w:p>
        </w:tc>
        <w:tc>
          <w:tcPr>
            <w:tcW w:w="690" w:type="dxa"/>
            <w:tcBorders>
              <w:top w:val="single" w:sz="4" w:space="0" w:color="auto"/>
              <w:left w:val="single" w:sz="4" w:space="0" w:color="auto"/>
              <w:bottom w:val="single" w:sz="4" w:space="0" w:color="auto"/>
              <w:right w:val="single" w:sz="4" w:space="0" w:color="auto"/>
            </w:tcBorders>
            <w:vAlign w:val="center"/>
            <w:hideMark/>
          </w:tcPr>
          <w:p w14:paraId="71362462"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4,875</w:t>
            </w:r>
          </w:p>
        </w:tc>
        <w:tc>
          <w:tcPr>
            <w:tcW w:w="590" w:type="dxa"/>
            <w:tcBorders>
              <w:top w:val="single" w:sz="4" w:space="0" w:color="auto"/>
              <w:left w:val="single" w:sz="4" w:space="0" w:color="auto"/>
              <w:bottom w:val="single" w:sz="4" w:space="0" w:color="auto"/>
              <w:right w:val="single" w:sz="4" w:space="0" w:color="auto"/>
            </w:tcBorders>
            <w:vAlign w:val="center"/>
            <w:hideMark/>
          </w:tcPr>
          <w:p w14:paraId="451EC6BA"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9,192</w:t>
            </w:r>
          </w:p>
        </w:tc>
        <w:tc>
          <w:tcPr>
            <w:tcW w:w="654" w:type="dxa"/>
            <w:tcBorders>
              <w:top w:val="single" w:sz="4" w:space="0" w:color="auto"/>
              <w:left w:val="single" w:sz="4" w:space="0" w:color="auto"/>
              <w:bottom w:val="single" w:sz="4" w:space="0" w:color="auto"/>
              <w:right w:val="single" w:sz="4" w:space="0" w:color="auto"/>
            </w:tcBorders>
            <w:vAlign w:val="center"/>
            <w:hideMark/>
          </w:tcPr>
          <w:p w14:paraId="48BAA29D"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3,754</w:t>
            </w:r>
          </w:p>
        </w:tc>
        <w:tc>
          <w:tcPr>
            <w:tcW w:w="654" w:type="dxa"/>
            <w:tcBorders>
              <w:top w:val="single" w:sz="4" w:space="0" w:color="auto"/>
              <w:left w:val="single" w:sz="4" w:space="0" w:color="auto"/>
              <w:bottom w:val="single" w:sz="4" w:space="0" w:color="auto"/>
              <w:right w:val="single" w:sz="4" w:space="0" w:color="auto"/>
            </w:tcBorders>
            <w:vAlign w:val="center"/>
            <w:hideMark/>
          </w:tcPr>
          <w:p w14:paraId="3AFD4118"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2,428</w:t>
            </w:r>
          </w:p>
        </w:tc>
        <w:tc>
          <w:tcPr>
            <w:tcW w:w="654" w:type="dxa"/>
            <w:tcBorders>
              <w:top w:val="single" w:sz="4" w:space="0" w:color="auto"/>
              <w:left w:val="single" w:sz="4" w:space="0" w:color="auto"/>
              <w:bottom w:val="single" w:sz="4" w:space="0" w:color="auto"/>
              <w:right w:val="single" w:sz="4" w:space="0" w:color="auto"/>
            </w:tcBorders>
            <w:vAlign w:val="center"/>
            <w:hideMark/>
          </w:tcPr>
          <w:p w14:paraId="20B70A51"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1,649</w:t>
            </w:r>
          </w:p>
        </w:tc>
        <w:tc>
          <w:tcPr>
            <w:tcW w:w="626" w:type="dxa"/>
            <w:tcBorders>
              <w:top w:val="single" w:sz="4" w:space="0" w:color="auto"/>
              <w:left w:val="single" w:sz="4" w:space="0" w:color="auto"/>
              <w:bottom w:val="single" w:sz="4" w:space="0" w:color="auto"/>
              <w:right w:val="single" w:sz="4" w:space="0" w:color="auto"/>
            </w:tcBorders>
            <w:vAlign w:val="center"/>
            <w:hideMark/>
          </w:tcPr>
          <w:p w14:paraId="29137BAD"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3,536</w:t>
            </w:r>
          </w:p>
        </w:tc>
        <w:tc>
          <w:tcPr>
            <w:tcW w:w="690" w:type="dxa"/>
            <w:tcBorders>
              <w:top w:val="single" w:sz="4" w:space="0" w:color="auto"/>
              <w:left w:val="single" w:sz="4" w:space="0" w:color="auto"/>
              <w:bottom w:val="single" w:sz="4" w:space="0" w:color="auto"/>
              <w:right w:val="single" w:sz="4" w:space="0" w:color="auto"/>
            </w:tcBorders>
            <w:vAlign w:val="center"/>
            <w:hideMark/>
          </w:tcPr>
          <w:p w14:paraId="6B7C62CD"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2,075</w:t>
            </w:r>
          </w:p>
        </w:tc>
        <w:tc>
          <w:tcPr>
            <w:tcW w:w="804" w:type="dxa"/>
            <w:tcBorders>
              <w:top w:val="single" w:sz="4" w:space="0" w:color="auto"/>
              <w:left w:val="single" w:sz="4" w:space="0" w:color="auto"/>
              <w:bottom w:val="single" w:sz="4" w:space="0" w:color="auto"/>
              <w:right w:val="single" w:sz="4" w:space="0" w:color="auto"/>
            </w:tcBorders>
            <w:vAlign w:val="center"/>
            <w:hideMark/>
          </w:tcPr>
          <w:p w14:paraId="1DE75334"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1,508</w:t>
            </w:r>
          </w:p>
        </w:tc>
        <w:tc>
          <w:tcPr>
            <w:tcW w:w="590" w:type="dxa"/>
            <w:tcBorders>
              <w:top w:val="single" w:sz="4" w:space="0" w:color="auto"/>
              <w:left w:val="single" w:sz="4" w:space="0" w:color="auto"/>
              <w:bottom w:val="single" w:sz="4" w:space="0" w:color="auto"/>
              <w:right w:val="single" w:sz="4" w:space="0" w:color="auto"/>
            </w:tcBorders>
            <w:vAlign w:val="center"/>
            <w:hideMark/>
          </w:tcPr>
          <w:p w14:paraId="4E6FA7C3"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1,392</w:t>
            </w:r>
          </w:p>
        </w:tc>
        <w:tc>
          <w:tcPr>
            <w:tcW w:w="590" w:type="dxa"/>
            <w:tcBorders>
              <w:top w:val="single" w:sz="4" w:space="0" w:color="auto"/>
              <w:left w:val="single" w:sz="4" w:space="0" w:color="auto"/>
              <w:bottom w:val="single" w:sz="4" w:space="0" w:color="auto"/>
              <w:right w:val="single" w:sz="4" w:space="0" w:color="auto"/>
            </w:tcBorders>
            <w:vAlign w:val="center"/>
            <w:hideMark/>
          </w:tcPr>
          <w:p w14:paraId="2C83D4AF"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1,67</w:t>
            </w:r>
          </w:p>
        </w:tc>
        <w:tc>
          <w:tcPr>
            <w:tcW w:w="590" w:type="dxa"/>
            <w:tcBorders>
              <w:top w:val="single" w:sz="4" w:space="0" w:color="auto"/>
              <w:left w:val="single" w:sz="4" w:space="0" w:color="auto"/>
              <w:bottom w:val="single" w:sz="4" w:space="0" w:color="auto"/>
              <w:right w:val="single" w:sz="4" w:space="0" w:color="auto"/>
            </w:tcBorders>
            <w:vAlign w:val="center"/>
            <w:hideMark/>
          </w:tcPr>
          <w:p w14:paraId="5883062E" w14:textId="77777777" w:rsidR="0034322D" w:rsidRDefault="0034322D" w:rsidP="00931169">
            <w:pPr>
              <w:rPr>
                <w:rFonts w:eastAsia="Arial Unicode MS" w:cstheme="minorHAnsi"/>
                <w:sz w:val="18"/>
                <w:szCs w:val="18"/>
                <w:lang w:eastAsia="sk-SK"/>
              </w:rPr>
            </w:pPr>
            <w:r>
              <w:rPr>
                <w:rFonts w:eastAsia="Arial Unicode MS" w:cstheme="minorHAnsi"/>
                <w:sz w:val="18"/>
                <w:szCs w:val="18"/>
                <w:lang w:eastAsia="sk-SK"/>
              </w:rPr>
              <w:t>3,546</w:t>
            </w:r>
          </w:p>
        </w:tc>
      </w:tr>
    </w:tbl>
    <w:p w14:paraId="13DE0E40" w14:textId="060102A9" w:rsidR="0034322D" w:rsidRDefault="00DC2DF4" w:rsidP="00931169">
      <w:pPr>
        <w:autoSpaceDE w:val="0"/>
        <w:autoSpaceDN w:val="0"/>
        <w:adjustRightInd w:val="0"/>
        <w:spacing w:after="120" w:line="268" w:lineRule="auto"/>
        <w:rPr>
          <w:rFonts w:eastAsia="Arial Unicode MS" w:cstheme="minorHAnsi"/>
          <w:sz w:val="22"/>
          <w:lang w:eastAsia="sk-SK"/>
        </w:rPr>
      </w:pPr>
      <w:hyperlink r:id="rId22" w:history="1">
        <w:r w:rsidR="0034322D">
          <w:rPr>
            <w:rStyle w:val="Hypertextovprepojenie"/>
            <w:rFonts w:eastAsia="Arial Unicode MS" w:cstheme="minorHAnsi"/>
            <w:lang w:eastAsia="sk-SK"/>
          </w:rPr>
          <w:t>http://atlas.sazp.sk/cmsvoda/povrch_kvant/index.php</w:t>
        </w:r>
      </w:hyperlink>
    </w:p>
    <w:p w14:paraId="48D57209" w14:textId="77777777" w:rsidR="0034322D" w:rsidRDefault="0034322D" w:rsidP="00931169">
      <w:pPr>
        <w:autoSpaceDE w:val="0"/>
        <w:autoSpaceDN w:val="0"/>
        <w:adjustRightInd w:val="0"/>
        <w:spacing w:after="120" w:line="268" w:lineRule="auto"/>
        <w:ind w:firstLine="709"/>
        <w:rPr>
          <w:rFonts w:eastAsia="Times New Roman" w:cstheme="minorHAnsi"/>
          <w:lang w:eastAsia="sk-SK"/>
        </w:rPr>
      </w:pPr>
      <w:r>
        <w:rPr>
          <w:rFonts w:eastAsia="Times New Roman" w:cstheme="minorHAnsi"/>
          <w:lang w:eastAsia="sk-SK"/>
        </w:rPr>
        <w:t>Maximálne kulminačné prietoky sa vyskytovali prevažne v marci, výnimočne v júli a v decembri. V staniciach Jelešna - Trstená-Chyžné a Oravica - Trstená bol zaznamenaný 20 až 50-ročný prietok, na Čiernom Váhu, Studenom potoku a Bitarovskom potoku sa vyskytol kulminačný prietok 10 až 20-ročnej významnosti, v ostatných staniciach dosiahli kulminácie významnosť 2 - 5 ročných prietokov alebo menej.</w:t>
      </w:r>
    </w:p>
    <w:p w14:paraId="3F84935E" w14:textId="77777777" w:rsidR="0034322D" w:rsidRDefault="0034322D" w:rsidP="00931169">
      <w:pPr>
        <w:autoSpaceDE w:val="0"/>
        <w:autoSpaceDN w:val="0"/>
        <w:adjustRightInd w:val="0"/>
        <w:spacing w:after="120" w:line="268" w:lineRule="auto"/>
        <w:ind w:firstLine="709"/>
        <w:rPr>
          <w:rFonts w:eastAsia="Times New Roman" w:cstheme="minorHAnsi"/>
          <w:lang w:eastAsia="sk-SK"/>
        </w:rPr>
      </w:pPr>
      <w:r>
        <w:rPr>
          <w:rFonts w:eastAsia="Times New Roman" w:cstheme="minorHAnsi"/>
          <w:lang w:eastAsia="sk-SK"/>
        </w:rPr>
        <w:t>Minimálne priemerné denné prietoky sa vyskytovali v rôznych mesiacoch a pohybovali sa v rozpätí Q</w:t>
      </w:r>
      <w:r>
        <w:rPr>
          <w:rFonts w:eastAsia="Times New Roman" w:cstheme="minorHAnsi"/>
          <w:vertAlign w:val="subscript"/>
          <w:lang w:eastAsia="sk-SK"/>
        </w:rPr>
        <w:t>90d</w:t>
      </w:r>
      <w:r>
        <w:rPr>
          <w:rFonts w:eastAsia="Times New Roman" w:cstheme="minorHAnsi"/>
          <w:lang w:eastAsia="sk-SK"/>
        </w:rPr>
        <w:t xml:space="preserve"> až Q</w:t>
      </w:r>
      <w:r>
        <w:rPr>
          <w:rFonts w:eastAsia="Times New Roman" w:cstheme="minorHAnsi"/>
          <w:vertAlign w:val="subscript"/>
          <w:lang w:eastAsia="sk-SK"/>
        </w:rPr>
        <w:t>364d</w:t>
      </w:r>
      <w:r>
        <w:rPr>
          <w:rFonts w:eastAsia="Times New Roman" w:cstheme="minorHAnsi"/>
          <w:lang w:eastAsia="sk-SK"/>
        </w:rPr>
        <w:t>. Minimálny prietok menší ako Q</w:t>
      </w:r>
      <w:r>
        <w:rPr>
          <w:rFonts w:eastAsia="Times New Roman" w:cstheme="minorHAnsi"/>
          <w:vertAlign w:val="subscript"/>
          <w:lang w:eastAsia="sk-SK"/>
        </w:rPr>
        <w:t>364d</w:t>
      </w:r>
      <w:r>
        <w:rPr>
          <w:rFonts w:eastAsia="Times New Roman" w:cstheme="minorHAnsi"/>
          <w:lang w:eastAsia="sk-SK"/>
        </w:rPr>
        <w:t xml:space="preserve"> sa vyskytol na Váhu vo vodomernej stanici Hlohovec, ktorá monitoruje ovplyvnený hydrologický režim.</w:t>
      </w:r>
    </w:p>
    <w:p w14:paraId="5C165DA8" w14:textId="77777777" w:rsidR="0034322D" w:rsidRDefault="0034322D" w:rsidP="00931169">
      <w:pPr>
        <w:autoSpaceDE w:val="0"/>
        <w:autoSpaceDN w:val="0"/>
        <w:adjustRightInd w:val="0"/>
        <w:spacing w:after="120" w:line="268" w:lineRule="auto"/>
        <w:ind w:firstLine="708"/>
        <w:rPr>
          <w:rFonts w:eastAsia="Arial Unicode MS" w:cstheme="minorHAnsi"/>
          <w:lang w:eastAsia="sk-SK"/>
        </w:rPr>
      </w:pPr>
      <w:r>
        <w:rPr>
          <w:rFonts w:eastAsia="Times New Roman" w:cstheme="minorHAnsi"/>
          <w:lang w:eastAsia="sk-SK"/>
        </w:rPr>
        <w:t>Najväčšia hodnota relatívnych priemerných ročných prietokov z prítokov Váhu bola dosiahnutá vo vodomernej stanici Jamníček - Podtureň (136 % Q</w:t>
      </w:r>
      <w:r>
        <w:rPr>
          <w:rFonts w:eastAsia="Times New Roman" w:cstheme="minorHAnsi"/>
          <w:vertAlign w:val="subscript"/>
          <w:lang w:eastAsia="sk-SK"/>
        </w:rPr>
        <w:t>a</w:t>
      </w:r>
      <w:r>
        <w:rPr>
          <w:rFonts w:eastAsia="Times New Roman" w:cstheme="minorHAnsi"/>
          <w:lang w:eastAsia="sk-SK"/>
        </w:rPr>
        <w:t>).</w:t>
      </w:r>
    </w:p>
    <w:p w14:paraId="6113CE12" w14:textId="18E6743C" w:rsidR="0034322D" w:rsidRDefault="0034322D" w:rsidP="00931169">
      <w:pPr>
        <w:keepNext/>
        <w:widowControl w:val="0"/>
        <w:spacing w:before="120" w:after="120"/>
        <w:ind w:right="-81"/>
        <w:rPr>
          <w:rFonts w:eastAsia="Times New Roman" w:cstheme="minorHAnsi"/>
          <w:b/>
          <w:bCs/>
          <w:lang w:val="cs-CZ" w:eastAsia="cs-CZ"/>
        </w:rPr>
      </w:pPr>
      <w:r>
        <w:rPr>
          <w:rFonts w:eastAsia="Times New Roman" w:cstheme="minorHAnsi"/>
          <w:b/>
          <w:lang w:eastAsia="cs-CZ"/>
        </w:rPr>
        <w:t>Tab.</w:t>
      </w:r>
      <w:r w:rsidR="005940CA">
        <w:rPr>
          <w:rFonts w:eastAsia="Times New Roman" w:cstheme="minorHAnsi"/>
          <w:b/>
          <w:lang w:eastAsia="cs-CZ"/>
        </w:rPr>
        <w:t xml:space="preserve"> 14</w:t>
      </w:r>
      <w:r>
        <w:rPr>
          <w:rFonts w:eastAsia="Times New Roman" w:cstheme="minorHAnsi"/>
          <w:b/>
          <w:lang w:eastAsia="cs-CZ"/>
        </w:rPr>
        <w:t xml:space="preserve"> Priemerné mesačné prietoky vo vodomerných staniciach SHMÚ za rok 2008 (m</w:t>
      </w:r>
      <w:r>
        <w:rPr>
          <w:rFonts w:eastAsia="Times New Roman" w:cstheme="minorHAnsi"/>
          <w:b/>
          <w:vertAlign w:val="superscript"/>
          <w:lang w:eastAsia="cs-CZ"/>
        </w:rPr>
        <w:t>3</w:t>
      </w:r>
      <w:r>
        <w:rPr>
          <w:rFonts w:eastAsia="Times New Roman" w:cstheme="minorHAnsi"/>
          <w:b/>
          <w:lang w:eastAsia="cs-CZ"/>
        </w:rPr>
        <w:t>.s</w:t>
      </w:r>
      <w:r>
        <w:rPr>
          <w:rFonts w:eastAsia="Times New Roman" w:cstheme="minorHAnsi"/>
          <w:b/>
          <w:vertAlign w:val="superscript"/>
          <w:lang w:eastAsia="cs-CZ"/>
        </w:rPr>
        <w:t>-1</w:t>
      </w:r>
      <w:r>
        <w:rPr>
          <w:rFonts w:eastAsia="Times New Roman" w:cstheme="minorHAnsi"/>
          <w:b/>
          <w:lang w:eastAsia="cs-CZ"/>
        </w:rPr>
        <w:t xml:space="preserve"> )</w:t>
      </w:r>
    </w:p>
    <w:p w14:paraId="4FD572C9" w14:textId="77777777" w:rsidR="0034322D" w:rsidRDefault="0034322D" w:rsidP="00931169">
      <w:pPr>
        <w:keepNext/>
        <w:shd w:val="clear" w:color="auto" w:fill="FFFFFF"/>
        <w:rPr>
          <w:rFonts w:eastAsia="Times New Roman" w:cstheme="minorHAnsi"/>
          <w:b/>
          <w:vanish/>
          <w:lang w:eastAsia="sk-SK"/>
        </w:rPr>
      </w:pPr>
    </w:p>
    <w:tbl>
      <w:tblPr>
        <w:tblW w:w="6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168"/>
        <w:gridCol w:w="1202"/>
        <w:gridCol w:w="839"/>
        <w:gridCol w:w="1129"/>
        <w:gridCol w:w="977"/>
      </w:tblGrid>
      <w:tr w:rsidR="0034322D" w14:paraId="0ABDD58C" w14:textId="77777777" w:rsidTr="0034322D">
        <w:tc>
          <w:tcPr>
            <w:tcW w:w="2169" w:type="dxa"/>
            <w:tcBorders>
              <w:top w:val="single" w:sz="4" w:space="0" w:color="auto"/>
              <w:left w:val="single" w:sz="4" w:space="0" w:color="auto"/>
              <w:bottom w:val="single" w:sz="4" w:space="0" w:color="auto"/>
              <w:right w:val="single" w:sz="4" w:space="0" w:color="auto"/>
            </w:tcBorders>
            <w:vAlign w:val="center"/>
            <w:hideMark/>
          </w:tcPr>
          <w:p w14:paraId="4AA17896" w14:textId="77777777" w:rsidR="0034322D" w:rsidRDefault="0034322D" w:rsidP="00931169">
            <w:pPr>
              <w:keepNext/>
              <w:rPr>
                <w:rFonts w:eastAsia="Times New Roman" w:cstheme="minorHAnsi"/>
                <w:b/>
                <w:bCs/>
                <w:lang w:eastAsia="sk-SK"/>
              </w:rPr>
            </w:pPr>
            <w:r>
              <w:rPr>
                <w:rFonts w:eastAsia="Times New Roman" w:cstheme="minorHAnsi"/>
                <w:b/>
                <w:bCs/>
                <w:lang w:eastAsia="sk-SK"/>
              </w:rPr>
              <w:t>Stanica</w:t>
            </w:r>
          </w:p>
        </w:tc>
        <w:tc>
          <w:tcPr>
            <w:tcW w:w="1202" w:type="dxa"/>
            <w:tcBorders>
              <w:top w:val="single" w:sz="4" w:space="0" w:color="auto"/>
              <w:left w:val="single" w:sz="4" w:space="0" w:color="auto"/>
              <w:bottom w:val="single" w:sz="4" w:space="0" w:color="auto"/>
              <w:right w:val="single" w:sz="4" w:space="0" w:color="auto"/>
            </w:tcBorders>
            <w:vAlign w:val="center"/>
            <w:hideMark/>
          </w:tcPr>
          <w:p w14:paraId="2F9BFE17" w14:textId="77777777" w:rsidR="0034322D" w:rsidRDefault="0034322D" w:rsidP="00931169">
            <w:pPr>
              <w:keepNext/>
              <w:rPr>
                <w:rFonts w:eastAsia="Arial Unicode MS" w:cstheme="minorHAnsi"/>
                <w:b/>
                <w:bCs/>
                <w:lang w:eastAsia="sk-SK"/>
              </w:rPr>
            </w:pPr>
            <w:r>
              <w:rPr>
                <w:rFonts w:eastAsia="Times New Roman" w:cstheme="minorHAnsi"/>
                <w:b/>
                <w:bCs/>
                <w:lang w:eastAsia="sk-SK"/>
              </w:rPr>
              <w:t>Tok</w:t>
            </w:r>
          </w:p>
        </w:tc>
        <w:tc>
          <w:tcPr>
            <w:tcW w:w="839" w:type="dxa"/>
            <w:tcBorders>
              <w:top w:val="single" w:sz="4" w:space="0" w:color="auto"/>
              <w:left w:val="single" w:sz="4" w:space="0" w:color="auto"/>
              <w:bottom w:val="single" w:sz="4" w:space="0" w:color="auto"/>
              <w:right w:val="single" w:sz="4" w:space="0" w:color="auto"/>
            </w:tcBorders>
            <w:vAlign w:val="center"/>
            <w:hideMark/>
          </w:tcPr>
          <w:p w14:paraId="0E6F8BE7" w14:textId="77777777" w:rsidR="0034322D" w:rsidRDefault="0034322D" w:rsidP="00931169">
            <w:pPr>
              <w:keepNext/>
              <w:spacing w:line="360" w:lineRule="auto"/>
              <w:rPr>
                <w:rFonts w:eastAsia="Times New Roman" w:cstheme="minorHAnsi"/>
                <w:b/>
                <w:bCs/>
                <w:lang w:eastAsia="sk-SK"/>
              </w:rPr>
            </w:pPr>
            <w:r>
              <w:rPr>
                <w:rFonts w:eastAsia="Times New Roman" w:cstheme="minorHAnsi"/>
                <w:lang w:eastAsia="sk-SK"/>
              </w:rPr>
              <w:t>Q</w:t>
            </w:r>
            <w:r>
              <w:rPr>
                <w:rFonts w:eastAsia="Times New Roman" w:cstheme="minorHAnsi"/>
                <w:vertAlign w:val="subscript"/>
                <w:lang w:eastAsia="sk-SK"/>
              </w:rPr>
              <w:t>r,</w:t>
            </w:r>
            <w:r>
              <w:rPr>
                <w:rFonts w:eastAsia="Times New Roman" w:cstheme="minorHAnsi"/>
                <w:b/>
                <w:bCs/>
                <w:vertAlign w:val="subscript"/>
                <w:lang w:eastAsia="sk-SK"/>
              </w:rPr>
              <w:t>2008</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856E4B2" w14:textId="77777777" w:rsidR="0034322D" w:rsidRDefault="0034322D" w:rsidP="00931169">
            <w:pPr>
              <w:keepNext/>
              <w:spacing w:line="360" w:lineRule="auto"/>
              <w:rPr>
                <w:rFonts w:eastAsia="Times New Roman" w:cstheme="minorHAnsi"/>
                <w:b/>
                <w:bCs/>
                <w:lang w:eastAsia="sk-SK"/>
              </w:rPr>
            </w:pPr>
            <w:r>
              <w:rPr>
                <w:rFonts w:eastAsia="Times New Roman" w:cstheme="minorHAnsi"/>
                <w:lang w:eastAsia="sk-SK"/>
              </w:rPr>
              <w:t>Q</w:t>
            </w:r>
            <w:r>
              <w:rPr>
                <w:rFonts w:eastAsia="Times New Roman" w:cstheme="minorHAnsi"/>
                <w:vertAlign w:val="subscript"/>
                <w:lang w:eastAsia="sk-SK"/>
              </w:rPr>
              <w:t>max,hod,2008</w:t>
            </w:r>
          </w:p>
        </w:tc>
        <w:tc>
          <w:tcPr>
            <w:tcW w:w="977" w:type="dxa"/>
            <w:tcBorders>
              <w:top w:val="single" w:sz="4" w:space="0" w:color="auto"/>
              <w:left w:val="single" w:sz="4" w:space="0" w:color="auto"/>
              <w:bottom w:val="single" w:sz="4" w:space="0" w:color="auto"/>
              <w:right w:val="single" w:sz="4" w:space="0" w:color="auto"/>
            </w:tcBorders>
            <w:vAlign w:val="center"/>
            <w:hideMark/>
          </w:tcPr>
          <w:p w14:paraId="68908150" w14:textId="77777777" w:rsidR="0034322D" w:rsidRDefault="0034322D" w:rsidP="00931169">
            <w:pPr>
              <w:keepNext/>
              <w:spacing w:line="360" w:lineRule="auto"/>
              <w:rPr>
                <w:rFonts w:eastAsia="Times New Roman" w:cstheme="minorHAnsi"/>
                <w:b/>
                <w:bCs/>
                <w:lang w:eastAsia="sk-SK"/>
              </w:rPr>
            </w:pPr>
            <w:r>
              <w:rPr>
                <w:rFonts w:eastAsia="Times New Roman" w:cstheme="minorHAnsi"/>
                <w:lang w:eastAsia="sk-SK"/>
              </w:rPr>
              <w:t>Q</w:t>
            </w:r>
            <w:r>
              <w:rPr>
                <w:rFonts w:eastAsia="Times New Roman" w:cstheme="minorHAnsi"/>
                <w:vertAlign w:val="subscript"/>
                <w:lang w:eastAsia="sk-SK"/>
              </w:rPr>
              <w:t>min,d,2008</w:t>
            </w:r>
          </w:p>
        </w:tc>
      </w:tr>
      <w:tr w:rsidR="0034322D" w14:paraId="3333B90C" w14:textId="77777777" w:rsidTr="0034322D">
        <w:tc>
          <w:tcPr>
            <w:tcW w:w="2169" w:type="dxa"/>
            <w:tcBorders>
              <w:top w:val="single" w:sz="4" w:space="0" w:color="auto"/>
              <w:left w:val="single" w:sz="4" w:space="0" w:color="auto"/>
              <w:bottom w:val="single" w:sz="4" w:space="0" w:color="auto"/>
              <w:right w:val="single" w:sz="4" w:space="0" w:color="auto"/>
            </w:tcBorders>
            <w:vAlign w:val="center"/>
            <w:hideMark/>
          </w:tcPr>
          <w:p w14:paraId="2FB61C86" w14:textId="77777777" w:rsidR="0034322D" w:rsidRDefault="0034322D" w:rsidP="00931169">
            <w:pPr>
              <w:keepNext/>
              <w:rPr>
                <w:rFonts w:eastAsia="Arial Unicode MS" w:cstheme="minorHAnsi"/>
                <w:b/>
                <w:bCs/>
                <w:lang w:eastAsia="sk-SK"/>
              </w:rPr>
            </w:pPr>
            <w:r>
              <w:rPr>
                <w:rFonts w:eastAsia="Times New Roman" w:cstheme="minorHAnsi"/>
                <w:b/>
                <w:bCs/>
                <w:lang w:eastAsia="sk-SK"/>
              </w:rPr>
              <w:t>Turzovka </w:t>
            </w:r>
          </w:p>
        </w:tc>
        <w:tc>
          <w:tcPr>
            <w:tcW w:w="1202" w:type="dxa"/>
            <w:tcBorders>
              <w:top w:val="single" w:sz="4" w:space="0" w:color="auto"/>
              <w:left w:val="single" w:sz="4" w:space="0" w:color="auto"/>
              <w:bottom w:val="single" w:sz="4" w:space="0" w:color="auto"/>
              <w:right w:val="single" w:sz="4" w:space="0" w:color="auto"/>
            </w:tcBorders>
            <w:vAlign w:val="center"/>
            <w:hideMark/>
          </w:tcPr>
          <w:p w14:paraId="78711126" w14:textId="77777777" w:rsidR="0034322D" w:rsidRDefault="0034322D" w:rsidP="00931169">
            <w:pPr>
              <w:keepNext/>
              <w:rPr>
                <w:rFonts w:eastAsia="Arial Unicode MS" w:cstheme="minorHAnsi"/>
                <w:b/>
                <w:bCs/>
                <w:lang w:eastAsia="sk-SK"/>
              </w:rPr>
            </w:pPr>
            <w:r>
              <w:rPr>
                <w:rFonts w:eastAsia="Times New Roman" w:cstheme="minorHAnsi"/>
                <w:b/>
                <w:bCs/>
                <w:lang w:eastAsia="sk-SK"/>
              </w:rPr>
              <w:t>Kysuca </w:t>
            </w:r>
          </w:p>
        </w:tc>
        <w:tc>
          <w:tcPr>
            <w:tcW w:w="839" w:type="dxa"/>
            <w:tcBorders>
              <w:top w:val="single" w:sz="4" w:space="0" w:color="auto"/>
              <w:left w:val="single" w:sz="4" w:space="0" w:color="auto"/>
              <w:bottom w:val="single" w:sz="4" w:space="0" w:color="auto"/>
              <w:right w:val="single" w:sz="4" w:space="0" w:color="auto"/>
            </w:tcBorders>
            <w:vAlign w:val="center"/>
            <w:hideMark/>
          </w:tcPr>
          <w:p w14:paraId="24ABE228" w14:textId="77777777" w:rsidR="0034322D" w:rsidRDefault="0034322D" w:rsidP="00931169">
            <w:pPr>
              <w:keepNext/>
              <w:rPr>
                <w:rFonts w:eastAsia="Arial Unicode MS" w:cstheme="minorHAnsi"/>
                <w:lang w:eastAsia="sk-SK"/>
              </w:rPr>
            </w:pPr>
            <w:r>
              <w:rPr>
                <w:rFonts w:eastAsia="Arial Unicode MS" w:cstheme="minorHAnsi"/>
                <w:lang w:eastAsia="sk-SK"/>
              </w:rPr>
              <w:t>2,126</w:t>
            </w:r>
          </w:p>
        </w:tc>
        <w:tc>
          <w:tcPr>
            <w:tcW w:w="1129" w:type="dxa"/>
            <w:tcBorders>
              <w:top w:val="single" w:sz="4" w:space="0" w:color="auto"/>
              <w:left w:val="single" w:sz="4" w:space="0" w:color="auto"/>
              <w:bottom w:val="single" w:sz="4" w:space="0" w:color="auto"/>
              <w:right w:val="single" w:sz="4" w:space="0" w:color="auto"/>
            </w:tcBorders>
            <w:vAlign w:val="center"/>
            <w:hideMark/>
          </w:tcPr>
          <w:p w14:paraId="710FDC0A" w14:textId="77777777" w:rsidR="0034322D" w:rsidRDefault="0034322D" w:rsidP="00931169">
            <w:pPr>
              <w:keepNext/>
              <w:rPr>
                <w:rFonts w:eastAsia="Arial Unicode MS" w:cstheme="minorHAnsi"/>
                <w:lang w:eastAsia="sk-SK"/>
              </w:rPr>
            </w:pPr>
            <w:r>
              <w:rPr>
                <w:rFonts w:eastAsia="Arial Unicode MS" w:cstheme="minorHAnsi"/>
                <w:lang w:eastAsia="sk-SK"/>
              </w:rPr>
              <w:t>73,47</w:t>
            </w:r>
          </w:p>
        </w:tc>
        <w:tc>
          <w:tcPr>
            <w:tcW w:w="977" w:type="dxa"/>
            <w:tcBorders>
              <w:top w:val="single" w:sz="4" w:space="0" w:color="auto"/>
              <w:left w:val="single" w:sz="4" w:space="0" w:color="auto"/>
              <w:bottom w:val="single" w:sz="4" w:space="0" w:color="auto"/>
              <w:right w:val="single" w:sz="4" w:space="0" w:color="auto"/>
            </w:tcBorders>
            <w:vAlign w:val="center"/>
            <w:hideMark/>
          </w:tcPr>
          <w:p w14:paraId="08795EBA" w14:textId="77777777" w:rsidR="0034322D" w:rsidRDefault="0034322D" w:rsidP="00931169">
            <w:pPr>
              <w:keepNext/>
              <w:rPr>
                <w:rFonts w:eastAsia="Arial Unicode MS" w:cstheme="minorHAnsi"/>
                <w:lang w:eastAsia="sk-SK"/>
              </w:rPr>
            </w:pPr>
            <w:r>
              <w:rPr>
                <w:rFonts w:eastAsia="Arial Unicode MS" w:cstheme="minorHAnsi"/>
                <w:lang w:eastAsia="sk-SK"/>
              </w:rPr>
              <w:t>0,382</w:t>
            </w:r>
          </w:p>
        </w:tc>
      </w:tr>
      <w:tr w:rsidR="0034322D" w14:paraId="6575DA6A" w14:textId="77777777" w:rsidTr="0034322D">
        <w:tc>
          <w:tcPr>
            <w:tcW w:w="2169" w:type="dxa"/>
            <w:tcBorders>
              <w:top w:val="single" w:sz="4" w:space="0" w:color="auto"/>
              <w:left w:val="single" w:sz="4" w:space="0" w:color="auto"/>
              <w:bottom w:val="single" w:sz="4" w:space="0" w:color="auto"/>
              <w:right w:val="single" w:sz="4" w:space="0" w:color="auto"/>
            </w:tcBorders>
            <w:vAlign w:val="center"/>
            <w:hideMark/>
          </w:tcPr>
          <w:p w14:paraId="624ED308" w14:textId="77777777" w:rsidR="0034322D" w:rsidRDefault="0034322D" w:rsidP="00931169">
            <w:pPr>
              <w:keepNext/>
              <w:rPr>
                <w:rFonts w:eastAsia="Arial Unicode MS" w:cstheme="minorHAnsi"/>
                <w:b/>
                <w:bCs/>
                <w:lang w:eastAsia="sk-SK"/>
              </w:rPr>
            </w:pPr>
            <w:r>
              <w:rPr>
                <w:rFonts w:eastAsia="Times New Roman" w:cstheme="minorHAnsi"/>
                <w:b/>
                <w:bCs/>
                <w:lang w:eastAsia="sk-SK"/>
              </w:rPr>
              <w:t>Čadca</w:t>
            </w:r>
          </w:p>
        </w:tc>
        <w:tc>
          <w:tcPr>
            <w:tcW w:w="1202" w:type="dxa"/>
            <w:tcBorders>
              <w:top w:val="single" w:sz="4" w:space="0" w:color="auto"/>
              <w:left w:val="single" w:sz="4" w:space="0" w:color="auto"/>
              <w:bottom w:val="single" w:sz="4" w:space="0" w:color="auto"/>
              <w:right w:val="single" w:sz="4" w:space="0" w:color="auto"/>
            </w:tcBorders>
            <w:vAlign w:val="center"/>
            <w:hideMark/>
          </w:tcPr>
          <w:p w14:paraId="0502B34D" w14:textId="77777777" w:rsidR="0034322D" w:rsidRDefault="0034322D" w:rsidP="00931169">
            <w:pPr>
              <w:keepNext/>
              <w:rPr>
                <w:rFonts w:eastAsia="Arial Unicode MS" w:cstheme="minorHAnsi"/>
                <w:b/>
                <w:bCs/>
                <w:lang w:eastAsia="sk-SK"/>
              </w:rPr>
            </w:pPr>
            <w:r>
              <w:rPr>
                <w:rFonts w:eastAsia="Times New Roman" w:cstheme="minorHAnsi"/>
                <w:b/>
                <w:bCs/>
                <w:lang w:eastAsia="sk-SK"/>
              </w:rPr>
              <w:t>Čierňanka </w:t>
            </w:r>
          </w:p>
        </w:tc>
        <w:tc>
          <w:tcPr>
            <w:tcW w:w="839" w:type="dxa"/>
            <w:tcBorders>
              <w:top w:val="single" w:sz="4" w:space="0" w:color="auto"/>
              <w:left w:val="single" w:sz="4" w:space="0" w:color="auto"/>
              <w:bottom w:val="single" w:sz="4" w:space="0" w:color="auto"/>
              <w:right w:val="single" w:sz="4" w:space="0" w:color="auto"/>
            </w:tcBorders>
            <w:vAlign w:val="center"/>
            <w:hideMark/>
          </w:tcPr>
          <w:p w14:paraId="53A538D5" w14:textId="77777777" w:rsidR="0034322D" w:rsidRDefault="0034322D" w:rsidP="00931169">
            <w:pPr>
              <w:keepNext/>
              <w:rPr>
                <w:rFonts w:eastAsia="Arial Unicode MS" w:cstheme="minorHAnsi"/>
                <w:lang w:eastAsia="sk-SK"/>
              </w:rPr>
            </w:pPr>
            <w:r>
              <w:rPr>
                <w:rFonts w:eastAsia="Arial Unicode MS" w:cstheme="minorHAnsi"/>
                <w:lang w:eastAsia="sk-SK"/>
              </w:rPr>
              <w:t>1,774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04823580" w14:textId="77777777" w:rsidR="0034322D" w:rsidRDefault="0034322D" w:rsidP="00931169">
            <w:pPr>
              <w:keepNext/>
              <w:rPr>
                <w:rFonts w:eastAsia="Arial Unicode MS" w:cstheme="minorHAnsi"/>
                <w:lang w:eastAsia="sk-SK"/>
              </w:rPr>
            </w:pPr>
            <w:r>
              <w:rPr>
                <w:rFonts w:eastAsia="Arial Unicode MS" w:cstheme="minorHAnsi"/>
                <w:lang w:eastAsia="sk-SK"/>
              </w:rPr>
              <w:t>37,92</w:t>
            </w:r>
          </w:p>
        </w:tc>
        <w:tc>
          <w:tcPr>
            <w:tcW w:w="977" w:type="dxa"/>
            <w:tcBorders>
              <w:top w:val="single" w:sz="4" w:space="0" w:color="auto"/>
              <w:left w:val="single" w:sz="4" w:space="0" w:color="auto"/>
              <w:bottom w:val="single" w:sz="4" w:space="0" w:color="auto"/>
              <w:right w:val="single" w:sz="4" w:space="0" w:color="auto"/>
            </w:tcBorders>
            <w:vAlign w:val="center"/>
            <w:hideMark/>
          </w:tcPr>
          <w:p w14:paraId="124B151E" w14:textId="77777777" w:rsidR="0034322D" w:rsidRDefault="0034322D" w:rsidP="00931169">
            <w:pPr>
              <w:keepNext/>
              <w:rPr>
                <w:rFonts w:eastAsia="Arial Unicode MS" w:cstheme="minorHAnsi"/>
                <w:lang w:eastAsia="sk-SK"/>
              </w:rPr>
            </w:pPr>
            <w:r>
              <w:rPr>
                <w:rFonts w:eastAsia="Arial Unicode MS" w:cstheme="minorHAnsi"/>
                <w:lang w:eastAsia="sk-SK"/>
              </w:rPr>
              <w:t>0,107</w:t>
            </w:r>
          </w:p>
        </w:tc>
      </w:tr>
      <w:tr w:rsidR="0034322D" w14:paraId="55DD8B57" w14:textId="77777777" w:rsidTr="0034322D">
        <w:tc>
          <w:tcPr>
            <w:tcW w:w="2169" w:type="dxa"/>
            <w:tcBorders>
              <w:top w:val="single" w:sz="4" w:space="0" w:color="auto"/>
              <w:left w:val="single" w:sz="4" w:space="0" w:color="auto"/>
              <w:bottom w:val="single" w:sz="4" w:space="0" w:color="auto"/>
              <w:right w:val="single" w:sz="4" w:space="0" w:color="auto"/>
            </w:tcBorders>
            <w:vAlign w:val="center"/>
            <w:hideMark/>
          </w:tcPr>
          <w:p w14:paraId="75490F63" w14:textId="77777777" w:rsidR="0034322D" w:rsidRDefault="0034322D" w:rsidP="00931169">
            <w:pPr>
              <w:keepNext/>
              <w:rPr>
                <w:rFonts w:eastAsia="Arial Unicode MS" w:cstheme="minorHAnsi"/>
                <w:b/>
                <w:bCs/>
                <w:lang w:eastAsia="sk-SK"/>
              </w:rPr>
            </w:pPr>
            <w:r>
              <w:rPr>
                <w:rFonts w:eastAsia="Times New Roman" w:cstheme="minorHAnsi"/>
                <w:b/>
                <w:bCs/>
                <w:lang w:eastAsia="sk-SK"/>
              </w:rPr>
              <w:t>Čadca</w:t>
            </w:r>
          </w:p>
        </w:tc>
        <w:tc>
          <w:tcPr>
            <w:tcW w:w="1202" w:type="dxa"/>
            <w:tcBorders>
              <w:top w:val="single" w:sz="4" w:space="0" w:color="auto"/>
              <w:left w:val="single" w:sz="4" w:space="0" w:color="auto"/>
              <w:bottom w:val="single" w:sz="4" w:space="0" w:color="auto"/>
              <w:right w:val="single" w:sz="4" w:space="0" w:color="auto"/>
            </w:tcBorders>
            <w:vAlign w:val="center"/>
            <w:hideMark/>
          </w:tcPr>
          <w:p w14:paraId="0EE044F9" w14:textId="77777777" w:rsidR="0034322D" w:rsidRDefault="0034322D" w:rsidP="00931169">
            <w:pPr>
              <w:keepNext/>
              <w:rPr>
                <w:rFonts w:eastAsia="Arial Unicode MS" w:cstheme="minorHAnsi"/>
                <w:b/>
                <w:bCs/>
                <w:lang w:eastAsia="sk-SK"/>
              </w:rPr>
            </w:pPr>
            <w:r>
              <w:rPr>
                <w:rFonts w:eastAsia="Times New Roman" w:cstheme="minorHAnsi"/>
                <w:b/>
                <w:bCs/>
                <w:lang w:eastAsia="sk-SK"/>
              </w:rPr>
              <w:t>Kysuca</w:t>
            </w:r>
          </w:p>
        </w:tc>
        <w:tc>
          <w:tcPr>
            <w:tcW w:w="839" w:type="dxa"/>
            <w:tcBorders>
              <w:top w:val="single" w:sz="4" w:space="0" w:color="auto"/>
              <w:left w:val="single" w:sz="4" w:space="0" w:color="auto"/>
              <w:bottom w:val="single" w:sz="4" w:space="0" w:color="auto"/>
              <w:right w:val="single" w:sz="4" w:space="0" w:color="auto"/>
            </w:tcBorders>
            <w:vAlign w:val="center"/>
            <w:hideMark/>
          </w:tcPr>
          <w:p w14:paraId="4CC2CF9C" w14:textId="77777777" w:rsidR="0034322D" w:rsidRDefault="0034322D" w:rsidP="00931169">
            <w:pPr>
              <w:keepNext/>
              <w:rPr>
                <w:rFonts w:eastAsia="Arial Unicode MS" w:cstheme="minorHAnsi"/>
                <w:lang w:eastAsia="sk-SK"/>
              </w:rPr>
            </w:pPr>
            <w:r>
              <w:rPr>
                <w:rFonts w:eastAsia="Arial Unicode MS" w:cstheme="minorHAnsi"/>
                <w:lang w:eastAsia="sk-SK"/>
              </w:rPr>
              <w:t>5,434</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8A374A0" w14:textId="77777777" w:rsidR="0034322D" w:rsidRDefault="0034322D" w:rsidP="00931169">
            <w:pPr>
              <w:keepNext/>
              <w:rPr>
                <w:rFonts w:eastAsia="Arial Unicode MS" w:cstheme="minorHAnsi"/>
                <w:lang w:eastAsia="sk-SK"/>
              </w:rPr>
            </w:pPr>
            <w:r>
              <w:rPr>
                <w:rFonts w:eastAsia="Arial Unicode MS" w:cstheme="minorHAnsi"/>
                <w:lang w:eastAsia="sk-SK"/>
              </w:rPr>
              <w:t>107,9</w:t>
            </w:r>
          </w:p>
        </w:tc>
        <w:tc>
          <w:tcPr>
            <w:tcW w:w="977" w:type="dxa"/>
            <w:tcBorders>
              <w:top w:val="single" w:sz="4" w:space="0" w:color="auto"/>
              <w:left w:val="single" w:sz="4" w:space="0" w:color="auto"/>
              <w:bottom w:val="single" w:sz="4" w:space="0" w:color="auto"/>
              <w:right w:val="single" w:sz="4" w:space="0" w:color="auto"/>
            </w:tcBorders>
            <w:vAlign w:val="center"/>
            <w:hideMark/>
          </w:tcPr>
          <w:p w14:paraId="61BE1FF9" w14:textId="77777777" w:rsidR="0034322D" w:rsidRDefault="0034322D" w:rsidP="00931169">
            <w:pPr>
              <w:keepNext/>
              <w:rPr>
                <w:rFonts w:eastAsia="Arial Unicode MS" w:cstheme="minorHAnsi"/>
                <w:lang w:eastAsia="sk-SK"/>
              </w:rPr>
            </w:pPr>
            <w:r>
              <w:rPr>
                <w:rFonts w:eastAsia="Arial Unicode MS" w:cstheme="minorHAnsi"/>
                <w:lang w:eastAsia="sk-SK"/>
              </w:rPr>
              <w:t>0,558</w:t>
            </w:r>
          </w:p>
        </w:tc>
      </w:tr>
      <w:tr w:rsidR="0034322D" w14:paraId="0983DC80" w14:textId="77777777" w:rsidTr="0034322D">
        <w:tc>
          <w:tcPr>
            <w:tcW w:w="2169" w:type="dxa"/>
            <w:tcBorders>
              <w:top w:val="single" w:sz="4" w:space="0" w:color="auto"/>
              <w:left w:val="single" w:sz="4" w:space="0" w:color="auto"/>
              <w:bottom w:val="single" w:sz="4" w:space="0" w:color="auto"/>
              <w:right w:val="single" w:sz="4" w:space="0" w:color="auto"/>
            </w:tcBorders>
            <w:vAlign w:val="center"/>
            <w:hideMark/>
          </w:tcPr>
          <w:p w14:paraId="2F377A6C" w14:textId="77777777" w:rsidR="0034322D" w:rsidRDefault="0034322D" w:rsidP="00931169">
            <w:pPr>
              <w:keepNext/>
              <w:rPr>
                <w:rFonts w:eastAsia="Arial Unicode MS" w:cstheme="minorHAnsi"/>
                <w:b/>
                <w:bCs/>
                <w:lang w:eastAsia="sk-SK"/>
              </w:rPr>
            </w:pPr>
            <w:r>
              <w:rPr>
                <w:rFonts w:eastAsia="Times New Roman" w:cstheme="minorHAnsi"/>
                <w:b/>
                <w:bCs/>
                <w:lang w:eastAsia="sk-SK"/>
              </w:rPr>
              <w:t>Nová Bystrica</w:t>
            </w:r>
          </w:p>
        </w:tc>
        <w:tc>
          <w:tcPr>
            <w:tcW w:w="1202" w:type="dxa"/>
            <w:tcBorders>
              <w:top w:val="single" w:sz="4" w:space="0" w:color="auto"/>
              <w:left w:val="single" w:sz="4" w:space="0" w:color="auto"/>
              <w:bottom w:val="single" w:sz="4" w:space="0" w:color="auto"/>
              <w:right w:val="single" w:sz="4" w:space="0" w:color="auto"/>
            </w:tcBorders>
            <w:vAlign w:val="center"/>
            <w:hideMark/>
          </w:tcPr>
          <w:p w14:paraId="7E6057B3" w14:textId="77777777" w:rsidR="0034322D" w:rsidRDefault="0034322D" w:rsidP="00931169">
            <w:pPr>
              <w:keepNext/>
              <w:rPr>
                <w:rFonts w:eastAsia="Arial Unicode MS" w:cstheme="minorHAnsi"/>
                <w:b/>
                <w:bCs/>
                <w:lang w:eastAsia="sk-SK"/>
              </w:rPr>
            </w:pPr>
            <w:r>
              <w:rPr>
                <w:rFonts w:eastAsia="Times New Roman" w:cstheme="minorHAnsi"/>
                <w:b/>
                <w:bCs/>
                <w:lang w:eastAsia="sk-SK"/>
              </w:rPr>
              <w:t>Bystrica </w:t>
            </w:r>
          </w:p>
        </w:tc>
        <w:tc>
          <w:tcPr>
            <w:tcW w:w="839" w:type="dxa"/>
            <w:tcBorders>
              <w:top w:val="single" w:sz="4" w:space="0" w:color="auto"/>
              <w:left w:val="single" w:sz="4" w:space="0" w:color="auto"/>
              <w:bottom w:val="single" w:sz="4" w:space="0" w:color="auto"/>
              <w:right w:val="single" w:sz="4" w:space="0" w:color="auto"/>
            </w:tcBorders>
            <w:vAlign w:val="center"/>
            <w:hideMark/>
          </w:tcPr>
          <w:p w14:paraId="51115F65" w14:textId="77777777" w:rsidR="0034322D" w:rsidRDefault="0034322D" w:rsidP="00931169">
            <w:pPr>
              <w:keepNext/>
              <w:rPr>
                <w:rFonts w:eastAsia="Arial Unicode MS" w:cstheme="minorHAnsi"/>
                <w:lang w:eastAsia="sk-SK"/>
              </w:rPr>
            </w:pPr>
            <w:r>
              <w:rPr>
                <w:rFonts w:eastAsia="Arial Unicode MS" w:cstheme="minorHAnsi"/>
                <w:lang w:eastAsia="sk-SK"/>
              </w:rPr>
              <w:t>0,893</w:t>
            </w:r>
          </w:p>
        </w:tc>
        <w:tc>
          <w:tcPr>
            <w:tcW w:w="1129" w:type="dxa"/>
            <w:tcBorders>
              <w:top w:val="single" w:sz="4" w:space="0" w:color="auto"/>
              <w:left w:val="single" w:sz="4" w:space="0" w:color="auto"/>
              <w:bottom w:val="single" w:sz="4" w:space="0" w:color="auto"/>
              <w:right w:val="single" w:sz="4" w:space="0" w:color="auto"/>
            </w:tcBorders>
            <w:vAlign w:val="center"/>
            <w:hideMark/>
          </w:tcPr>
          <w:p w14:paraId="228578CA" w14:textId="77777777" w:rsidR="0034322D" w:rsidRDefault="0034322D" w:rsidP="00931169">
            <w:pPr>
              <w:keepNext/>
              <w:rPr>
                <w:rFonts w:eastAsia="Arial Unicode MS" w:cstheme="minorHAnsi"/>
                <w:lang w:eastAsia="sk-SK"/>
              </w:rPr>
            </w:pPr>
            <w:r>
              <w:rPr>
                <w:rFonts w:eastAsia="Arial Unicode MS" w:cstheme="minorHAnsi"/>
                <w:lang w:eastAsia="sk-SK"/>
              </w:rPr>
              <w:t>12,47</w:t>
            </w:r>
          </w:p>
        </w:tc>
        <w:tc>
          <w:tcPr>
            <w:tcW w:w="977" w:type="dxa"/>
            <w:tcBorders>
              <w:top w:val="single" w:sz="4" w:space="0" w:color="auto"/>
              <w:left w:val="single" w:sz="4" w:space="0" w:color="auto"/>
              <w:bottom w:val="single" w:sz="4" w:space="0" w:color="auto"/>
              <w:right w:val="single" w:sz="4" w:space="0" w:color="auto"/>
            </w:tcBorders>
            <w:vAlign w:val="center"/>
            <w:hideMark/>
          </w:tcPr>
          <w:p w14:paraId="7577A1B7" w14:textId="77777777" w:rsidR="0034322D" w:rsidRDefault="0034322D" w:rsidP="00931169">
            <w:pPr>
              <w:keepNext/>
              <w:rPr>
                <w:rFonts w:eastAsia="Arial Unicode MS" w:cstheme="minorHAnsi"/>
                <w:lang w:eastAsia="sk-SK"/>
              </w:rPr>
            </w:pPr>
            <w:r>
              <w:rPr>
                <w:rFonts w:eastAsia="Arial Unicode MS" w:cstheme="minorHAnsi"/>
                <w:lang w:eastAsia="sk-SK"/>
              </w:rPr>
              <w:t>0,174</w:t>
            </w:r>
          </w:p>
        </w:tc>
      </w:tr>
      <w:tr w:rsidR="0034322D" w14:paraId="4DA0320F" w14:textId="77777777" w:rsidTr="0034322D">
        <w:tc>
          <w:tcPr>
            <w:tcW w:w="2169" w:type="dxa"/>
            <w:tcBorders>
              <w:top w:val="single" w:sz="4" w:space="0" w:color="auto"/>
              <w:left w:val="single" w:sz="4" w:space="0" w:color="auto"/>
              <w:bottom w:val="single" w:sz="4" w:space="0" w:color="auto"/>
              <w:right w:val="single" w:sz="4" w:space="0" w:color="auto"/>
            </w:tcBorders>
            <w:vAlign w:val="center"/>
            <w:hideMark/>
          </w:tcPr>
          <w:p w14:paraId="22AEC716" w14:textId="77777777" w:rsidR="0034322D" w:rsidRDefault="0034322D" w:rsidP="00931169">
            <w:pPr>
              <w:keepNext/>
              <w:rPr>
                <w:rFonts w:eastAsia="Arial Unicode MS" w:cstheme="minorHAnsi"/>
                <w:b/>
                <w:bCs/>
                <w:lang w:eastAsia="sk-SK"/>
              </w:rPr>
            </w:pPr>
            <w:r>
              <w:rPr>
                <w:rFonts w:eastAsia="Times New Roman" w:cstheme="minorHAnsi"/>
                <w:b/>
                <w:bCs/>
                <w:lang w:eastAsia="sk-SK"/>
              </w:rPr>
              <w:t>Zborov nad Bystricou </w:t>
            </w:r>
          </w:p>
        </w:tc>
        <w:tc>
          <w:tcPr>
            <w:tcW w:w="1202" w:type="dxa"/>
            <w:tcBorders>
              <w:top w:val="single" w:sz="4" w:space="0" w:color="auto"/>
              <w:left w:val="single" w:sz="4" w:space="0" w:color="auto"/>
              <w:bottom w:val="single" w:sz="4" w:space="0" w:color="auto"/>
              <w:right w:val="single" w:sz="4" w:space="0" w:color="auto"/>
            </w:tcBorders>
            <w:vAlign w:val="center"/>
            <w:hideMark/>
          </w:tcPr>
          <w:p w14:paraId="26184D64" w14:textId="77777777" w:rsidR="0034322D" w:rsidRDefault="0034322D" w:rsidP="00931169">
            <w:pPr>
              <w:keepNext/>
              <w:rPr>
                <w:rFonts w:eastAsia="Arial Unicode MS" w:cstheme="minorHAnsi"/>
                <w:b/>
                <w:bCs/>
                <w:lang w:eastAsia="sk-SK"/>
              </w:rPr>
            </w:pPr>
            <w:r>
              <w:rPr>
                <w:rFonts w:eastAsia="Times New Roman" w:cstheme="minorHAnsi"/>
                <w:b/>
                <w:bCs/>
                <w:lang w:eastAsia="sk-SK"/>
              </w:rPr>
              <w:t>Bystrica</w:t>
            </w:r>
          </w:p>
        </w:tc>
        <w:tc>
          <w:tcPr>
            <w:tcW w:w="839" w:type="dxa"/>
            <w:tcBorders>
              <w:top w:val="single" w:sz="4" w:space="0" w:color="auto"/>
              <w:left w:val="single" w:sz="4" w:space="0" w:color="auto"/>
              <w:bottom w:val="single" w:sz="4" w:space="0" w:color="auto"/>
              <w:right w:val="single" w:sz="4" w:space="0" w:color="auto"/>
            </w:tcBorders>
            <w:vAlign w:val="center"/>
            <w:hideMark/>
          </w:tcPr>
          <w:p w14:paraId="0D5DCA3A" w14:textId="77777777" w:rsidR="0034322D" w:rsidRDefault="0034322D" w:rsidP="00931169">
            <w:pPr>
              <w:keepNext/>
              <w:rPr>
                <w:rFonts w:eastAsia="Arial Unicode MS" w:cstheme="minorHAnsi"/>
                <w:lang w:eastAsia="sk-SK"/>
              </w:rPr>
            </w:pPr>
            <w:r>
              <w:rPr>
                <w:rFonts w:eastAsia="Arial Unicode MS" w:cstheme="minorHAnsi"/>
                <w:lang w:eastAsia="sk-SK"/>
              </w:rPr>
              <w:t>3,437</w:t>
            </w:r>
          </w:p>
        </w:tc>
        <w:tc>
          <w:tcPr>
            <w:tcW w:w="1129" w:type="dxa"/>
            <w:tcBorders>
              <w:top w:val="single" w:sz="4" w:space="0" w:color="auto"/>
              <w:left w:val="single" w:sz="4" w:space="0" w:color="auto"/>
              <w:bottom w:val="single" w:sz="4" w:space="0" w:color="auto"/>
              <w:right w:val="single" w:sz="4" w:space="0" w:color="auto"/>
            </w:tcBorders>
            <w:vAlign w:val="center"/>
            <w:hideMark/>
          </w:tcPr>
          <w:p w14:paraId="6223BED4" w14:textId="77777777" w:rsidR="0034322D" w:rsidRDefault="0034322D" w:rsidP="00931169">
            <w:pPr>
              <w:keepNext/>
              <w:rPr>
                <w:rFonts w:eastAsia="Arial Unicode MS" w:cstheme="minorHAnsi"/>
                <w:lang w:eastAsia="sk-SK"/>
              </w:rPr>
            </w:pPr>
            <w:r>
              <w:rPr>
                <w:rFonts w:eastAsia="Arial Unicode MS" w:cstheme="minorHAnsi"/>
                <w:lang w:eastAsia="sk-SK"/>
              </w:rPr>
              <w:t>79,86</w:t>
            </w:r>
          </w:p>
        </w:tc>
        <w:tc>
          <w:tcPr>
            <w:tcW w:w="977" w:type="dxa"/>
            <w:tcBorders>
              <w:top w:val="single" w:sz="4" w:space="0" w:color="auto"/>
              <w:left w:val="single" w:sz="4" w:space="0" w:color="auto"/>
              <w:bottom w:val="single" w:sz="4" w:space="0" w:color="auto"/>
              <w:right w:val="single" w:sz="4" w:space="0" w:color="auto"/>
            </w:tcBorders>
            <w:vAlign w:val="center"/>
            <w:hideMark/>
          </w:tcPr>
          <w:p w14:paraId="105CA7DB" w14:textId="77777777" w:rsidR="0034322D" w:rsidRDefault="0034322D" w:rsidP="00931169">
            <w:pPr>
              <w:keepNext/>
              <w:rPr>
                <w:rFonts w:eastAsia="Arial Unicode MS" w:cstheme="minorHAnsi"/>
                <w:lang w:eastAsia="sk-SK"/>
              </w:rPr>
            </w:pPr>
            <w:r>
              <w:rPr>
                <w:rFonts w:eastAsia="Arial Unicode MS" w:cstheme="minorHAnsi"/>
                <w:lang w:eastAsia="sk-SK"/>
              </w:rPr>
              <w:t>0,76</w:t>
            </w:r>
          </w:p>
        </w:tc>
      </w:tr>
    </w:tbl>
    <w:p w14:paraId="15AD3774" w14:textId="77777777" w:rsidR="0034322D" w:rsidRDefault="0034322D" w:rsidP="00931169">
      <w:pPr>
        <w:keepNext/>
        <w:autoSpaceDE w:val="0"/>
        <w:autoSpaceDN w:val="0"/>
        <w:adjustRightInd w:val="0"/>
        <w:spacing w:after="120" w:line="268" w:lineRule="auto"/>
        <w:rPr>
          <w:rFonts w:eastAsia="Arial Unicode MS" w:cstheme="minorHAnsi"/>
          <w:sz w:val="16"/>
          <w:szCs w:val="16"/>
          <w:lang w:eastAsia="sk-SK"/>
        </w:rPr>
      </w:pPr>
    </w:p>
    <w:p w14:paraId="313513FD" w14:textId="77777777" w:rsidR="0034322D" w:rsidRPr="00F4315B" w:rsidRDefault="0034322D" w:rsidP="00931169">
      <w:pPr>
        <w:pStyle w:val="Nadpis2"/>
        <w:rPr>
          <w:rFonts w:cstheme="minorHAnsi"/>
        </w:rPr>
      </w:pPr>
      <w:bookmarkStart w:id="134" w:name="_Toc479159172"/>
      <w:bookmarkStart w:id="135" w:name="_Toc462812183"/>
      <w:bookmarkStart w:id="136" w:name="_Toc24660446"/>
      <w:bookmarkStart w:id="137" w:name="_Toc24661458"/>
      <w:bookmarkStart w:id="138" w:name="_Toc88652945"/>
      <w:r w:rsidRPr="00F4315B">
        <w:rPr>
          <w:rFonts w:cstheme="minorHAnsi"/>
        </w:rPr>
        <w:t>Klimatické pomery</w:t>
      </w:r>
      <w:bookmarkEnd w:id="134"/>
      <w:bookmarkEnd w:id="135"/>
      <w:bookmarkEnd w:id="136"/>
      <w:bookmarkEnd w:id="137"/>
      <w:bookmarkEnd w:id="138"/>
    </w:p>
    <w:p w14:paraId="5C4CA940" w14:textId="77777777" w:rsidR="0034322D" w:rsidRDefault="0034322D" w:rsidP="00931169">
      <w:pPr>
        <w:ind w:firstLine="708"/>
        <w:rPr>
          <w:rFonts w:cstheme="minorHAnsi"/>
          <w:noProof/>
        </w:rPr>
      </w:pPr>
      <w:r>
        <w:rPr>
          <w:rFonts w:cstheme="minorHAnsi"/>
          <w:noProof/>
        </w:rPr>
        <w:t>Z hľadiska globálnej klimatickej klasifikácie je Slovensko zaraďované do severného mierneho klimatického pásma, ktoré je typické premenlivosťou počasia. V priebehu roka sa pravidelne striedajú štyri ročné obdobia, zrážky sú počas roka pomerne rovnomerne rozložené.</w:t>
      </w:r>
    </w:p>
    <w:p w14:paraId="0405DC03" w14:textId="77777777" w:rsidR="0034322D" w:rsidRDefault="0034322D" w:rsidP="00931169">
      <w:pPr>
        <w:ind w:firstLine="708"/>
        <w:rPr>
          <w:rFonts w:cstheme="minorHAnsi"/>
          <w:noProof/>
        </w:rPr>
      </w:pPr>
      <w:r>
        <w:rPr>
          <w:rFonts w:cstheme="minorHAnsi"/>
          <w:noProof/>
        </w:rPr>
        <w:t xml:space="preserve">Podnebie Slovenska je ovplyvňované oceánskymi vzduchovými hmotami zo západu a kontinentálnymi vzduchovými hmotami z východu. Západné prúdenie prináša od Atlantického </w:t>
      </w:r>
      <w:r>
        <w:rPr>
          <w:rFonts w:cstheme="minorHAnsi"/>
          <w:noProof/>
        </w:rPr>
        <w:lastRenderedPageBreak/>
        <w:t>oceánu vlhký oceánsky vzduch miernych šírok. Zmierňuje teplotné amplitúdy v priebehu dňa i roka a prináša atmosférické zrážky. Kontinentálny vzduch sprevádza sucho, v lete vysoké teploty a v zime silné mrazy. Vzhľadom na predĺžený tvar územia v rovnobežkovom smere ovplyvňujú oceánske vzduchové hmoty výraznejšie západné Slovensko, na východe krajiny majú o niečo väčší vplyv kontinentálne vzduchové hmoty.</w:t>
      </w:r>
    </w:p>
    <w:p w14:paraId="6FD617CF" w14:textId="77777777" w:rsidR="0034322D" w:rsidRDefault="0034322D" w:rsidP="00931169">
      <w:pPr>
        <w:ind w:firstLine="708"/>
        <w:rPr>
          <w:rFonts w:cstheme="minorHAnsi"/>
          <w:noProof/>
        </w:rPr>
      </w:pPr>
      <w:r>
        <w:rPr>
          <w:rFonts w:cstheme="minorHAnsi"/>
          <w:noProof/>
        </w:rPr>
        <w:t xml:space="preserve">Oveľa viac ako zemepisná šírka a dĺžka ovplyvňujú počasie nadmorská výška a členitosť terénu. Ich vplyv sa prejavil aj na rozčlenení Slovenska na tri klimatické oblasti: </w:t>
      </w:r>
    </w:p>
    <w:p w14:paraId="035C4D4D" w14:textId="77777777" w:rsidR="0034322D" w:rsidRDefault="0034322D" w:rsidP="00931169">
      <w:pPr>
        <w:pStyle w:val="Odsekzoznamu"/>
        <w:numPr>
          <w:ilvl w:val="0"/>
          <w:numId w:val="55"/>
        </w:numPr>
        <w:spacing w:before="120"/>
        <w:ind w:left="1276" w:hanging="425"/>
        <w:jc w:val="both"/>
        <w:rPr>
          <w:rFonts w:cstheme="minorHAnsi"/>
        </w:rPr>
      </w:pPr>
      <w:r>
        <w:rPr>
          <w:rFonts w:cstheme="minorHAnsi"/>
          <w:bCs/>
        </w:rPr>
        <w:t>teplá oblasť</w:t>
      </w:r>
      <w:r>
        <w:rPr>
          <w:rFonts w:cstheme="minorHAnsi"/>
        </w:rPr>
        <w:t xml:space="preserve"> - nížiny a nízko položené kotliny do 350 m n.m., priemerne 50 a viac letných dní za rok s denným maximom teploty ≥ 25 °C (okrsky T1 až T7),</w:t>
      </w:r>
    </w:p>
    <w:p w14:paraId="070E2212" w14:textId="77777777" w:rsidR="0034322D" w:rsidRDefault="0034322D" w:rsidP="00931169">
      <w:pPr>
        <w:pStyle w:val="Odsekzoznamu"/>
        <w:numPr>
          <w:ilvl w:val="0"/>
          <w:numId w:val="55"/>
        </w:numPr>
        <w:spacing w:before="120"/>
        <w:ind w:left="1276" w:hanging="425"/>
        <w:jc w:val="both"/>
        <w:rPr>
          <w:rFonts w:cstheme="minorHAnsi"/>
        </w:rPr>
      </w:pPr>
      <w:r>
        <w:rPr>
          <w:rFonts w:cstheme="minorHAnsi"/>
          <w:bCs/>
        </w:rPr>
        <w:t>mierne teplá oblasť</w:t>
      </w:r>
      <w:r>
        <w:rPr>
          <w:rFonts w:cstheme="minorHAnsi"/>
        </w:rPr>
        <w:t xml:space="preserve"> - nižšie časti pohorí a kotliny, priemerne menej ako 50 letných dní za rok s denným maximom teploty ≥ 25 °C, júlový priemer teploty ≥ 16 °C (okrsky M1 až M7),</w:t>
      </w:r>
    </w:p>
    <w:p w14:paraId="443DCEA0" w14:textId="77777777" w:rsidR="0034322D" w:rsidRDefault="0034322D" w:rsidP="00931169">
      <w:pPr>
        <w:pStyle w:val="Odsekzoznamu"/>
        <w:numPr>
          <w:ilvl w:val="0"/>
          <w:numId w:val="55"/>
        </w:numPr>
        <w:spacing w:before="120"/>
        <w:ind w:left="1276" w:hanging="425"/>
        <w:jc w:val="both"/>
        <w:rPr>
          <w:rFonts w:cstheme="minorHAnsi"/>
        </w:rPr>
      </w:pPr>
      <w:r>
        <w:rPr>
          <w:rFonts w:cstheme="minorHAnsi"/>
          <w:bCs/>
        </w:rPr>
        <w:t xml:space="preserve">chladná oblasť </w:t>
      </w:r>
      <w:r>
        <w:rPr>
          <w:rFonts w:cstheme="minorHAnsi"/>
        </w:rPr>
        <w:t>- júlový priemer teploty ˂ 16°C (okrsky C1 až C3).</w:t>
      </w:r>
    </w:p>
    <w:tbl>
      <w:tblPr>
        <w:tblW w:w="939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90"/>
      </w:tblGrid>
      <w:tr w:rsidR="0034322D" w14:paraId="57B1ECB1" w14:textId="77777777" w:rsidTr="0034322D">
        <w:trPr>
          <w:trHeight w:val="2359"/>
        </w:trPr>
        <w:tc>
          <w:tcPr>
            <w:tcW w:w="9393" w:type="dxa"/>
            <w:tcBorders>
              <w:top w:val="single" w:sz="4" w:space="0" w:color="auto"/>
              <w:left w:val="single" w:sz="4" w:space="0" w:color="auto"/>
              <w:bottom w:val="single" w:sz="4" w:space="0" w:color="auto"/>
              <w:right w:val="single" w:sz="4" w:space="0" w:color="auto"/>
            </w:tcBorders>
            <w:vAlign w:val="center"/>
            <w:hideMark/>
          </w:tcPr>
          <w:p w14:paraId="122CB1E9" w14:textId="474389FE" w:rsidR="0034322D" w:rsidRDefault="0034322D" w:rsidP="00931169">
            <w:pPr>
              <w:pStyle w:val="BATextvtabulce"/>
              <w:spacing w:before="0"/>
              <w:jc w:val="both"/>
              <w:rPr>
                <w:rFonts w:asciiTheme="minorHAnsi" w:hAnsiTheme="minorHAnsi" w:cstheme="minorHAnsi"/>
                <w:color w:val="FF0000"/>
                <w:lang w:val="sk-SK"/>
              </w:rPr>
            </w:pPr>
            <w:r>
              <w:rPr>
                <w:noProof/>
                <w:lang w:val="sk-SK" w:eastAsia="sk-SK"/>
              </w:rPr>
              <mc:AlternateContent>
                <mc:Choice Requires="wpg">
                  <w:drawing>
                    <wp:anchor distT="0" distB="0" distL="114300" distR="114300" simplePos="0" relativeHeight="251667456" behindDoc="0" locked="0" layoutInCell="1" allowOverlap="1" wp14:anchorId="7973D4AA" wp14:editId="4CE9FAB3">
                      <wp:simplePos x="0" y="0"/>
                      <wp:positionH relativeFrom="margin">
                        <wp:posOffset>4250690</wp:posOffset>
                      </wp:positionH>
                      <wp:positionV relativeFrom="paragraph">
                        <wp:posOffset>62865</wp:posOffset>
                      </wp:positionV>
                      <wp:extent cx="1295400" cy="1514475"/>
                      <wp:effectExtent l="0" t="0" r="0" b="9525"/>
                      <wp:wrapNone/>
                      <wp:docPr id="86" name="Skupina 86"/>
                      <wp:cNvGraphicFramePr/>
                      <a:graphic xmlns:a="http://schemas.openxmlformats.org/drawingml/2006/main">
                        <a:graphicData uri="http://schemas.microsoft.com/office/word/2010/wordprocessingGroup">
                          <wpg:wgp>
                            <wpg:cNvGrpSpPr/>
                            <wpg:grpSpPr>
                              <a:xfrm>
                                <a:off x="0" y="0"/>
                                <a:ext cx="1295400" cy="1514475"/>
                                <a:chOff x="0" y="0"/>
                                <a:chExt cx="943527" cy="1159964"/>
                              </a:xfrm>
                            </wpg:grpSpPr>
                            <pic:pic xmlns:pic="http://schemas.openxmlformats.org/drawingml/2006/picture">
                              <pic:nvPicPr>
                                <pic:cNvPr id="28" name="Obrázok 28"/>
                                <pic:cNvPicPr>
                                  <a:picLocks noChangeAspect="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03530" cy="1156335"/>
                                </a:xfrm>
                                <a:prstGeom prst="rect">
                                  <a:avLst/>
                                </a:prstGeom>
                              </pic:spPr>
                            </pic:pic>
                            <pic:pic xmlns:pic="http://schemas.openxmlformats.org/drawingml/2006/picture">
                              <pic:nvPicPr>
                                <pic:cNvPr id="29" name="Obrázok 29"/>
                                <pic:cNvPicPr>
                                  <a:picLocks noChangeAspect="1"/>
                                </pic:cNvPicPr>
                              </pic:nvPicPr>
                              <pic:blipFill>
                                <a:blip r:embed="rId24" cstate="print">
                                  <a:extLst>
                                    <a:ext uri="{28A0092B-C50C-407E-A947-70E740481C1C}">
                                      <a14:useLocalDpi xmlns:a14="http://schemas.microsoft.com/office/drawing/2010/main" val="0"/>
                                    </a:ext>
                                  </a:extLst>
                                </a:blip>
                                <a:stretch>
                                  <a:fillRect/>
                                </a:stretch>
                              </pic:blipFill>
                              <pic:spPr>
                                <a:xfrm>
                                  <a:off x="320634" y="5938"/>
                                  <a:ext cx="304165" cy="1152525"/>
                                </a:xfrm>
                                <a:prstGeom prst="rect">
                                  <a:avLst/>
                                </a:prstGeom>
                              </pic:spPr>
                            </pic:pic>
                            <pic:pic xmlns:pic="http://schemas.openxmlformats.org/drawingml/2006/picture">
                              <pic:nvPicPr>
                                <pic:cNvPr id="30" name="Obrázok 30"/>
                                <pic:cNvPicPr>
                                  <a:picLocks noChangeAspect="1"/>
                                </pic:cNvPicPr>
                              </pic:nvPicPr>
                              <pic:blipFill>
                                <a:blip r:embed="rId25" cstate="print">
                                  <a:extLst>
                                    <a:ext uri="{28A0092B-C50C-407E-A947-70E740481C1C}">
                                      <a14:useLocalDpi xmlns:a14="http://schemas.microsoft.com/office/drawing/2010/main" val="0"/>
                                    </a:ext>
                                  </a:extLst>
                                </a:blip>
                                <a:stretch>
                                  <a:fillRect/>
                                </a:stretch>
                              </pic:blipFill>
                              <pic:spPr>
                                <a:xfrm>
                                  <a:off x="641267" y="587829"/>
                                  <a:ext cx="302260" cy="572135"/>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2312B4C" id="Skupina 86" o:spid="_x0000_s1026" style="position:absolute;margin-left:334.7pt;margin-top:4.95pt;width:102pt;height:119.25pt;z-index:251667456;mso-position-horizontal-relative:margin;mso-width-relative:margin;mso-height-relative:margin" coordsize="9435,115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">
                      <v:shape id="Obrázok 28" o:spid="_x0000_s1027" type="#_x0000_t75" style="position:absolute;width:3035;height:115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">
                        <v:imagedata r:id="rId30" o:title=""/>
                      </v:shape>
                      <v:shape id="Obrázok 29" o:spid="_x0000_s1028" type="#_x0000_t75" style="position:absolute;left:3206;top:59;width:3041;height:11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">
                        <v:imagedata r:id="rId31" o:title=""/>
                      </v:shape>
                      <v:shape id="Obrázok 30" o:spid="_x0000_s1029" type="#_x0000_t75" style="position:absolute;left:6412;top:5878;width:3023;height:57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">
                        <v:imagedata r:id="rId32" o:title=""/>
                      </v:shape>
                      <w10:wrap anchorx="margin"/>
                    </v:group>
                  </w:pict>
                </mc:Fallback>
              </mc:AlternateContent>
            </w:r>
            <w:r>
              <w:rPr>
                <w:rFonts w:asciiTheme="minorHAnsi" w:hAnsiTheme="minorHAnsi" w:cstheme="minorHAnsi"/>
                <w:noProof/>
                <w:color w:val="FF0000"/>
                <w:lang w:val="sk-SK" w:eastAsia="sk-SK"/>
              </w:rPr>
              <w:drawing>
                <wp:inline distT="0" distB="0" distL="0" distR="0" wp14:anchorId="1E172305" wp14:editId="7AA8ACF7">
                  <wp:extent cx="2543175" cy="2000250"/>
                  <wp:effectExtent l="0" t="0" r="9525" b="0"/>
                  <wp:docPr id="23" name="Obrázo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43175" cy="2000250"/>
                          </a:xfrm>
                          <a:prstGeom prst="rect">
                            <a:avLst/>
                          </a:prstGeom>
                          <a:noFill/>
                          <a:ln>
                            <a:noFill/>
                          </a:ln>
                        </pic:spPr>
                      </pic:pic>
                    </a:graphicData>
                  </a:graphic>
                </wp:inline>
              </w:drawing>
            </w:r>
            <w:r>
              <w:rPr>
                <w:rFonts w:asciiTheme="minorHAnsi" w:hAnsiTheme="minorHAnsi" w:cstheme="minorHAnsi"/>
                <w:noProof/>
                <w:color w:val="FF0000"/>
                <w:lang w:eastAsia="sk-SK"/>
              </w:rPr>
              <w:t xml:space="preserve"> </w:t>
            </w:r>
          </w:p>
        </w:tc>
      </w:tr>
    </w:tbl>
    <w:p w14:paraId="5FD23337" w14:textId="3F65E25E" w:rsidR="0034322D" w:rsidRDefault="0034322D" w:rsidP="00931169">
      <w:pPr>
        <w:rPr>
          <w:rFonts w:cstheme="minorHAnsi"/>
          <w:noProof/>
          <w:color w:val="FF0000"/>
          <w:sz w:val="22"/>
        </w:rPr>
      </w:pPr>
      <w:r>
        <w:rPr>
          <w:rFonts w:cstheme="minorHAnsi"/>
          <w:noProof/>
          <w:color w:val="FF0000"/>
          <w:lang w:eastAsia="sk-SK"/>
        </w:rPr>
        <w:drawing>
          <wp:inline distT="0" distB="0" distL="0" distR="0" wp14:anchorId="78A74590" wp14:editId="0F5EB581">
            <wp:extent cx="5759450" cy="257810"/>
            <wp:effectExtent l="0" t="0" r="0" b="8890"/>
            <wp:docPr id="22" name="Obrázo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9450" cy="257810"/>
                    </a:xfrm>
                    <a:prstGeom prst="rect">
                      <a:avLst/>
                    </a:prstGeom>
                    <a:noFill/>
                    <a:ln>
                      <a:noFill/>
                    </a:ln>
                  </pic:spPr>
                </pic:pic>
              </a:graphicData>
            </a:graphic>
          </wp:inline>
        </w:drawing>
      </w:r>
    </w:p>
    <w:p w14:paraId="1E03BAEC" w14:textId="0572670B" w:rsidR="0034322D" w:rsidRDefault="0034322D" w:rsidP="00931169">
      <w:pPr>
        <w:rPr>
          <w:rFonts w:cstheme="minorHAnsi"/>
          <w:noProof/>
          <w:color w:val="FF0000"/>
        </w:rPr>
      </w:pPr>
      <w:r>
        <w:rPr>
          <w:rFonts w:cstheme="minorHAnsi"/>
          <w:noProof/>
          <w:color w:val="FF0000"/>
          <w:lang w:eastAsia="sk-SK"/>
        </w:rPr>
        <w:drawing>
          <wp:inline distT="0" distB="0" distL="0" distR="0" wp14:anchorId="4424A1D8" wp14:editId="70FF1916">
            <wp:extent cx="5759450" cy="257175"/>
            <wp:effectExtent l="0" t="0" r="0" b="9525"/>
            <wp:docPr id="19" name="Obrázo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59450" cy="257175"/>
                    </a:xfrm>
                    <a:prstGeom prst="rect">
                      <a:avLst/>
                    </a:prstGeom>
                    <a:noFill/>
                    <a:ln>
                      <a:noFill/>
                    </a:ln>
                  </pic:spPr>
                </pic:pic>
              </a:graphicData>
            </a:graphic>
          </wp:inline>
        </w:drawing>
      </w:r>
    </w:p>
    <w:p w14:paraId="10269F78" w14:textId="77777777" w:rsidR="0034322D" w:rsidRDefault="0034322D" w:rsidP="00931169">
      <w:pPr>
        <w:rPr>
          <w:rFonts w:cstheme="minorHAnsi"/>
        </w:rPr>
      </w:pPr>
      <w:bookmarkStart w:id="139" w:name="_Toc479159035"/>
      <w:r>
        <w:rPr>
          <w:rFonts w:cstheme="minorHAnsi"/>
        </w:rPr>
        <w:t>Obr. Výrez z mapy klimatických oblastí Slovenska, Zdroj: Atlas krajiny, SAŽP 2002</w:t>
      </w:r>
      <w:bookmarkEnd w:id="139"/>
    </w:p>
    <w:p w14:paraId="59446CA0" w14:textId="77777777" w:rsidR="003A7D4A" w:rsidRDefault="003A7D4A" w:rsidP="00931169">
      <w:pPr>
        <w:rPr>
          <w:rFonts w:cstheme="minorHAnsi"/>
          <w:noProof/>
        </w:rPr>
      </w:pPr>
    </w:p>
    <w:p w14:paraId="34C066C2" w14:textId="67E50D84" w:rsidR="0034322D" w:rsidRDefault="0034322D" w:rsidP="00931169">
      <w:pPr>
        <w:ind w:firstLine="708"/>
        <w:rPr>
          <w:rFonts w:cstheme="minorHAnsi"/>
          <w:noProof/>
        </w:rPr>
      </w:pPr>
      <w:r>
        <w:rPr>
          <w:rFonts w:cstheme="minorHAnsi"/>
          <w:noProof/>
        </w:rPr>
        <w:t xml:space="preserve">Podľa členenia Slovenska na klimatické oblasti (Lapin, M., Faško, P., Melo, M., Šťastný, P., Tomlain, J., In: Atlas krajiny SR, 2002) ležia údolia hodnoteného územie v mierne teplej oblasti (počet letných dní menej ako 50) v okrsku M7, ktorý je charakterizovaný ako mierne teplý, veľmi vlhký s vrchovinovou klímou. Mimo údolí riek sa klimatická oblasť posúva do chladnejšieho okrsku C1 charakterizovaného priemernou teplotou v lúli medzi 12 a 16°C. </w:t>
      </w:r>
    </w:p>
    <w:p w14:paraId="5432E1BD" w14:textId="0CD962A2" w:rsidR="0034322D" w:rsidRDefault="0034322D" w:rsidP="00931169">
      <w:pPr>
        <w:pStyle w:val="tlPopisArial9pt"/>
        <w:ind w:left="0" w:firstLine="0"/>
        <w:rPr>
          <w:rStyle w:val="tlPopisArial9ptChar"/>
          <w:rFonts w:asciiTheme="minorHAnsi" w:hAnsiTheme="minorHAnsi" w:cstheme="minorHAnsi"/>
        </w:rPr>
      </w:pPr>
      <w:bookmarkStart w:id="140" w:name="_Ref101614091"/>
      <w:r>
        <w:rPr>
          <w:rStyle w:val="tlPopisArial9ptChar"/>
          <w:rFonts w:asciiTheme="minorHAnsi" w:hAnsiTheme="minorHAnsi" w:cstheme="minorHAnsi"/>
        </w:rPr>
        <w:t>Tab.</w:t>
      </w:r>
      <w:bookmarkEnd w:id="140"/>
      <w:r>
        <w:rPr>
          <w:rStyle w:val="tlPopisArial9ptChar"/>
          <w:rFonts w:asciiTheme="minorHAnsi" w:hAnsiTheme="minorHAnsi" w:cstheme="minorHAnsi"/>
        </w:rPr>
        <w:t xml:space="preserve"> </w:t>
      </w:r>
      <w:r w:rsidR="005940CA">
        <w:rPr>
          <w:rStyle w:val="tlPopisArial9ptChar"/>
          <w:rFonts w:asciiTheme="minorHAnsi" w:hAnsiTheme="minorHAnsi" w:cstheme="minorHAnsi"/>
        </w:rPr>
        <w:t xml:space="preserve">15 </w:t>
      </w:r>
      <w:r>
        <w:rPr>
          <w:rStyle w:val="tlPopisArial9ptChar"/>
          <w:rFonts w:asciiTheme="minorHAnsi" w:hAnsiTheme="minorHAnsi" w:cstheme="minorHAnsi"/>
        </w:rPr>
        <w:t>Priemerné mesačné (ročné) teploty vzduchu v ºC za vegetačné obdobie 1971-2000</w:t>
      </w: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167"/>
        <w:gridCol w:w="529"/>
        <w:gridCol w:w="516"/>
        <w:gridCol w:w="516"/>
        <w:gridCol w:w="516"/>
        <w:gridCol w:w="516"/>
        <w:gridCol w:w="516"/>
        <w:gridCol w:w="517"/>
        <w:gridCol w:w="516"/>
        <w:gridCol w:w="516"/>
        <w:gridCol w:w="516"/>
        <w:gridCol w:w="516"/>
        <w:gridCol w:w="516"/>
        <w:gridCol w:w="517"/>
      </w:tblGrid>
      <w:tr w:rsidR="0034322D" w14:paraId="772E6A03" w14:textId="77777777" w:rsidTr="0034322D">
        <w:tc>
          <w:tcPr>
            <w:tcW w:w="0" w:type="auto"/>
            <w:tcBorders>
              <w:top w:val="single" w:sz="4" w:space="0" w:color="auto"/>
              <w:left w:val="single" w:sz="4" w:space="0" w:color="auto"/>
              <w:bottom w:val="single" w:sz="4" w:space="0" w:color="auto"/>
              <w:right w:val="single" w:sz="4" w:space="0" w:color="auto"/>
            </w:tcBorders>
            <w:vAlign w:val="center"/>
          </w:tcPr>
          <w:p w14:paraId="3F0AF184" w14:textId="77777777" w:rsidR="0034322D" w:rsidRDefault="0034322D" w:rsidP="00931169">
            <w:pPr>
              <w:rPr>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E03756" w14:textId="77777777" w:rsidR="0034322D" w:rsidRDefault="0034322D" w:rsidP="00931169">
            <w:pPr>
              <w:rPr>
                <w:rFonts w:cstheme="minorHAnsi"/>
                <w:b/>
                <w:bCs/>
                <w:sz w:val="18"/>
                <w:szCs w:val="18"/>
              </w:rPr>
            </w:pPr>
            <w:r>
              <w:rPr>
                <w:rFonts w:cstheme="minorHAnsi"/>
                <w:b/>
                <w:bCs/>
                <w:sz w:val="18"/>
                <w:szCs w:val="18"/>
              </w:rPr>
              <w:t>I</w:t>
            </w:r>
          </w:p>
        </w:tc>
        <w:tc>
          <w:tcPr>
            <w:tcW w:w="516" w:type="dxa"/>
            <w:tcBorders>
              <w:top w:val="single" w:sz="4" w:space="0" w:color="auto"/>
              <w:left w:val="single" w:sz="4" w:space="0" w:color="auto"/>
              <w:bottom w:val="single" w:sz="4" w:space="0" w:color="auto"/>
              <w:right w:val="single" w:sz="4" w:space="0" w:color="auto"/>
            </w:tcBorders>
            <w:vAlign w:val="center"/>
            <w:hideMark/>
          </w:tcPr>
          <w:p w14:paraId="31B7A4AD" w14:textId="77777777" w:rsidR="0034322D" w:rsidRDefault="0034322D" w:rsidP="00931169">
            <w:pPr>
              <w:rPr>
                <w:rFonts w:cstheme="minorHAnsi"/>
                <w:b/>
                <w:bCs/>
                <w:sz w:val="18"/>
                <w:szCs w:val="18"/>
              </w:rPr>
            </w:pPr>
            <w:r>
              <w:rPr>
                <w:rFonts w:cstheme="minorHAnsi"/>
                <w:b/>
                <w:bCs/>
                <w:sz w:val="18"/>
                <w:szCs w:val="18"/>
              </w:rPr>
              <w:t>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6D3550CB" w14:textId="77777777" w:rsidR="0034322D" w:rsidRDefault="0034322D" w:rsidP="00931169">
            <w:pPr>
              <w:rPr>
                <w:rFonts w:cstheme="minorHAnsi"/>
                <w:b/>
                <w:bCs/>
                <w:sz w:val="18"/>
                <w:szCs w:val="18"/>
              </w:rPr>
            </w:pPr>
            <w:r>
              <w:rPr>
                <w:rFonts w:cstheme="minorHAnsi"/>
                <w:b/>
                <w:bCs/>
                <w:sz w:val="18"/>
                <w:szCs w:val="18"/>
              </w:rPr>
              <w:t>III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316974AE" w14:textId="77777777" w:rsidR="0034322D" w:rsidRDefault="0034322D" w:rsidP="00931169">
            <w:pPr>
              <w:rPr>
                <w:rFonts w:cstheme="minorHAnsi"/>
                <w:b/>
                <w:bCs/>
                <w:sz w:val="18"/>
                <w:szCs w:val="18"/>
              </w:rPr>
            </w:pPr>
            <w:r>
              <w:rPr>
                <w:rFonts w:cstheme="minorHAnsi"/>
                <w:b/>
                <w:bCs/>
                <w:sz w:val="18"/>
                <w:szCs w:val="18"/>
              </w:rPr>
              <w:t>IV</w:t>
            </w:r>
          </w:p>
        </w:tc>
        <w:tc>
          <w:tcPr>
            <w:tcW w:w="516" w:type="dxa"/>
            <w:tcBorders>
              <w:top w:val="single" w:sz="4" w:space="0" w:color="auto"/>
              <w:left w:val="single" w:sz="4" w:space="0" w:color="auto"/>
              <w:bottom w:val="single" w:sz="4" w:space="0" w:color="auto"/>
              <w:right w:val="single" w:sz="4" w:space="0" w:color="auto"/>
            </w:tcBorders>
            <w:vAlign w:val="center"/>
            <w:hideMark/>
          </w:tcPr>
          <w:p w14:paraId="35AE17A5" w14:textId="77777777" w:rsidR="0034322D" w:rsidRDefault="0034322D" w:rsidP="00931169">
            <w:pPr>
              <w:rPr>
                <w:rFonts w:cstheme="minorHAnsi"/>
                <w:b/>
                <w:bCs/>
                <w:sz w:val="18"/>
                <w:szCs w:val="18"/>
              </w:rPr>
            </w:pPr>
            <w:r>
              <w:rPr>
                <w:rFonts w:cstheme="minorHAnsi"/>
                <w:b/>
                <w:bCs/>
                <w:sz w:val="18"/>
                <w:szCs w:val="18"/>
              </w:rPr>
              <w:t>V</w:t>
            </w:r>
          </w:p>
        </w:tc>
        <w:tc>
          <w:tcPr>
            <w:tcW w:w="516" w:type="dxa"/>
            <w:tcBorders>
              <w:top w:val="single" w:sz="4" w:space="0" w:color="auto"/>
              <w:left w:val="single" w:sz="4" w:space="0" w:color="auto"/>
              <w:bottom w:val="single" w:sz="4" w:space="0" w:color="auto"/>
              <w:right w:val="single" w:sz="4" w:space="0" w:color="auto"/>
            </w:tcBorders>
            <w:vAlign w:val="center"/>
            <w:hideMark/>
          </w:tcPr>
          <w:p w14:paraId="72CDE603" w14:textId="77777777" w:rsidR="0034322D" w:rsidRDefault="0034322D" w:rsidP="00931169">
            <w:pPr>
              <w:rPr>
                <w:rFonts w:cstheme="minorHAnsi"/>
                <w:b/>
                <w:bCs/>
                <w:sz w:val="18"/>
                <w:szCs w:val="18"/>
              </w:rPr>
            </w:pPr>
            <w:r>
              <w:rPr>
                <w:rFonts w:cstheme="minorHAnsi"/>
                <w:b/>
                <w:bCs/>
                <w:sz w:val="18"/>
                <w:szCs w:val="18"/>
              </w:rPr>
              <w:t>VI</w:t>
            </w:r>
          </w:p>
        </w:tc>
        <w:tc>
          <w:tcPr>
            <w:tcW w:w="517" w:type="dxa"/>
            <w:tcBorders>
              <w:top w:val="single" w:sz="4" w:space="0" w:color="auto"/>
              <w:left w:val="single" w:sz="4" w:space="0" w:color="auto"/>
              <w:bottom w:val="single" w:sz="4" w:space="0" w:color="auto"/>
              <w:right w:val="single" w:sz="4" w:space="0" w:color="auto"/>
            </w:tcBorders>
            <w:vAlign w:val="center"/>
            <w:hideMark/>
          </w:tcPr>
          <w:p w14:paraId="5FFDEF75" w14:textId="77777777" w:rsidR="0034322D" w:rsidRDefault="0034322D" w:rsidP="00931169">
            <w:pPr>
              <w:rPr>
                <w:rFonts w:cstheme="minorHAnsi"/>
                <w:b/>
                <w:bCs/>
                <w:sz w:val="18"/>
                <w:szCs w:val="18"/>
              </w:rPr>
            </w:pPr>
            <w:r>
              <w:rPr>
                <w:rFonts w:cstheme="minorHAnsi"/>
                <w:b/>
                <w:bCs/>
                <w:sz w:val="18"/>
                <w:szCs w:val="18"/>
              </w:rPr>
              <w:t>VII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2BD84AC6" w14:textId="77777777" w:rsidR="0034322D" w:rsidRDefault="0034322D" w:rsidP="00931169">
            <w:pPr>
              <w:rPr>
                <w:rFonts w:cstheme="minorHAnsi"/>
                <w:b/>
                <w:bCs/>
                <w:sz w:val="18"/>
                <w:szCs w:val="18"/>
              </w:rPr>
            </w:pPr>
            <w:r>
              <w:rPr>
                <w:rFonts w:cstheme="minorHAnsi"/>
                <w:b/>
                <w:bCs/>
                <w:sz w:val="18"/>
                <w:szCs w:val="18"/>
              </w:rPr>
              <w:t>VIII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23B95DA8" w14:textId="77777777" w:rsidR="0034322D" w:rsidRDefault="0034322D" w:rsidP="00931169">
            <w:pPr>
              <w:rPr>
                <w:rFonts w:cstheme="minorHAnsi"/>
                <w:b/>
                <w:bCs/>
                <w:sz w:val="18"/>
                <w:szCs w:val="18"/>
              </w:rPr>
            </w:pPr>
            <w:r>
              <w:rPr>
                <w:rFonts w:cstheme="minorHAnsi"/>
                <w:b/>
                <w:bCs/>
                <w:sz w:val="18"/>
                <w:szCs w:val="18"/>
              </w:rPr>
              <w:t>IX</w:t>
            </w:r>
          </w:p>
        </w:tc>
        <w:tc>
          <w:tcPr>
            <w:tcW w:w="516" w:type="dxa"/>
            <w:tcBorders>
              <w:top w:val="single" w:sz="4" w:space="0" w:color="auto"/>
              <w:left w:val="single" w:sz="4" w:space="0" w:color="auto"/>
              <w:bottom w:val="single" w:sz="4" w:space="0" w:color="auto"/>
              <w:right w:val="single" w:sz="4" w:space="0" w:color="auto"/>
            </w:tcBorders>
            <w:vAlign w:val="center"/>
            <w:hideMark/>
          </w:tcPr>
          <w:p w14:paraId="194AB3B3" w14:textId="77777777" w:rsidR="0034322D" w:rsidRDefault="0034322D" w:rsidP="00931169">
            <w:pPr>
              <w:rPr>
                <w:rFonts w:cstheme="minorHAnsi"/>
                <w:b/>
                <w:bCs/>
                <w:sz w:val="18"/>
                <w:szCs w:val="18"/>
              </w:rPr>
            </w:pPr>
            <w:r>
              <w:rPr>
                <w:rFonts w:cstheme="minorHAnsi"/>
                <w:b/>
                <w:bCs/>
                <w:sz w:val="18"/>
                <w:szCs w:val="18"/>
              </w:rPr>
              <w:t>X</w:t>
            </w:r>
          </w:p>
        </w:tc>
        <w:tc>
          <w:tcPr>
            <w:tcW w:w="516" w:type="dxa"/>
            <w:tcBorders>
              <w:top w:val="single" w:sz="4" w:space="0" w:color="auto"/>
              <w:left w:val="single" w:sz="4" w:space="0" w:color="auto"/>
              <w:bottom w:val="single" w:sz="4" w:space="0" w:color="auto"/>
              <w:right w:val="single" w:sz="4" w:space="0" w:color="auto"/>
            </w:tcBorders>
            <w:vAlign w:val="center"/>
            <w:hideMark/>
          </w:tcPr>
          <w:p w14:paraId="61DCA04F" w14:textId="77777777" w:rsidR="0034322D" w:rsidRDefault="0034322D" w:rsidP="00931169">
            <w:pPr>
              <w:rPr>
                <w:rFonts w:cstheme="minorHAnsi"/>
                <w:b/>
                <w:bCs/>
                <w:sz w:val="18"/>
                <w:szCs w:val="18"/>
              </w:rPr>
            </w:pPr>
            <w:r>
              <w:rPr>
                <w:rFonts w:cstheme="minorHAnsi"/>
                <w:b/>
                <w:bCs/>
                <w:sz w:val="18"/>
                <w:szCs w:val="18"/>
              </w:rPr>
              <w:t>XI</w:t>
            </w:r>
          </w:p>
        </w:tc>
        <w:tc>
          <w:tcPr>
            <w:tcW w:w="516" w:type="dxa"/>
            <w:tcBorders>
              <w:top w:val="single" w:sz="4" w:space="0" w:color="auto"/>
              <w:left w:val="single" w:sz="4" w:space="0" w:color="auto"/>
              <w:bottom w:val="single" w:sz="4" w:space="0" w:color="auto"/>
              <w:right w:val="single" w:sz="4" w:space="0" w:color="auto"/>
            </w:tcBorders>
            <w:vAlign w:val="center"/>
            <w:hideMark/>
          </w:tcPr>
          <w:p w14:paraId="67FEDF12" w14:textId="77777777" w:rsidR="0034322D" w:rsidRDefault="0034322D" w:rsidP="00931169">
            <w:pPr>
              <w:rPr>
                <w:rFonts w:cstheme="minorHAnsi"/>
                <w:b/>
                <w:bCs/>
                <w:sz w:val="18"/>
                <w:szCs w:val="18"/>
              </w:rPr>
            </w:pPr>
            <w:r>
              <w:rPr>
                <w:rFonts w:cstheme="minorHAnsi"/>
                <w:b/>
                <w:bCs/>
                <w:sz w:val="18"/>
                <w:szCs w:val="18"/>
              </w:rPr>
              <w:t>XII</w:t>
            </w:r>
          </w:p>
        </w:tc>
        <w:tc>
          <w:tcPr>
            <w:tcW w:w="517" w:type="dxa"/>
            <w:tcBorders>
              <w:top w:val="single" w:sz="4" w:space="0" w:color="auto"/>
              <w:left w:val="single" w:sz="4" w:space="0" w:color="auto"/>
              <w:bottom w:val="single" w:sz="4" w:space="0" w:color="auto"/>
              <w:right w:val="single" w:sz="4" w:space="0" w:color="auto"/>
            </w:tcBorders>
            <w:vAlign w:val="center"/>
            <w:hideMark/>
          </w:tcPr>
          <w:p w14:paraId="37C0B6B7" w14:textId="77777777" w:rsidR="0034322D" w:rsidRDefault="0034322D" w:rsidP="00931169">
            <w:pPr>
              <w:rPr>
                <w:rFonts w:cstheme="minorHAnsi"/>
                <w:b/>
                <w:bCs/>
                <w:sz w:val="18"/>
                <w:szCs w:val="18"/>
              </w:rPr>
            </w:pPr>
            <w:r>
              <w:rPr>
                <w:rFonts w:cstheme="minorHAnsi"/>
                <w:b/>
                <w:bCs/>
                <w:sz w:val="18"/>
                <w:szCs w:val="18"/>
              </w:rPr>
              <w:t>Rok</w:t>
            </w:r>
          </w:p>
        </w:tc>
      </w:tr>
      <w:tr w:rsidR="0034322D" w14:paraId="2BFDE13A" w14:textId="77777777" w:rsidTr="0034322D">
        <w:tc>
          <w:tcPr>
            <w:tcW w:w="0" w:type="auto"/>
            <w:tcBorders>
              <w:top w:val="single" w:sz="4" w:space="0" w:color="auto"/>
              <w:left w:val="single" w:sz="4" w:space="0" w:color="auto"/>
              <w:bottom w:val="single" w:sz="4" w:space="0" w:color="auto"/>
              <w:right w:val="single" w:sz="4" w:space="0" w:color="auto"/>
            </w:tcBorders>
            <w:vAlign w:val="center"/>
            <w:hideMark/>
          </w:tcPr>
          <w:p w14:paraId="4AA5E5A2" w14:textId="77777777" w:rsidR="0034322D" w:rsidRDefault="0034322D" w:rsidP="00931169">
            <w:pPr>
              <w:rPr>
                <w:rFonts w:cstheme="minorHAnsi"/>
                <w:sz w:val="22"/>
              </w:rPr>
            </w:pPr>
            <w:r>
              <w:rPr>
                <w:rFonts w:cstheme="minorHAnsi"/>
                <w:b/>
                <w:bCs/>
                <w:sz w:val="18"/>
                <w:szCs w:val="18"/>
              </w:rPr>
              <w:t>Čadca</w:t>
            </w:r>
          </w:p>
        </w:tc>
        <w:tc>
          <w:tcPr>
            <w:tcW w:w="0" w:type="auto"/>
            <w:tcBorders>
              <w:top w:val="single" w:sz="4" w:space="0" w:color="auto"/>
              <w:left w:val="single" w:sz="4" w:space="0" w:color="auto"/>
              <w:bottom w:val="single" w:sz="4" w:space="0" w:color="auto"/>
              <w:right w:val="single" w:sz="4" w:space="0" w:color="auto"/>
            </w:tcBorders>
            <w:vAlign w:val="center"/>
            <w:hideMark/>
          </w:tcPr>
          <w:p w14:paraId="59674B18" w14:textId="77777777" w:rsidR="0034322D" w:rsidRDefault="0034322D" w:rsidP="00931169">
            <w:pPr>
              <w:rPr>
                <w:rFonts w:cstheme="minorHAnsi"/>
                <w:sz w:val="18"/>
                <w:szCs w:val="18"/>
              </w:rPr>
            </w:pPr>
            <w:r>
              <w:rPr>
                <w:rFonts w:cstheme="minorHAnsi"/>
                <w:sz w:val="18"/>
                <w:szCs w:val="18"/>
              </w:rPr>
              <w:t>-2,7</w:t>
            </w:r>
          </w:p>
        </w:tc>
        <w:tc>
          <w:tcPr>
            <w:tcW w:w="516" w:type="dxa"/>
            <w:tcBorders>
              <w:top w:val="single" w:sz="4" w:space="0" w:color="auto"/>
              <w:left w:val="single" w:sz="4" w:space="0" w:color="auto"/>
              <w:bottom w:val="single" w:sz="4" w:space="0" w:color="auto"/>
              <w:right w:val="single" w:sz="4" w:space="0" w:color="auto"/>
            </w:tcBorders>
            <w:vAlign w:val="center"/>
            <w:hideMark/>
          </w:tcPr>
          <w:p w14:paraId="6AB8D05A" w14:textId="77777777" w:rsidR="0034322D" w:rsidRDefault="0034322D" w:rsidP="00931169">
            <w:pPr>
              <w:rPr>
                <w:rFonts w:cstheme="minorHAnsi"/>
                <w:sz w:val="18"/>
                <w:szCs w:val="18"/>
              </w:rPr>
            </w:pPr>
            <w:r>
              <w:rPr>
                <w:rFonts w:cstheme="minorHAnsi"/>
                <w:sz w:val="18"/>
                <w:szCs w:val="18"/>
              </w:rPr>
              <w:t>-1,5</w:t>
            </w:r>
          </w:p>
        </w:tc>
        <w:tc>
          <w:tcPr>
            <w:tcW w:w="516" w:type="dxa"/>
            <w:tcBorders>
              <w:top w:val="single" w:sz="4" w:space="0" w:color="auto"/>
              <w:left w:val="single" w:sz="4" w:space="0" w:color="auto"/>
              <w:bottom w:val="single" w:sz="4" w:space="0" w:color="auto"/>
              <w:right w:val="single" w:sz="4" w:space="0" w:color="auto"/>
            </w:tcBorders>
            <w:vAlign w:val="center"/>
            <w:hideMark/>
          </w:tcPr>
          <w:p w14:paraId="4F1DF778" w14:textId="77777777" w:rsidR="0034322D" w:rsidRDefault="0034322D" w:rsidP="00931169">
            <w:pPr>
              <w:rPr>
                <w:rFonts w:cstheme="minorHAnsi"/>
                <w:sz w:val="18"/>
                <w:szCs w:val="18"/>
              </w:rPr>
            </w:pPr>
            <w:r>
              <w:rPr>
                <w:rFonts w:cstheme="minorHAnsi"/>
                <w:sz w:val="18"/>
                <w:szCs w:val="18"/>
              </w:rPr>
              <w:t>2,2</w:t>
            </w:r>
          </w:p>
        </w:tc>
        <w:tc>
          <w:tcPr>
            <w:tcW w:w="516" w:type="dxa"/>
            <w:tcBorders>
              <w:top w:val="single" w:sz="4" w:space="0" w:color="auto"/>
              <w:left w:val="single" w:sz="4" w:space="0" w:color="auto"/>
              <w:bottom w:val="single" w:sz="4" w:space="0" w:color="auto"/>
              <w:right w:val="single" w:sz="4" w:space="0" w:color="auto"/>
            </w:tcBorders>
            <w:vAlign w:val="center"/>
            <w:hideMark/>
          </w:tcPr>
          <w:p w14:paraId="4BAB8A37" w14:textId="77777777" w:rsidR="0034322D" w:rsidRDefault="0034322D" w:rsidP="00931169">
            <w:pPr>
              <w:rPr>
                <w:rFonts w:cstheme="minorHAnsi"/>
                <w:sz w:val="18"/>
                <w:szCs w:val="18"/>
              </w:rPr>
            </w:pPr>
            <w:r>
              <w:rPr>
                <w:rFonts w:cstheme="minorHAnsi"/>
                <w:sz w:val="18"/>
                <w:szCs w:val="18"/>
              </w:rPr>
              <w:t>6,7</w:t>
            </w:r>
          </w:p>
        </w:tc>
        <w:tc>
          <w:tcPr>
            <w:tcW w:w="516" w:type="dxa"/>
            <w:tcBorders>
              <w:top w:val="single" w:sz="4" w:space="0" w:color="auto"/>
              <w:left w:val="single" w:sz="4" w:space="0" w:color="auto"/>
              <w:bottom w:val="single" w:sz="4" w:space="0" w:color="auto"/>
              <w:right w:val="single" w:sz="4" w:space="0" w:color="auto"/>
            </w:tcBorders>
            <w:vAlign w:val="center"/>
            <w:hideMark/>
          </w:tcPr>
          <w:p w14:paraId="0EE22EBC" w14:textId="77777777" w:rsidR="0034322D" w:rsidRDefault="0034322D" w:rsidP="00931169">
            <w:pPr>
              <w:rPr>
                <w:rFonts w:cstheme="minorHAnsi"/>
                <w:sz w:val="18"/>
                <w:szCs w:val="18"/>
              </w:rPr>
            </w:pPr>
            <w:r>
              <w:rPr>
                <w:rFonts w:cstheme="minorHAnsi"/>
                <w:sz w:val="18"/>
                <w:szCs w:val="18"/>
              </w:rPr>
              <w:t>12,2</w:t>
            </w:r>
          </w:p>
        </w:tc>
        <w:tc>
          <w:tcPr>
            <w:tcW w:w="516" w:type="dxa"/>
            <w:tcBorders>
              <w:top w:val="single" w:sz="4" w:space="0" w:color="auto"/>
              <w:left w:val="single" w:sz="4" w:space="0" w:color="auto"/>
              <w:bottom w:val="single" w:sz="4" w:space="0" w:color="auto"/>
              <w:right w:val="single" w:sz="4" w:space="0" w:color="auto"/>
            </w:tcBorders>
            <w:vAlign w:val="center"/>
            <w:hideMark/>
          </w:tcPr>
          <w:p w14:paraId="1627921B" w14:textId="77777777" w:rsidR="0034322D" w:rsidRDefault="0034322D" w:rsidP="00931169">
            <w:pPr>
              <w:rPr>
                <w:rFonts w:cstheme="minorHAnsi"/>
                <w:sz w:val="18"/>
                <w:szCs w:val="18"/>
              </w:rPr>
            </w:pPr>
            <w:r>
              <w:rPr>
                <w:rFonts w:cstheme="minorHAnsi"/>
                <w:sz w:val="18"/>
                <w:szCs w:val="18"/>
              </w:rPr>
              <w:t>15,0</w:t>
            </w:r>
          </w:p>
        </w:tc>
        <w:tc>
          <w:tcPr>
            <w:tcW w:w="517" w:type="dxa"/>
            <w:tcBorders>
              <w:top w:val="single" w:sz="4" w:space="0" w:color="auto"/>
              <w:left w:val="single" w:sz="4" w:space="0" w:color="auto"/>
              <w:bottom w:val="single" w:sz="4" w:space="0" w:color="auto"/>
              <w:right w:val="single" w:sz="4" w:space="0" w:color="auto"/>
            </w:tcBorders>
            <w:vAlign w:val="center"/>
            <w:hideMark/>
          </w:tcPr>
          <w:p w14:paraId="071CC4F1" w14:textId="77777777" w:rsidR="0034322D" w:rsidRDefault="0034322D" w:rsidP="00931169">
            <w:pPr>
              <w:rPr>
                <w:rFonts w:cstheme="minorHAnsi"/>
                <w:sz w:val="18"/>
                <w:szCs w:val="18"/>
              </w:rPr>
            </w:pPr>
            <w:r>
              <w:rPr>
                <w:rFonts w:cstheme="minorHAnsi"/>
                <w:sz w:val="18"/>
                <w:szCs w:val="18"/>
              </w:rPr>
              <w:t>16,6</w:t>
            </w:r>
          </w:p>
        </w:tc>
        <w:tc>
          <w:tcPr>
            <w:tcW w:w="516" w:type="dxa"/>
            <w:tcBorders>
              <w:top w:val="single" w:sz="4" w:space="0" w:color="auto"/>
              <w:left w:val="single" w:sz="4" w:space="0" w:color="auto"/>
              <w:bottom w:val="single" w:sz="4" w:space="0" w:color="auto"/>
              <w:right w:val="single" w:sz="4" w:space="0" w:color="auto"/>
            </w:tcBorders>
            <w:vAlign w:val="center"/>
            <w:hideMark/>
          </w:tcPr>
          <w:p w14:paraId="75BC0EB0" w14:textId="77777777" w:rsidR="0034322D" w:rsidRDefault="0034322D" w:rsidP="00931169">
            <w:pPr>
              <w:rPr>
                <w:rFonts w:cstheme="minorHAnsi"/>
                <w:sz w:val="18"/>
                <w:szCs w:val="18"/>
              </w:rPr>
            </w:pPr>
            <w:r>
              <w:rPr>
                <w:rFonts w:cstheme="minorHAnsi"/>
                <w:sz w:val="18"/>
                <w:szCs w:val="18"/>
              </w:rPr>
              <w:t>16,1</w:t>
            </w:r>
          </w:p>
        </w:tc>
        <w:tc>
          <w:tcPr>
            <w:tcW w:w="516" w:type="dxa"/>
            <w:tcBorders>
              <w:top w:val="single" w:sz="4" w:space="0" w:color="auto"/>
              <w:left w:val="single" w:sz="4" w:space="0" w:color="auto"/>
              <w:bottom w:val="single" w:sz="4" w:space="0" w:color="auto"/>
              <w:right w:val="single" w:sz="4" w:space="0" w:color="auto"/>
            </w:tcBorders>
            <w:vAlign w:val="center"/>
            <w:hideMark/>
          </w:tcPr>
          <w:p w14:paraId="4A8C7E88" w14:textId="77777777" w:rsidR="0034322D" w:rsidRDefault="0034322D" w:rsidP="00931169">
            <w:pPr>
              <w:rPr>
                <w:rFonts w:cstheme="minorHAnsi"/>
                <w:sz w:val="18"/>
                <w:szCs w:val="18"/>
              </w:rPr>
            </w:pPr>
            <w:r>
              <w:rPr>
                <w:rFonts w:cstheme="minorHAnsi"/>
                <w:sz w:val="18"/>
                <w:szCs w:val="18"/>
              </w:rPr>
              <w:t>12,1</w:t>
            </w:r>
          </w:p>
        </w:tc>
        <w:tc>
          <w:tcPr>
            <w:tcW w:w="516" w:type="dxa"/>
            <w:tcBorders>
              <w:top w:val="single" w:sz="4" w:space="0" w:color="auto"/>
              <w:left w:val="single" w:sz="4" w:space="0" w:color="auto"/>
              <w:bottom w:val="single" w:sz="4" w:space="0" w:color="auto"/>
              <w:right w:val="single" w:sz="4" w:space="0" w:color="auto"/>
            </w:tcBorders>
            <w:vAlign w:val="center"/>
            <w:hideMark/>
          </w:tcPr>
          <w:p w14:paraId="0ADF0658" w14:textId="77777777" w:rsidR="0034322D" w:rsidRDefault="0034322D" w:rsidP="00931169">
            <w:pPr>
              <w:rPr>
                <w:rFonts w:cstheme="minorHAnsi"/>
                <w:sz w:val="18"/>
                <w:szCs w:val="18"/>
              </w:rPr>
            </w:pPr>
            <w:r>
              <w:rPr>
                <w:rFonts w:cstheme="minorHAnsi"/>
                <w:sz w:val="18"/>
                <w:szCs w:val="18"/>
              </w:rPr>
              <w:t>7,6</w:t>
            </w:r>
          </w:p>
        </w:tc>
        <w:tc>
          <w:tcPr>
            <w:tcW w:w="516" w:type="dxa"/>
            <w:tcBorders>
              <w:top w:val="single" w:sz="4" w:space="0" w:color="auto"/>
              <w:left w:val="single" w:sz="4" w:space="0" w:color="auto"/>
              <w:bottom w:val="single" w:sz="4" w:space="0" w:color="auto"/>
              <w:right w:val="single" w:sz="4" w:space="0" w:color="auto"/>
            </w:tcBorders>
            <w:vAlign w:val="center"/>
            <w:hideMark/>
          </w:tcPr>
          <w:p w14:paraId="290316C4" w14:textId="77777777" w:rsidR="0034322D" w:rsidRDefault="0034322D" w:rsidP="00931169">
            <w:pPr>
              <w:rPr>
                <w:rFonts w:cstheme="minorHAnsi"/>
                <w:sz w:val="18"/>
                <w:szCs w:val="18"/>
              </w:rPr>
            </w:pPr>
            <w:r>
              <w:rPr>
                <w:rFonts w:cstheme="minorHAnsi"/>
                <w:sz w:val="18"/>
                <w:szCs w:val="18"/>
              </w:rPr>
              <w:t>2,4</w:t>
            </w:r>
          </w:p>
        </w:tc>
        <w:tc>
          <w:tcPr>
            <w:tcW w:w="516" w:type="dxa"/>
            <w:tcBorders>
              <w:top w:val="single" w:sz="4" w:space="0" w:color="auto"/>
              <w:left w:val="single" w:sz="4" w:space="0" w:color="auto"/>
              <w:bottom w:val="single" w:sz="4" w:space="0" w:color="auto"/>
              <w:right w:val="single" w:sz="4" w:space="0" w:color="auto"/>
            </w:tcBorders>
            <w:vAlign w:val="center"/>
            <w:hideMark/>
          </w:tcPr>
          <w:p w14:paraId="768D2AE7" w14:textId="77777777" w:rsidR="0034322D" w:rsidRDefault="0034322D" w:rsidP="00931169">
            <w:pPr>
              <w:rPr>
                <w:rFonts w:cstheme="minorHAnsi"/>
                <w:sz w:val="18"/>
                <w:szCs w:val="18"/>
              </w:rPr>
            </w:pPr>
            <w:r>
              <w:rPr>
                <w:rFonts w:cstheme="minorHAnsi"/>
                <w:sz w:val="18"/>
                <w:szCs w:val="18"/>
              </w:rPr>
              <w:t>-1,3</w:t>
            </w:r>
          </w:p>
        </w:tc>
        <w:tc>
          <w:tcPr>
            <w:tcW w:w="517" w:type="dxa"/>
            <w:tcBorders>
              <w:top w:val="single" w:sz="4" w:space="0" w:color="auto"/>
              <w:left w:val="single" w:sz="4" w:space="0" w:color="auto"/>
              <w:bottom w:val="single" w:sz="4" w:space="0" w:color="auto"/>
              <w:right w:val="single" w:sz="4" w:space="0" w:color="auto"/>
            </w:tcBorders>
            <w:vAlign w:val="center"/>
            <w:hideMark/>
          </w:tcPr>
          <w:p w14:paraId="20B3C79F" w14:textId="77777777" w:rsidR="0034322D" w:rsidRDefault="0034322D" w:rsidP="00931169">
            <w:pPr>
              <w:rPr>
                <w:rFonts w:cstheme="minorHAnsi"/>
                <w:sz w:val="18"/>
                <w:szCs w:val="18"/>
              </w:rPr>
            </w:pPr>
            <w:r>
              <w:rPr>
                <w:rFonts w:cstheme="minorHAnsi"/>
                <w:sz w:val="18"/>
                <w:szCs w:val="18"/>
              </w:rPr>
              <w:t>7,1</w:t>
            </w:r>
          </w:p>
        </w:tc>
      </w:tr>
      <w:tr w:rsidR="0034322D" w14:paraId="1A6DF367" w14:textId="77777777" w:rsidTr="0034322D">
        <w:tc>
          <w:tcPr>
            <w:tcW w:w="0" w:type="auto"/>
            <w:tcBorders>
              <w:top w:val="single" w:sz="4" w:space="0" w:color="auto"/>
              <w:left w:val="single" w:sz="4" w:space="0" w:color="auto"/>
              <w:bottom w:val="single" w:sz="4" w:space="0" w:color="auto"/>
              <w:right w:val="single" w:sz="4" w:space="0" w:color="auto"/>
            </w:tcBorders>
            <w:vAlign w:val="center"/>
            <w:hideMark/>
          </w:tcPr>
          <w:p w14:paraId="45B625F8" w14:textId="77777777" w:rsidR="0034322D" w:rsidRDefault="0034322D" w:rsidP="00931169">
            <w:pPr>
              <w:rPr>
                <w:rFonts w:cstheme="minorHAnsi"/>
                <w:b/>
                <w:bCs/>
                <w:sz w:val="18"/>
                <w:szCs w:val="18"/>
              </w:rPr>
            </w:pPr>
            <w:r>
              <w:rPr>
                <w:rFonts w:cstheme="minorHAnsi"/>
                <w:b/>
                <w:bCs/>
                <w:sz w:val="18"/>
                <w:szCs w:val="18"/>
              </w:rPr>
              <w:t>Krásno nad Kysucou*</w:t>
            </w:r>
          </w:p>
        </w:tc>
        <w:tc>
          <w:tcPr>
            <w:tcW w:w="0" w:type="auto"/>
            <w:tcBorders>
              <w:top w:val="single" w:sz="4" w:space="0" w:color="auto"/>
              <w:left w:val="single" w:sz="4" w:space="0" w:color="auto"/>
              <w:bottom w:val="single" w:sz="4" w:space="0" w:color="auto"/>
              <w:right w:val="single" w:sz="4" w:space="0" w:color="auto"/>
            </w:tcBorders>
            <w:vAlign w:val="center"/>
            <w:hideMark/>
          </w:tcPr>
          <w:p w14:paraId="77DB61E6" w14:textId="77777777" w:rsidR="0034322D" w:rsidRDefault="0034322D" w:rsidP="00931169">
            <w:pPr>
              <w:rPr>
                <w:rFonts w:cstheme="minorHAnsi"/>
                <w:sz w:val="18"/>
                <w:szCs w:val="18"/>
              </w:rPr>
            </w:pPr>
            <w:r>
              <w:rPr>
                <w:rFonts w:cstheme="minorHAnsi"/>
                <w:sz w:val="18"/>
                <w:szCs w:val="18"/>
              </w:rPr>
              <w:t>-3,6</w:t>
            </w:r>
          </w:p>
        </w:tc>
        <w:tc>
          <w:tcPr>
            <w:tcW w:w="516" w:type="dxa"/>
            <w:tcBorders>
              <w:top w:val="single" w:sz="4" w:space="0" w:color="auto"/>
              <w:left w:val="single" w:sz="4" w:space="0" w:color="auto"/>
              <w:bottom w:val="single" w:sz="4" w:space="0" w:color="auto"/>
              <w:right w:val="single" w:sz="4" w:space="0" w:color="auto"/>
            </w:tcBorders>
            <w:vAlign w:val="center"/>
            <w:hideMark/>
          </w:tcPr>
          <w:p w14:paraId="3647A759" w14:textId="77777777" w:rsidR="0034322D" w:rsidRDefault="0034322D" w:rsidP="00931169">
            <w:pPr>
              <w:rPr>
                <w:rFonts w:cstheme="minorHAnsi"/>
                <w:sz w:val="18"/>
                <w:szCs w:val="18"/>
              </w:rPr>
            </w:pPr>
            <w:r>
              <w:rPr>
                <w:rFonts w:cstheme="minorHAnsi"/>
                <w:sz w:val="18"/>
                <w:szCs w:val="18"/>
              </w:rPr>
              <w:t>-2,0</w:t>
            </w:r>
          </w:p>
        </w:tc>
        <w:tc>
          <w:tcPr>
            <w:tcW w:w="516" w:type="dxa"/>
            <w:tcBorders>
              <w:top w:val="single" w:sz="4" w:space="0" w:color="auto"/>
              <w:left w:val="single" w:sz="4" w:space="0" w:color="auto"/>
              <w:bottom w:val="single" w:sz="4" w:space="0" w:color="auto"/>
              <w:right w:val="single" w:sz="4" w:space="0" w:color="auto"/>
            </w:tcBorders>
            <w:vAlign w:val="center"/>
            <w:hideMark/>
          </w:tcPr>
          <w:p w14:paraId="75EBBF4B" w14:textId="77777777" w:rsidR="0034322D" w:rsidRDefault="0034322D" w:rsidP="00931169">
            <w:pPr>
              <w:rPr>
                <w:rFonts w:cstheme="minorHAnsi"/>
                <w:sz w:val="18"/>
                <w:szCs w:val="18"/>
              </w:rPr>
            </w:pPr>
            <w:r>
              <w:rPr>
                <w:rFonts w:cstheme="minorHAnsi"/>
                <w:sz w:val="18"/>
                <w:szCs w:val="18"/>
              </w:rPr>
              <w:t>1,7</w:t>
            </w:r>
          </w:p>
        </w:tc>
        <w:tc>
          <w:tcPr>
            <w:tcW w:w="516" w:type="dxa"/>
            <w:tcBorders>
              <w:top w:val="single" w:sz="4" w:space="0" w:color="auto"/>
              <w:left w:val="single" w:sz="4" w:space="0" w:color="auto"/>
              <w:bottom w:val="single" w:sz="4" w:space="0" w:color="auto"/>
              <w:right w:val="single" w:sz="4" w:space="0" w:color="auto"/>
            </w:tcBorders>
            <w:vAlign w:val="center"/>
            <w:hideMark/>
          </w:tcPr>
          <w:p w14:paraId="7016A8C3" w14:textId="77777777" w:rsidR="0034322D" w:rsidRDefault="0034322D" w:rsidP="00931169">
            <w:pPr>
              <w:rPr>
                <w:rFonts w:cstheme="minorHAnsi"/>
                <w:sz w:val="18"/>
                <w:szCs w:val="18"/>
              </w:rPr>
            </w:pPr>
            <w:r>
              <w:rPr>
                <w:rFonts w:cstheme="minorHAnsi"/>
                <w:sz w:val="18"/>
                <w:szCs w:val="18"/>
              </w:rPr>
              <w:t>6,8</w:t>
            </w:r>
          </w:p>
        </w:tc>
        <w:tc>
          <w:tcPr>
            <w:tcW w:w="516" w:type="dxa"/>
            <w:tcBorders>
              <w:top w:val="single" w:sz="4" w:space="0" w:color="auto"/>
              <w:left w:val="single" w:sz="4" w:space="0" w:color="auto"/>
              <w:bottom w:val="single" w:sz="4" w:space="0" w:color="auto"/>
              <w:right w:val="single" w:sz="4" w:space="0" w:color="auto"/>
            </w:tcBorders>
            <w:vAlign w:val="center"/>
            <w:hideMark/>
          </w:tcPr>
          <w:p w14:paraId="30553F3F" w14:textId="77777777" w:rsidR="0034322D" w:rsidRDefault="0034322D" w:rsidP="00931169">
            <w:pPr>
              <w:rPr>
                <w:rFonts w:cstheme="minorHAnsi"/>
                <w:sz w:val="18"/>
                <w:szCs w:val="18"/>
              </w:rPr>
            </w:pPr>
            <w:r>
              <w:rPr>
                <w:rFonts w:cstheme="minorHAnsi"/>
                <w:sz w:val="18"/>
                <w:szCs w:val="18"/>
              </w:rPr>
              <w:t>11,7</w:t>
            </w:r>
          </w:p>
        </w:tc>
        <w:tc>
          <w:tcPr>
            <w:tcW w:w="516" w:type="dxa"/>
            <w:tcBorders>
              <w:top w:val="single" w:sz="4" w:space="0" w:color="auto"/>
              <w:left w:val="single" w:sz="4" w:space="0" w:color="auto"/>
              <w:bottom w:val="single" w:sz="4" w:space="0" w:color="auto"/>
              <w:right w:val="single" w:sz="4" w:space="0" w:color="auto"/>
            </w:tcBorders>
            <w:vAlign w:val="center"/>
            <w:hideMark/>
          </w:tcPr>
          <w:p w14:paraId="516817D9" w14:textId="77777777" w:rsidR="0034322D" w:rsidRDefault="0034322D" w:rsidP="00931169">
            <w:pPr>
              <w:rPr>
                <w:rFonts w:cstheme="minorHAnsi"/>
                <w:sz w:val="18"/>
                <w:szCs w:val="18"/>
              </w:rPr>
            </w:pPr>
            <w:r>
              <w:rPr>
                <w:rFonts w:cstheme="minorHAnsi"/>
                <w:sz w:val="18"/>
                <w:szCs w:val="18"/>
              </w:rPr>
              <w:t>15,4</w:t>
            </w:r>
          </w:p>
        </w:tc>
        <w:tc>
          <w:tcPr>
            <w:tcW w:w="517" w:type="dxa"/>
            <w:tcBorders>
              <w:top w:val="single" w:sz="4" w:space="0" w:color="auto"/>
              <w:left w:val="single" w:sz="4" w:space="0" w:color="auto"/>
              <w:bottom w:val="single" w:sz="4" w:space="0" w:color="auto"/>
              <w:right w:val="single" w:sz="4" w:space="0" w:color="auto"/>
            </w:tcBorders>
            <w:vAlign w:val="center"/>
            <w:hideMark/>
          </w:tcPr>
          <w:p w14:paraId="2167B002" w14:textId="77777777" w:rsidR="0034322D" w:rsidRDefault="0034322D" w:rsidP="00931169">
            <w:pPr>
              <w:rPr>
                <w:rFonts w:cstheme="minorHAnsi"/>
                <w:sz w:val="18"/>
                <w:szCs w:val="18"/>
              </w:rPr>
            </w:pPr>
            <w:r>
              <w:rPr>
                <w:rFonts w:cstheme="minorHAnsi"/>
                <w:sz w:val="18"/>
                <w:szCs w:val="18"/>
              </w:rPr>
              <w:t>16,6</w:t>
            </w:r>
          </w:p>
        </w:tc>
        <w:tc>
          <w:tcPr>
            <w:tcW w:w="516" w:type="dxa"/>
            <w:tcBorders>
              <w:top w:val="single" w:sz="4" w:space="0" w:color="auto"/>
              <w:left w:val="single" w:sz="4" w:space="0" w:color="auto"/>
              <w:bottom w:val="single" w:sz="4" w:space="0" w:color="auto"/>
              <w:right w:val="single" w:sz="4" w:space="0" w:color="auto"/>
            </w:tcBorders>
            <w:vAlign w:val="center"/>
            <w:hideMark/>
          </w:tcPr>
          <w:p w14:paraId="21D7FDD7" w14:textId="77777777" w:rsidR="0034322D" w:rsidRDefault="0034322D" w:rsidP="00931169">
            <w:pPr>
              <w:rPr>
                <w:rFonts w:cstheme="minorHAnsi"/>
                <w:sz w:val="18"/>
                <w:szCs w:val="18"/>
              </w:rPr>
            </w:pPr>
            <w:r>
              <w:rPr>
                <w:rFonts w:cstheme="minorHAnsi"/>
                <w:sz w:val="18"/>
                <w:szCs w:val="18"/>
              </w:rPr>
              <w:t>16,0</w:t>
            </w:r>
          </w:p>
        </w:tc>
        <w:tc>
          <w:tcPr>
            <w:tcW w:w="516" w:type="dxa"/>
            <w:tcBorders>
              <w:top w:val="single" w:sz="4" w:space="0" w:color="auto"/>
              <w:left w:val="single" w:sz="4" w:space="0" w:color="auto"/>
              <w:bottom w:val="single" w:sz="4" w:space="0" w:color="auto"/>
              <w:right w:val="single" w:sz="4" w:space="0" w:color="auto"/>
            </w:tcBorders>
            <w:vAlign w:val="center"/>
            <w:hideMark/>
          </w:tcPr>
          <w:p w14:paraId="7631F506" w14:textId="77777777" w:rsidR="0034322D" w:rsidRDefault="0034322D" w:rsidP="00931169">
            <w:pPr>
              <w:rPr>
                <w:rFonts w:cstheme="minorHAnsi"/>
                <w:sz w:val="18"/>
                <w:szCs w:val="18"/>
              </w:rPr>
            </w:pPr>
            <w:r>
              <w:rPr>
                <w:rFonts w:cstheme="minorHAnsi"/>
                <w:sz w:val="18"/>
                <w:szCs w:val="18"/>
              </w:rPr>
              <w:t>12,3</w:t>
            </w:r>
          </w:p>
        </w:tc>
        <w:tc>
          <w:tcPr>
            <w:tcW w:w="516" w:type="dxa"/>
            <w:tcBorders>
              <w:top w:val="single" w:sz="4" w:space="0" w:color="auto"/>
              <w:left w:val="single" w:sz="4" w:space="0" w:color="auto"/>
              <w:bottom w:val="single" w:sz="4" w:space="0" w:color="auto"/>
              <w:right w:val="single" w:sz="4" w:space="0" w:color="auto"/>
            </w:tcBorders>
            <w:vAlign w:val="center"/>
            <w:hideMark/>
          </w:tcPr>
          <w:p w14:paraId="7591D1CD" w14:textId="77777777" w:rsidR="0034322D" w:rsidRDefault="0034322D" w:rsidP="00931169">
            <w:pPr>
              <w:rPr>
                <w:rFonts w:cstheme="minorHAnsi"/>
                <w:sz w:val="18"/>
                <w:szCs w:val="18"/>
              </w:rPr>
            </w:pPr>
            <w:r>
              <w:rPr>
                <w:rFonts w:cstheme="minorHAnsi"/>
                <w:sz w:val="18"/>
                <w:szCs w:val="18"/>
              </w:rPr>
              <w:t>7,7</w:t>
            </w:r>
          </w:p>
        </w:tc>
        <w:tc>
          <w:tcPr>
            <w:tcW w:w="516" w:type="dxa"/>
            <w:tcBorders>
              <w:top w:val="single" w:sz="4" w:space="0" w:color="auto"/>
              <w:left w:val="single" w:sz="4" w:space="0" w:color="auto"/>
              <w:bottom w:val="single" w:sz="4" w:space="0" w:color="auto"/>
              <w:right w:val="single" w:sz="4" w:space="0" w:color="auto"/>
            </w:tcBorders>
            <w:vAlign w:val="center"/>
            <w:hideMark/>
          </w:tcPr>
          <w:p w14:paraId="762A9197" w14:textId="77777777" w:rsidR="0034322D" w:rsidRDefault="0034322D" w:rsidP="00931169">
            <w:pPr>
              <w:rPr>
                <w:rFonts w:cstheme="minorHAnsi"/>
                <w:sz w:val="18"/>
                <w:szCs w:val="18"/>
              </w:rPr>
            </w:pPr>
            <w:r>
              <w:rPr>
                <w:rFonts w:cstheme="minorHAnsi"/>
                <w:sz w:val="18"/>
                <w:szCs w:val="18"/>
              </w:rPr>
              <w:t>3,1</w:t>
            </w:r>
          </w:p>
        </w:tc>
        <w:tc>
          <w:tcPr>
            <w:tcW w:w="516" w:type="dxa"/>
            <w:tcBorders>
              <w:top w:val="single" w:sz="4" w:space="0" w:color="auto"/>
              <w:left w:val="single" w:sz="4" w:space="0" w:color="auto"/>
              <w:bottom w:val="single" w:sz="4" w:space="0" w:color="auto"/>
              <w:right w:val="single" w:sz="4" w:space="0" w:color="auto"/>
            </w:tcBorders>
            <w:vAlign w:val="center"/>
            <w:hideMark/>
          </w:tcPr>
          <w:p w14:paraId="5A205241" w14:textId="77777777" w:rsidR="0034322D" w:rsidRDefault="0034322D" w:rsidP="00931169">
            <w:pPr>
              <w:rPr>
                <w:rFonts w:cstheme="minorHAnsi"/>
                <w:sz w:val="18"/>
                <w:szCs w:val="18"/>
              </w:rPr>
            </w:pPr>
            <w:r>
              <w:rPr>
                <w:rFonts w:cstheme="minorHAnsi"/>
                <w:sz w:val="18"/>
                <w:szCs w:val="18"/>
              </w:rPr>
              <w:t>-1,3</w:t>
            </w:r>
          </w:p>
        </w:tc>
        <w:tc>
          <w:tcPr>
            <w:tcW w:w="517" w:type="dxa"/>
            <w:tcBorders>
              <w:top w:val="single" w:sz="4" w:space="0" w:color="auto"/>
              <w:left w:val="single" w:sz="4" w:space="0" w:color="auto"/>
              <w:bottom w:val="single" w:sz="4" w:space="0" w:color="auto"/>
              <w:right w:val="single" w:sz="4" w:space="0" w:color="auto"/>
            </w:tcBorders>
            <w:vAlign w:val="center"/>
            <w:hideMark/>
          </w:tcPr>
          <w:p w14:paraId="25005FF5" w14:textId="77777777" w:rsidR="0034322D" w:rsidRDefault="0034322D" w:rsidP="00931169">
            <w:pPr>
              <w:rPr>
                <w:rFonts w:cstheme="minorHAnsi"/>
                <w:sz w:val="18"/>
                <w:szCs w:val="18"/>
              </w:rPr>
            </w:pPr>
            <w:r>
              <w:rPr>
                <w:rFonts w:cstheme="minorHAnsi"/>
                <w:sz w:val="18"/>
                <w:szCs w:val="18"/>
              </w:rPr>
              <w:t>7,0</w:t>
            </w:r>
          </w:p>
        </w:tc>
      </w:tr>
      <w:tr w:rsidR="0034322D" w14:paraId="231744FA" w14:textId="77777777" w:rsidTr="0034322D">
        <w:tc>
          <w:tcPr>
            <w:tcW w:w="0" w:type="auto"/>
            <w:tcBorders>
              <w:top w:val="single" w:sz="4" w:space="0" w:color="auto"/>
              <w:left w:val="single" w:sz="4" w:space="0" w:color="auto"/>
              <w:bottom w:val="single" w:sz="4" w:space="0" w:color="auto"/>
              <w:right w:val="single" w:sz="4" w:space="0" w:color="auto"/>
            </w:tcBorders>
            <w:vAlign w:val="center"/>
            <w:hideMark/>
          </w:tcPr>
          <w:p w14:paraId="071F6F24" w14:textId="77777777" w:rsidR="0034322D" w:rsidRDefault="0034322D" w:rsidP="00931169">
            <w:pPr>
              <w:rPr>
                <w:rFonts w:cstheme="minorHAnsi"/>
                <w:b/>
                <w:bCs/>
                <w:sz w:val="18"/>
                <w:szCs w:val="18"/>
              </w:rPr>
            </w:pPr>
            <w:r>
              <w:rPr>
                <w:rFonts w:cstheme="minorHAnsi"/>
                <w:b/>
                <w:bCs/>
                <w:sz w:val="18"/>
                <w:szCs w:val="18"/>
              </w:rPr>
              <w:t>Žilina</w:t>
            </w:r>
          </w:p>
        </w:tc>
        <w:tc>
          <w:tcPr>
            <w:tcW w:w="0" w:type="auto"/>
            <w:tcBorders>
              <w:top w:val="single" w:sz="4" w:space="0" w:color="auto"/>
              <w:left w:val="single" w:sz="4" w:space="0" w:color="auto"/>
              <w:bottom w:val="single" w:sz="4" w:space="0" w:color="auto"/>
              <w:right w:val="single" w:sz="4" w:space="0" w:color="auto"/>
            </w:tcBorders>
            <w:vAlign w:val="center"/>
            <w:hideMark/>
          </w:tcPr>
          <w:p w14:paraId="5BF77ECF" w14:textId="77777777" w:rsidR="0034322D" w:rsidRDefault="0034322D" w:rsidP="00931169">
            <w:pPr>
              <w:rPr>
                <w:rFonts w:cstheme="minorHAnsi"/>
                <w:sz w:val="18"/>
                <w:szCs w:val="18"/>
              </w:rPr>
            </w:pPr>
            <w:r>
              <w:rPr>
                <w:rFonts w:cstheme="minorHAnsi"/>
                <w:sz w:val="18"/>
                <w:szCs w:val="18"/>
              </w:rPr>
              <w:t>-2,4</w:t>
            </w:r>
          </w:p>
        </w:tc>
        <w:tc>
          <w:tcPr>
            <w:tcW w:w="516" w:type="dxa"/>
            <w:tcBorders>
              <w:top w:val="single" w:sz="4" w:space="0" w:color="auto"/>
              <w:left w:val="single" w:sz="4" w:space="0" w:color="auto"/>
              <w:bottom w:val="single" w:sz="4" w:space="0" w:color="auto"/>
              <w:right w:val="single" w:sz="4" w:space="0" w:color="auto"/>
            </w:tcBorders>
            <w:vAlign w:val="center"/>
            <w:hideMark/>
          </w:tcPr>
          <w:p w14:paraId="40C8B705" w14:textId="77777777" w:rsidR="0034322D" w:rsidRDefault="0034322D" w:rsidP="00931169">
            <w:pPr>
              <w:rPr>
                <w:rFonts w:cstheme="minorHAnsi"/>
                <w:sz w:val="18"/>
                <w:szCs w:val="18"/>
              </w:rPr>
            </w:pPr>
            <w:r>
              <w:rPr>
                <w:rFonts w:cstheme="minorHAnsi"/>
                <w:sz w:val="18"/>
                <w:szCs w:val="18"/>
              </w:rPr>
              <w:t>-0,7</w:t>
            </w:r>
          </w:p>
        </w:tc>
        <w:tc>
          <w:tcPr>
            <w:tcW w:w="516" w:type="dxa"/>
            <w:tcBorders>
              <w:top w:val="single" w:sz="4" w:space="0" w:color="auto"/>
              <w:left w:val="single" w:sz="4" w:space="0" w:color="auto"/>
              <w:bottom w:val="single" w:sz="4" w:space="0" w:color="auto"/>
              <w:right w:val="single" w:sz="4" w:space="0" w:color="auto"/>
            </w:tcBorders>
            <w:vAlign w:val="center"/>
            <w:hideMark/>
          </w:tcPr>
          <w:p w14:paraId="6F222344" w14:textId="77777777" w:rsidR="0034322D" w:rsidRDefault="0034322D" w:rsidP="00931169">
            <w:pPr>
              <w:rPr>
                <w:rFonts w:cstheme="minorHAnsi"/>
                <w:sz w:val="18"/>
                <w:szCs w:val="18"/>
              </w:rPr>
            </w:pPr>
            <w:r>
              <w:rPr>
                <w:rFonts w:cstheme="minorHAnsi"/>
                <w:sz w:val="18"/>
                <w:szCs w:val="18"/>
              </w:rPr>
              <w:t>3,2</w:t>
            </w:r>
          </w:p>
        </w:tc>
        <w:tc>
          <w:tcPr>
            <w:tcW w:w="516" w:type="dxa"/>
            <w:tcBorders>
              <w:top w:val="single" w:sz="4" w:space="0" w:color="auto"/>
              <w:left w:val="single" w:sz="4" w:space="0" w:color="auto"/>
              <w:bottom w:val="single" w:sz="4" w:space="0" w:color="auto"/>
              <w:right w:val="single" w:sz="4" w:space="0" w:color="auto"/>
            </w:tcBorders>
            <w:vAlign w:val="center"/>
            <w:hideMark/>
          </w:tcPr>
          <w:p w14:paraId="0BAFC97D" w14:textId="77777777" w:rsidR="0034322D" w:rsidRDefault="0034322D" w:rsidP="00931169">
            <w:pPr>
              <w:rPr>
                <w:rFonts w:cstheme="minorHAnsi"/>
                <w:sz w:val="18"/>
                <w:szCs w:val="18"/>
              </w:rPr>
            </w:pPr>
            <w:r>
              <w:rPr>
                <w:rFonts w:cstheme="minorHAnsi"/>
                <w:sz w:val="18"/>
                <w:szCs w:val="18"/>
              </w:rPr>
              <w:t>7,9</w:t>
            </w:r>
          </w:p>
        </w:tc>
        <w:tc>
          <w:tcPr>
            <w:tcW w:w="516" w:type="dxa"/>
            <w:tcBorders>
              <w:top w:val="single" w:sz="4" w:space="0" w:color="auto"/>
              <w:left w:val="single" w:sz="4" w:space="0" w:color="auto"/>
              <w:bottom w:val="single" w:sz="4" w:space="0" w:color="auto"/>
              <w:right w:val="single" w:sz="4" w:space="0" w:color="auto"/>
            </w:tcBorders>
            <w:vAlign w:val="center"/>
            <w:hideMark/>
          </w:tcPr>
          <w:p w14:paraId="71D17588" w14:textId="77777777" w:rsidR="0034322D" w:rsidRDefault="0034322D" w:rsidP="00931169">
            <w:pPr>
              <w:rPr>
                <w:rFonts w:cstheme="minorHAnsi"/>
                <w:sz w:val="18"/>
                <w:szCs w:val="18"/>
              </w:rPr>
            </w:pPr>
            <w:r>
              <w:rPr>
                <w:rFonts w:cstheme="minorHAnsi"/>
                <w:sz w:val="18"/>
                <w:szCs w:val="18"/>
              </w:rPr>
              <w:t>13,3</w:t>
            </w:r>
          </w:p>
        </w:tc>
        <w:tc>
          <w:tcPr>
            <w:tcW w:w="516" w:type="dxa"/>
            <w:tcBorders>
              <w:top w:val="single" w:sz="4" w:space="0" w:color="auto"/>
              <w:left w:val="single" w:sz="4" w:space="0" w:color="auto"/>
              <w:bottom w:val="single" w:sz="4" w:space="0" w:color="auto"/>
              <w:right w:val="single" w:sz="4" w:space="0" w:color="auto"/>
            </w:tcBorders>
            <w:vAlign w:val="center"/>
            <w:hideMark/>
          </w:tcPr>
          <w:p w14:paraId="0B96DA4C" w14:textId="77777777" w:rsidR="0034322D" w:rsidRDefault="0034322D" w:rsidP="00931169">
            <w:pPr>
              <w:rPr>
                <w:rFonts w:cstheme="minorHAnsi"/>
                <w:sz w:val="18"/>
                <w:szCs w:val="18"/>
              </w:rPr>
            </w:pPr>
            <w:r>
              <w:rPr>
                <w:rFonts w:cstheme="minorHAnsi"/>
                <w:sz w:val="18"/>
                <w:szCs w:val="18"/>
              </w:rPr>
              <w:t>15,9</w:t>
            </w:r>
          </w:p>
        </w:tc>
        <w:tc>
          <w:tcPr>
            <w:tcW w:w="517" w:type="dxa"/>
            <w:tcBorders>
              <w:top w:val="single" w:sz="4" w:space="0" w:color="auto"/>
              <w:left w:val="single" w:sz="4" w:space="0" w:color="auto"/>
              <w:bottom w:val="single" w:sz="4" w:space="0" w:color="auto"/>
              <w:right w:val="single" w:sz="4" w:space="0" w:color="auto"/>
            </w:tcBorders>
            <w:vAlign w:val="center"/>
            <w:hideMark/>
          </w:tcPr>
          <w:p w14:paraId="35413AB3" w14:textId="77777777" w:rsidR="0034322D" w:rsidRDefault="0034322D" w:rsidP="00931169">
            <w:pPr>
              <w:rPr>
                <w:rFonts w:cstheme="minorHAnsi"/>
                <w:sz w:val="18"/>
                <w:szCs w:val="18"/>
              </w:rPr>
            </w:pPr>
            <w:r>
              <w:rPr>
                <w:rFonts w:cstheme="minorHAnsi"/>
                <w:sz w:val="18"/>
                <w:szCs w:val="18"/>
              </w:rPr>
              <w:t>17,4</w:t>
            </w:r>
          </w:p>
        </w:tc>
        <w:tc>
          <w:tcPr>
            <w:tcW w:w="516" w:type="dxa"/>
            <w:tcBorders>
              <w:top w:val="single" w:sz="4" w:space="0" w:color="auto"/>
              <w:left w:val="single" w:sz="4" w:space="0" w:color="auto"/>
              <w:bottom w:val="single" w:sz="4" w:space="0" w:color="auto"/>
              <w:right w:val="single" w:sz="4" w:space="0" w:color="auto"/>
            </w:tcBorders>
            <w:vAlign w:val="center"/>
            <w:hideMark/>
          </w:tcPr>
          <w:p w14:paraId="2275BB7F" w14:textId="77777777" w:rsidR="0034322D" w:rsidRDefault="0034322D" w:rsidP="00931169">
            <w:pPr>
              <w:rPr>
                <w:rFonts w:cstheme="minorHAnsi"/>
                <w:sz w:val="18"/>
                <w:szCs w:val="18"/>
              </w:rPr>
            </w:pPr>
            <w:r>
              <w:rPr>
                <w:rFonts w:cstheme="minorHAnsi"/>
                <w:sz w:val="18"/>
                <w:szCs w:val="18"/>
              </w:rPr>
              <w:t>16,9</w:t>
            </w:r>
          </w:p>
        </w:tc>
        <w:tc>
          <w:tcPr>
            <w:tcW w:w="516" w:type="dxa"/>
            <w:tcBorders>
              <w:top w:val="single" w:sz="4" w:space="0" w:color="auto"/>
              <w:left w:val="single" w:sz="4" w:space="0" w:color="auto"/>
              <w:bottom w:val="single" w:sz="4" w:space="0" w:color="auto"/>
              <w:right w:val="single" w:sz="4" w:space="0" w:color="auto"/>
            </w:tcBorders>
            <w:vAlign w:val="center"/>
            <w:hideMark/>
          </w:tcPr>
          <w:p w14:paraId="19A6C225" w14:textId="77777777" w:rsidR="0034322D" w:rsidRDefault="0034322D" w:rsidP="00931169">
            <w:pPr>
              <w:rPr>
                <w:rFonts w:cstheme="minorHAnsi"/>
                <w:sz w:val="18"/>
                <w:szCs w:val="18"/>
              </w:rPr>
            </w:pPr>
            <w:r>
              <w:rPr>
                <w:rFonts w:cstheme="minorHAnsi"/>
                <w:sz w:val="18"/>
                <w:szCs w:val="18"/>
              </w:rPr>
              <w:t>12,8</w:t>
            </w:r>
          </w:p>
        </w:tc>
        <w:tc>
          <w:tcPr>
            <w:tcW w:w="516" w:type="dxa"/>
            <w:tcBorders>
              <w:top w:val="single" w:sz="4" w:space="0" w:color="auto"/>
              <w:left w:val="single" w:sz="4" w:space="0" w:color="auto"/>
              <w:bottom w:val="single" w:sz="4" w:space="0" w:color="auto"/>
              <w:right w:val="single" w:sz="4" w:space="0" w:color="auto"/>
            </w:tcBorders>
            <w:vAlign w:val="center"/>
            <w:hideMark/>
          </w:tcPr>
          <w:p w14:paraId="2D72B21A" w14:textId="77777777" w:rsidR="0034322D" w:rsidRDefault="0034322D" w:rsidP="00931169">
            <w:pPr>
              <w:rPr>
                <w:rFonts w:cstheme="minorHAnsi"/>
                <w:sz w:val="18"/>
                <w:szCs w:val="18"/>
              </w:rPr>
            </w:pPr>
            <w:r>
              <w:rPr>
                <w:rFonts w:cstheme="minorHAnsi"/>
                <w:sz w:val="18"/>
                <w:szCs w:val="18"/>
              </w:rPr>
              <w:t>8,2</w:t>
            </w:r>
          </w:p>
        </w:tc>
        <w:tc>
          <w:tcPr>
            <w:tcW w:w="516" w:type="dxa"/>
            <w:tcBorders>
              <w:top w:val="single" w:sz="4" w:space="0" w:color="auto"/>
              <w:left w:val="single" w:sz="4" w:space="0" w:color="auto"/>
              <w:bottom w:val="single" w:sz="4" w:space="0" w:color="auto"/>
              <w:right w:val="single" w:sz="4" w:space="0" w:color="auto"/>
            </w:tcBorders>
            <w:vAlign w:val="center"/>
            <w:hideMark/>
          </w:tcPr>
          <w:p w14:paraId="24274CD0" w14:textId="77777777" w:rsidR="0034322D" w:rsidRDefault="0034322D" w:rsidP="00931169">
            <w:pPr>
              <w:rPr>
                <w:rFonts w:cstheme="minorHAnsi"/>
                <w:sz w:val="18"/>
                <w:szCs w:val="18"/>
              </w:rPr>
            </w:pPr>
            <w:r>
              <w:rPr>
                <w:rFonts w:cstheme="minorHAnsi"/>
                <w:sz w:val="18"/>
                <w:szCs w:val="18"/>
              </w:rPr>
              <w:t>2,8</w:t>
            </w:r>
          </w:p>
        </w:tc>
        <w:tc>
          <w:tcPr>
            <w:tcW w:w="516" w:type="dxa"/>
            <w:tcBorders>
              <w:top w:val="single" w:sz="4" w:space="0" w:color="auto"/>
              <w:left w:val="single" w:sz="4" w:space="0" w:color="auto"/>
              <w:bottom w:val="single" w:sz="4" w:space="0" w:color="auto"/>
              <w:right w:val="single" w:sz="4" w:space="0" w:color="auto"/>
            </w:tcBorders>
            <w:vAlign w:val="center"/>
            <w:hideMark/>
          </w:tcPr>
          <w:p w14:paraId="12BA9857" w14:textId="77777777" w:rsidR="0034322D" w:rsidRDefault="0034322D" w:rsidP="00931169">
            <w:pPr>
              <w:rPr>
                <w:rFonts w:cstheme="minorHAnsi"/>
                <w:sz w:val="18"/>
                <w:szCs w:val="18"/>
              </w:rPr>
            </w:pPr>
            <w:r>
              <w:rPr>
                <w:rFonts w:cstheme="minorHAnsi"/>
                <w:sz w:val="18"/>
                <w:szCs w:val="18"/>
              </w:rPr>
              <w:t>-0,9</w:t>
            </w:r>
          </w:p>
        </w:tc>
        <w:tc>
          <w:tcPr>
            <w:tcW w:w="517" w:type="dxa"/>
            <w:tcBorders>
              <w:top w:val="single" w:sz="4" w:space="0" w:color="auto"/>
              <w:left w:val="single" w:sz="4" w:space="0" w:color="auto"/>
              <w:bottom w:val="single" w:sz="4" w:space="0" w:color="auto"/>
              <w:right w:val="single" w:sz="4" w:space="0" w:color="auto"/>
            </w:tcBorders>
            <w:vAlign w:val="center"/>
            <w:hideMark/>
          </w:tcPr>
          <w:p w14:paraId="1B72EDBE" w14:textId="77777777" w:rsidR="0034322D" w:rsidRDefault="0034322D" w:rsidP="00931169">
            <w:pPr>
              <w:rPr>
                <w:rFonts w:cstheme="minorHAnsi"/>
                <w:sz w:val="18"/>
                <w:szCs w:val="18"/>
              </w:rPr>
            </w:pPr>
            <w:r>
              <w:rPr>
                <w:rFonts w:cstheme="minorHAnsi"/>
                <w:sz w:val="18"/>
                <w:szCs w:val="18"/>
              </w:rPr>
              <w:t>7,9</w:t>
            </w:r>
          </w:p>
        </w:tc>
      </w:tr>
    </w:tbl>
    <w:p w14:paraId="4EBDF214" w14:textId="77777777" w:rsidR="0034322D" w:rsidRDefault="0034322D" w:rsidP="00931169">
      <w:pPr>
        <w:spacing w:line="360" w:lineRule="auto"/>
        <w:rPr>
          <w:rFonts w:cstheme="minorHAnsi"/>
          <w:sz w:val="16"/>
          <w:szCs w:val="16"/>
        </w:rPr>
      </w:pPr>
      <w:r>
        <w:rPr>
          <w:rFonts w:cstheme="minorHAnsi"/>
          <w:sz w:val="16"/>
          <w:szCs w:val="16"/>
        </w:rPr>
        <w:t>*údaje dostupné iba za obdobie rokov 1960-1981</w:t>
      </w:r>
    </w:p>
    <w:p w14:paraId="67FCB923" w14:textId="77777777" w:rsidR="0034322D" w:rsidRDefault="0034322D" w:rsidP="00931169">
      <w:pPr>
        <w:ind w:firstLine="708"/>
        <w:rPr>
          <w:rFonts w:cstheme="minorHAnsi"/>
          <w:sz w:val="22"/>
        </w:rPr>
      </w:pPr>
      <w:r>
        <w:rPr>
          <w:rFonts w:cstheme="minorHAnsi"/>
        </w:rPr>
        <w:t xml:space="preserve">Zrážkové pomery v posudzovanom území dokumentujú nasledovné tabuľky. Podľa dlhodobých sledovaní sa priemerný ročný úhrn zrážok pohybuje v rozmedzí 753 až 890 mm. </w:t>
      </w:r>
      <w:r>
        <w:rPr>
          <w:rFonts w:cstheme="minorHAnsi"/>
        </w:rPr>
        <w:lastRenderedPageBreak/>
        <w:t>Priemerný ročný počet dní so zrážkami 1 mm a viac je podľa stanice Čadca 133,3 dňa, pričom v zimných mesiacoch je to v priemere 62,7 dňa.</w:t>
      </w:r>
    </w:p>
    <w:p w14:paraId="655765AE" w14:textId="77777777" w:rsidR="0034322D" w:rsidRDefault="0034322D" w:rsidP="00931169">
      <w:pPr>
        <w:rPr>
          <w:rFonts w:cstheme="minorHAnsi"/>
        </w:rPr>
      </w:pPr>
      <w:r>
        <w:rPr>
          <w:rFonts w:cstheme="minorHAnsi"/>
        </w:rPr>
        <w:t>Priemerný ročný úhrn zrážok za roky 1981 – 2000 je uvedený v nasledujúcej tabuľke:</w:t>
      </w:r>
    </w:p>
    <w:p w14:paraId="64E4A89D" w14:textId="27C8BF63" w:rsidR="0034322D" w:rsidRDefault="0034322D" w:rsidP="00931169">
      <w:pPr>
        <w:pStyle w:val="Zkladntext"/>
        <w:keepNext/>
        <w:spacing w:before="360"/>
        <w:jc w:val="both"/>
        <w:rPr>
          <w:rStyle w:val="tlPopisArial9ptChar"/>
          <w:rFonts w:asciiTheme="minorHAnsi" w:hAnsiTheme="minorHAnsi" w:cstheme="minorHAnsi"/>
          <w:color w:val="FF0000"/>
        </w:rPr>
      </w:pPr>
      <w:r>
        <w:rPr>
          <w:rStyle w:val="tlPopisArial9ptChar"/>
          <w:rFonts w:asciiTheme="minorHAnsi" w:hAnsiTheme="minorHAnsi" w:cstheme="minorHAnsi"/>
        </w:rPr>
        <w:t>Tab.</w:t>
      </w:r>
      <w:r w:rsidR="005940CA">
        <w:rPr>
          <w:rStyle w:val="tlPopisArial9ptChar"/>
          <w:rFonts w:asciiTheme="minorHAnsi" w:hAnsiTheme="minorHAnsi" w:cstheme="minorHAnsi"/>
        </w:rPr>
        <w:t xml:space="preserve">16 </w:t>
      </w:r>
      <w:r>
        <w:rPr>
          <w:rStyle w:val="tlPopisArial9ptChar"/>
          <w:rFonts w:asciiTheme="minorHAnsi" w:hAnsiTheme="minorHAnsi" w:cstheme="minorHAnsi"/>
        </w:rPr>
        <w:t xml:space="preserve"> Priemerné mesačné (ročné) úhrny zrážok v mm za roky 1981 -2000</w:t>
      </w:r>
    </w:p>
    <w:tbl>
      <w:tblPr>
        <w:tblW w:w="88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65"/>
        <w:gridCol w:w="431"/>
        <w:gridCol w:w="516"/>
        <w:gridCol w:w="516"/>
        <w:gridCol w:w="516"/>
        <w:gridCol w:w="516"/>
        <w:gridCol w:w="516"/>
        <w:gridCol w:w="517"/>
        <w:gridCol w:w="516"/>
        <w:gridCol w:w="516"/>
        <w:gridCol w:w="516"/>
        <w:gridCol w:w="516"/>
        <w:gridCol w:w="516"/>
        <w:gridCol w:w="517"/>
      </w:tblGrid>
      <w:tr w:rsidR="0034322D" w14:paraId="65A5F4E4" w14:textId="77777777" w:rsidTr="0034322D">
        <w:tc>
          <w:tcPr>
            <w:tcW w:w="0" w:type="auto"/>
            <w:tcBorders>
              <w:top w:val="single" w:sz="4" w:space="0" w:color="auto"/>
              <w:left w:val="single" w:sz="4" w:space="0" w:color="auto"/>
              <w:bottom w:val="single" w:sz="4" w:space="0" w:color="auto"/>
              <w:right w:val="single" w:sz="4" w:space="0" w:color="auto"/>
            </w:tcBorders>
            <w:vAlign w:val="center"/>
          </w:tcPr>
          <w:p w14:paraId="33257829" w14:textId="77777777" w:rsidR="0034322D" w:rsidRDefault="0034322D" w:rsidP="00931169">
            <w:pPr>
              <w:keepNext/>
              <w:rPr>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F7F90AA" w14:textId="77777777" w:rsidR="0034322D" w:rsidRDefault="0034322D" w:rsidP="00931169">
            <w:pPr>
              <w:keepNext/>
              <w:rPr>
                <w:rFonts w:cstheme="minorHAnsi"/>
                <w:b/>
                <w:bCs/>
                <w:sz w:val="18"/>
                <w:szCs w:val="18"/>
              </w:rPr>
            </w:pPr>
            <w:r>
              <w:rPr>
                <w:rFonts w:cstheme="minorHAnsi"/>
                <w:b/>
                <w:bCs/>
                <w:sz w:val="18"/>
                <w:szCs w:val="18"/>
              </w:rPr>
              <w:t>I</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DDA672" w14:textId="77777777" w:rsidR="0034322D" w:rsidRDefault="0034322D" w:rsidP="00931169">
            <w:pPr>
              <w:keepNext/>
              <w:rPr>
                <w:rFonts w:cstheme="minorHAnsi"/>
                <w:b/>
                <w:bCs/>
                <w:sz w:val="18"/>
                <w:szCs w:val="18"/>
              </w:rPr>
            </w:pPr>
            <w:r>
              <w:rPr>
                <w:rFonts w:cstheme="minorHAnsi"/>
                <w:b/>
                <w:bCs/>
                <w:sz w:val="18"/>
                <w:szCs w:val="18"/>
              </w:rPr>
              <w:t>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21473157" w14:textId="77777777" w:rsidR="0034322D" w:rsidRDefault="0034322D" w:rsidP="00931169">
            <w:pPr>
              <w:keepNext/>
              <w:rPr>
                <w:rFonts w:cstheme="minorHAnsi"/>
                <w:b/>
                <w:bCs/>
                <w:sz w:val="18"/>
                <w:szCs w:val="18"/>
              </w:rPr>
            </w:pPr>
            <w:r>
              <w:rPr>
                <w:rFonts w:cstheme="minorHAnsi"/>
                <w:b/>
                <w:bCs/>
                <w:sz w:val="18"/>
                <w:szCs w:val="18"/>
              </w:rPr>
              <w:t>III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433CACD9" w14:textId="77777777" w:rsidR="0034322D" w:rsidRDefault="0034322D" w:rsidP="00931169">
            <w:pPr>
              <w:keepNext/>
              <w:rPr>
                <w:rFonts w:cstheme="minorHAnsi"/>
                <w:b/>
                <w:bCs/>
                <w:sz w:val="18"/>
                <w:szCs w:val="18"/>
              </w:rPr>
            </w:pPr>
            <w:r>
              <w:rPr>
                <w:rFonts w:cstheme="minorHAnsi"/>
                <w:b/>
                <w:bCs/>
                <w:sz w:val="18"/>
                <w:szCs w:val="18"/>
              </w:rPr>
              <w:t>IV</w:t>
            </w:r>
          </w:p>
        </w:tc>
        <w:tc>
          <w:tcPr>
            <w:tcW w:w="516" w:type="dxa"/>
            <w:tcBorders>
              <w:top w:val="single" w:sz="4" w:space="0" w:color="auto"/>
              <w:left w:val="single" w:sz="4" w:space="0" w:color="auto"/>
              <w:bottom w:val="single" w:sz="4" w:space="0" w:color="auto"/>
              <w:right w:val="single" w:sz="4" w:space="0" w:color="auto"/>
            </w:tcBorders>
            <w:vAlign w:val="center"/>
            <w:hideMark/>
          </w:tcPr>
          <w:p w14:paraId="09BFDD4C" w14:textId="77777777" w:rsidR="0034322D" w:rsidRDefault="0034322D" w:rsidP="00931169">
            <w:pPr>
              <w:keepNext/>
              <w:rPr>
                <w:rFonts w:cstheme="minorHAnsi"/>
                <w:b/>
                <w:bCs/>
                <w:sz w:val="18"/>
                <w:szCs w:val="18"/>
              </w:rPr>
            </w:pPr>
            <w:r>
              <w:rPr>
                <w:rFonts w:cstheme="minorHAnsi"/>
                <w:b/>
                <w:bCs/>
                <w:sz w:val="18"/>
                <w:szCs w:val="18"/>
              </w:rPr>
              <w:t>V</w:t>
            </w:r>
          </w:p>
        </w:tc>
        <w:tc>
          <w:tcPr>
            <w:tcW w:w="516" w:type="dxa"/>
            <w:tcBorders>
              <w:top w:val="single" w:sz="4" w:space="0" w:color="auto"/>
              <w:left w:val="single" w:sz="4" w:space="0" w:color="auto"/>
              <w:bottom w:val="single" w:sz="4" w:space="0" w:color="auto"/>
              <w:right w:val="single" w:sz="4" w:space="0" w:color="auto"/>
            </w:tcBorders>
            <w:vAlign w:val="center"/>
            <w:hideMark/>
          </w:tcPr>
          <w:p w14:paraId="209965A2" w14:textId="77777777" w:rsidR="0034322D" w:rsidRDefault="0034322D" w:rsidP="00931169">
            <w:pPr>
              <w:keepNext/>
              <w:rPr>
                <w:rFonts w:cstheme="minorHAnsi"/>
                <w:b/>
                <w:bCs/>
                <w:sz w:val="18"/>
                <w:szCs w:val="18"/>
              </w:rPr>
            </w:pPr>
            <w:r>
              <w:rPr>
                <w:rFonts w:cstheme="minorHAnsi"/>
                <w:b/>
                <w:bCs/>
                <w:sz w:val="18"/>
                <w:szCs w:val="18"/>
              </w:rPr>
              <w:t>VI</w:t>
            </w:r>
          </w:p>
        </w:tc>
        <w:tc>
          <w:tcPr>
            <w:tcW w:w="517" w:type="dxa"/>
            <w:tcBorders>
              <w:top w:val="single" w:sz="4" w:space="0" w:color="auto"/>
              <w:left w:val="single" w:sz="4" w:space="0" w:color="auto"/>
              <w:bottom w:val="single" w:sz="4" w:space="0" w:color="auto"/>
              <w:right w:val="single" w:sz="4" w:space="0" w:color="auto"/>
            </w:tcBorders>
            <w:vAlign w:val="center"/>
            <w:hideMark/>
          </w:tcPr>
          <w:p w14:paraId="37DCB418" w14:textId="77777777" w:rsidR="0034322D" w:rsidRDefault="0034322D" w:rsidP="00931169">
            <w:pPr>
              <w:keepNext/>
              <w:rPr>
                <w:rFonts w:cstheme="minorHAnsi"/>
                <w:b/>
                <w:bCs/>
                <w:sz w:val="18"/>
                <w:szCs w:val="18"/>
              </w:rPr>
            </w:pPr>
            <w:r>
              <w:rPr>
                <w:rFonts w:cstheme="minorHAnsi"/>
                <w:b/>
                <w:bCs/>
                <w:sz w:val="18"/>
                <w:szCs w:val="18"/>
              </w:rPr>
              <w:t>VII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28F5D80F" w14:textId="77777777" w:rsidR="0034322D" w:rsidRDefault="0034322D" w:rsidP="00931169">
            <w:pPr>
              <w:keepNext/>
              <w:rPr>
                <w:rFonts w:cstheme="minorHAnsi"/>
                <w:b/>
                <w:bCs/>
                <w:sz w:val="18"/>
                <w:szCs w:val="18"/>
              </w:rPr>
            </w:pPr>
            <w:r>
              <w:rPr>
                <w:rFonts w:cstheme="minorHAnsi"/>
                <w:b/>
                <w:bCs/>
                <w:sz w:val="18"/>
                <w:szCs w:val="18"/>
              </w:rPr>
              <w:t>VIII</w:t>
            </w:r>
          </w:p>
        </w:tc>
        <w:tc>
          <w:tcPr>
            <w:tcW w:w="516" w:type="dxa"/>
            <w:tcBorders>
              <w:top w:val="single" w:sz="4" w:space="0" w:color="auto"/>
              <w:left w:val="single" w:sz="4" w:space="0" w:color="auto"/>
              <w:bottom w:val="single" w:sz="4" w:space="0" w:color="auto"/>
              <w:right w:val="single" w:sz="4" w:space="0" w:color="auto"/>
            </w:tcBorders>
            <w:vAlign w:val="center"/>
            <w:hideMark/>
          </w:tcPr>
          <w:p w14:paraId="7A6E7B08" w14:textId="77777777" w:rsidR="0034322D" w:rsidRDefault="0034322D" w:rsidP="00931169">
            <w:pPr>
              <w:keepNext/>
              <w:rPr>
                <w:rFonts w:cstheme="minorHAnsi"/>
                <w:b/>
                <w:bCs/>
                <w:sz w:val="18"/>
                <w:szCs w:val="18"/>
              </w:rPr>
            </w:pPr>
            <w:r>
              <w:rPr>
                <w:rFonts w:cstheme="minorHAnsi"/>
                <w:b/>
                <w:bCs/>
                <w:sz w:val="18"/>
                <w:szCs w:val="18"/>
              </w:rPr>
              <w:t>IX</w:t>
            </w:r>
          </w:p>
        </w:tc>
        <w:tc>
          <w:tcPr>
            <w:tcW w:w="516" w:type="dxa"/>
            <w:tcBorders>
              <w:top w:val="single" w:sz="4" w:space="0" w:color="auto"/>
              <w:left w:val="single" w:sz="4" w:space="0" w:color="auto"/>
              <w:bottom w:val="single" w:sz="4" w:space="0" w:color="auto"/>
              <w:right w:val="single" w:sz="4" w:space="0" w:color="auto"/>
            </w:tcBorders>
            <w:vAlign w:val="center"/>
            <w:hideMark/>
          </w:tcPr>
          <w:p w14:paraId="7B72DBF6" w14:textId="77777777" w:rsidR="0034322D" w:rsidRDefault="0034322D" w:rsidP="00931169">
            <w:pPr>
              <w:keepNext/>
              <w:rPr>
                <w:rFonts w:cstheme="minorHAnsi"/>
                <w:b/>
                <w:bCs/>
                <w:sz w:val="18"/>
                <w:szCs w:val="18"/>
              </w:rPr>
            </w:pPr>
            <w:r>
              <w:rPr>
                <w:rFonts w:cstheme="minorHAnsi"/>
                <w:b/>
                <w:bCs/>
                <w:sz w:val="18"/>
                <w:szCs w:val="18"/>
              </w:rPr>
              <w:t>X</w:t>
            </w:r>
          </w:p>
        </w:tc>
        <w:tc>
          <w:tcPr>
            <w:tcW w:w="516" w:type="dxa"/>
            <w:tcBorders>
              <w:top w:val="single" w:sz="4" w:space="0" w:color="auto"/>
              <w:left w:val="single" w:sz="4" w:space="0" w:color="auto"/>
              <w:bottom w:val="single" w:sz="4" w:space="0" w:color="auto"/>
              <w:right w:val="single" w:sz="4" w:space="0" w:color="auto"/>
            </w:tcBorders>
            <w:vAlign w:val="center"/>
            <w:hideMark/>
          </w:tcPr>
          <w:p w14:paraId="006D6887" w14:textId="77777777" w:rsidR="0034322D" w:rsidRDefault="0034322D" w:rsidP="00931169">
            <w:pPr>
              <w:keepNext/>
              <w:rPr>
                <w:rFonts w:cstheme="minorHAnsi"/>
                <w:b/>
                <w:bCs/>
                <w:sz w:val="18"/>
                <w:szCs w:val="18"/>
              </w:rPr>
            </w:pPr>
            <w:r>
              <w:rPr>
                <w:rFonts w:cstheme="minorHAnsi"/>
                <w:b/>
                <w:bCs/>
                <w:sz w:val="18"/>
                <w:szCs w:val="18"/>
              </w:rPr>
              <w:t>XI</w:t>
            </w:r>
          </w:p>
        </w:tc>
        <w:tc>
          <w:tcPr>
            <w:tcW w:w="516" w:type="dxa"/>
            <w:tcBorders>
              <w:top w:val="single" w:sz="4" w:space="0" w:color="auto"/>
              <w:left w:val="single" w:sz="4" w:space="0" w:color="auto"/>
              <w:bottom w:val="single" w:sz="4" w:space="0" w:color="auto"/>
              <w:right w:val="single" w:sz="4" w:space="0" w:color="auto"/>
            </w:tcBorders>
            <w:vAlign w:val="center"/>
            <w:hideMark/>
          </w:tcPr>
          <w:p w14:paraId="004FB5C6" w14:textId="77777777" w:rsidR="0034322D" w:rsidRDefault="0034322D" w:rsidP="00931169">
            <w:pPr>
              <w:keepNext/>
              <w:rPr>
                <w:rFonts w:cstheme="minorHAnsi"/>
                <w:b/>
                <w:bCs/>
                <w:sz w:val="18"/>
                <w:szCs w:val="18"/>
              </w:rPr>
            </w:pPr>
            <w:r>
              <w:rPr>
                <w:rFonts w:cstheme="minorHAnsi"/>
                <w:b/>
                <w:bCs/>
                <w:sz w:val="18"/>
                <w:szCs w:val="18"/>
              </w:rPr>
              <w:t>XII</w:t>
            </w:r>
          </w:p>
        </w:tc>
        <w:tc>
          <w:tcPr>
            <w:tcW w:w="517" w:type="dxa"/>
            <w:tcBorders>
              <w:top w:val="single" w:sz="4" w:space="0" w:color="auto"/>
              <w:left w:val="single" w:sz="4" w:space="0" w:color="auto"/>
              <w:bottom w:val="single" w:sz="4" w:space="0" w:color="auto"/>
              <w:right w:val="single" w:sz="4" w:space="0" w:color="auto"/>
            </w:tcBorders>
            <w:vAlign w:val="center"/>
            <w:hideMark/>
          </w:tcPr>
          <w:p w14:paraId="0CFD1F49" w14:textId="77777777" w:rsidR="0034322D" w:rsidRDefault="0034322D" w:rsidP="00931169">
            <w:pPr>
              <w:keepNext/>
              <w:rPr>
                <w:rFonts w:cstheme="minorHAnsi"/>
                <w:b/>
                <w:bCs/>
                <w:sz w:val="18"/>
                <w:szCs w:val="18"/>
              </w:rPr>
            </w:pPr>
            <w:r>
              <w:rPr>
                <w:rFonts w:cstheme="minorHAnsi"/>
                <w:b/>
                <w:bCs/>
                <w:sz w:val="18"/>
                <w:szCs w:val="18"/>
              </w:rPr>
              <w:t>Rok</w:t>
            </w:r>
          </w:p>
        </w:tc>
      </w:tr>
      <w:tr w:rsidR="0034322D" w14:paraId="4DA5F4CF" w14:textId="77777777" w:rsidTr="0034322D">
        <w:tc>
          <w:tcPr>
            <w:tcW w:w="0" w:type="auto"/>
            <w:tcBorders>
              <w:top w:val="single" w:sz="4" w:space="0" w:color="auto"/>
              <w:left w:val="single" w:sz="4" w:space="0" w:color="auto"/>
              <w:bottom w:val="single" w:sz="4" w:space="0" w:color="auto"/>
              <w:right w:val="single" w:sz="4" w:space="0" w:color="auto"/>
            </w:tcBorders>
            <w:vAlign w:val="center"/>
            <w:hideMark/>
          </w:tcPr>
          <w:p w14:paraId="2AB0BA34" w14:textId="77777777" w:rsidR="0034322D" w:rsidRDefault="0034322D" w:rsidP="00931169">
            <w:pPr>
              <w:keepNext/>
              <w:rPr>
                <w:rFonts w:cstheme="minorHAnsi"/>
                <w:sz w:val="22"/>
              </w:rPr>
            </w:pPr>
            <w:r>
              <w:rPr>
                <w:rFonts w:cstheme="minorHAnsi"/>
                <w:b/>
                <w:bCs/>
                <w:sz w:val="18"/>
                <w:szCs w:val="18"/>
              </w:rPr>
              <w:t>Žilina</w:t>
            </w:r>
          </w:p>
        </w:tc>
        <w:tc>
          <w:tcPr>
            <w:tcW w:w="0" w:type="auto"/>
            <w:tcBorders>
              <w:top w:val="single" w:sz="4" w:space="0" w:color="auto"/>
              <w:left w:val="single" w:sz="4" w:space="0" w:color="auto"/>
              <w:bottom w:val="single" w:sz="4" w:space="0" w:color="auto"/>
              <w:right w:val="single" w:sz="4" w:space="0" w:color="auto"/>
            </w:tcBorders>
            <w:vAlign w:val="center"/>
            <w:hideMark/>
          </w:tcPr>
          <w:p w14:paraId="58E41B88" w14:textId="77777777" w:rsidR="0034322D" w:rsidRDefault="0034322D" w:rsidP="00931169">
            <w:pPr>
              <w:keepNext/>
              <w:rPr>
                <w:rFonts w:cstheme="minorHAnsi"/>
                <w:sz w:val="18"/>
                <w:szCs w:val="18"/>
              </w:rPr>
            </w:pPr>
            <w:r>
              <w:rPr>
                <w:rFonts w:cstheme="minorHAnsi"/>
                <w:sz w:val="18"/>
                <w:szCs w:val="18"/>
              </w:rPr>
              <w:t>43</w:t>
            </w:r>
          </w:p>
        </w:tc>
        <w:tc>
          <w:tcPr>
            <w:tcW w:w="516" w:type="dxa"/>
            <w:tcBorders>
              <w:top w:val="single" w:sz="4" w:space="0" w:color="auto"/>
              <w:left w:val="single" w:sz="4" w:space="0" w:color="auto"/>
              <w:bottom w:val="single" w:sz="4" w:space="0" w:color="auto"/>
              <w:right w:val="single" w:sz="4" w:space="0" w:color="auto"/>
            </w:tcBorders>
            <w:vAlign w:val="center"/>
            <w:hideMark/>
          </w:tcPr>
          <w:p w14:paraId="4201048D" w14:textId="77777777" w:rsidR="0034322D" w:rsidRDefault="0034322D" w:rsidP="00931169">
            <w:pPr>
              <w:keepNext/>
              <w:rPr>
                <w:rFonts w:cstheme="minorHAnsi"/>
                <w:sz w:val="18"/>
                <w:szCs w:val="18"/>
              </w:rPr>
            </w:pPr>
            <w:r>
              <w:rPr>
                <w:rFonts w:cstheme="minorHAnsi"/>
                <w:sz w:val="18"/>
                <w:szCs w:val="18"/>
              </w:rPr>
              <w:t>33</w:t>
            </w:r>
          </w:p>
        </w:tc>
        <w:tc>
          <w:tcPr>
            <w:tcW w:w="516" w:type="dxa"/>
            <w:tcBorders>
              <w:top w:val="single" w:sz="4" w:space="0" w:color="auto"/>
              <w:left w:val="single" w:sz="4" w:space="0" w:color="auto"/>
              <w:bottom w:val="single" w:sz="4" w:space="0" w:color="auto"/>
              <w:right w:val="single" w:sz="4" w:space="0" w:color="auto"/>
            </w:tcBorders>
            <w:vAlign w:val="center"/>
            <w:hideMark/>
          </w:tcPr>
          <w:p w14:paraId="3C186E63" w14:textId="77777777" w:rsidR="0034322D" w:rsidRDefault="0034322D" w:rsidP="00931169">
            <w:pPr>
              <w:keepNext/>
              <w:rPr>
                <w:rFonts w:cstheme="minorHAnsi"/>
                <w:sz w:val="18"/>
                <w:szCs w:val="18"/>
              </w:rPr>
            </w:pPr>
            <w:r>
              <w:rPr>
                <w:rFonts w:cstheme="minorHAnsi"/>
                <w:sz w:val="18"/>
                <w:szCs w:val="18"/>
              </w:rPr>
              <w:t>43</w:t>
            </w:r>
          </w:p>
        </w:tc>
        <w:tc>
          <w:tcPr>
            <w:tcW w:w="516" w:type="dxa"/>
            <w:tcBorders>
              <w:top w:val="single" w:sz="4" w:space="0" w:color="auto"/>
              <w:left w:val="single" w:sz="4" w:space="0" w:color="auto"/>
              <w:bottom w:val="single" w:sz="4" w:space="0" w:color="auto"/>
              <w:right w:val="single" w:sz="4" w:space="0" w:color="auto"/>
            </w:tcBorders>
            <w:vAlign w:val="center"/>
            <w:hideMark/>
          </w:tcPr>
          <w:p w14:paraId="104FABA7" w14:textId="77777777" w:rsidR="0034322D" w:rsidRDefault="0034322D" w:rsidP="00931169">
            <w:pPr>
              <w:keepNext/>
              <w:rPr>
                <w:rFonts w:cstheme="minorHAnsi"/>
                <w:sz w:val="18"/>
                <w:szCs w:val="18"/>
              </w:rPr>
            </w:pPr>
            <w:r>
              <w:rPr>
                <w:rFonts w:cstheme="minorHAnsi"/>
                <w:sz w:val="18"/>
                <w:szCs w:val="18"/>
              </w:rPr>
              <w:t>50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B78D76B" w14:textId="77777777" w:rsidR="0034322D" w:rsidRDefault="0034322D" w:rsidP="00931169">
            <w:pPr>
              <w:keepNext/>
              <w:rPr>
                <w:rFonts w:cstheme="minorHAnsi"/>
                <w:sz w:val="18"/>
                <w:szCs w:val="18"/>
              </w:rPr>
            </w:pPr>
            <w:r>
              <w:rPr>
                <w:rFonts w:cstheme="minorHAnsi"/>
                <w:sz w:val="18"/>
                <w:szCs w:val="18"/>
              </w:rPr>
              <w:t>81</w:t>
            </w:r>
          </w:p>
        </w:tc>
        <w:tc>
          <w:tcPr>
            <w:tcW w:w="516" w:type="dxa"/>
            <w:tcBorders>
              <w:top w:val="single" w:sz="4" w:space="0" w:color="auto"/>
              <w:left w:val="single" w:sz="4" w:space="0" w:color="auto"/>
              <w:bottom w:val="single" w:sz="4" w:space="0" w:color="auto"/>
              <w:right w:val="single" w:sz="4" w:space="0" w:color="auto"/>
            </w:tcBorders>
            <w:vAlign w:val="center"/>
            <w:hideMark/>
          </w:tcPr>
          <w:p w14:paraId="45ED1516" w14:textId="77777777" w:rsidR="0034322D" w:rsidRDefault="0034322D" w:rsidP="00931169">
            <w:pPr>
              <w:keepNext/>
              <w:rPr>
                <w:rFonts w:cstheme="minorHAnsi"/>
                <w:sz w:val="18"/>
                <w:szCs w:val="18"/>
              </w:rPr>
            </w:pPr>
            <w:r>
              <w:rPr>
                <w:rFonts w:cstheme="minorHAnsi"/>
                <w:sz w:val="18"/>
                <w:szCs w:val="18"/>
              </w:rPr>
              <w:t>98</w:t>
            </w:r>
          </w:p>
        </w:tc>
        <w:tc>
          <w:tcPr>
            <w:tcW w:w="517" w:type="dxa"/>
            <w:tcBorders>
              <w:top w:val="single" w:sz="4" w:space="0" w:color="auto"/>
              <w:left w:val="single" w:sz="4" w:space="0" w:color="auto"/>
              <w:bottom w:val="single" w:sz="4" w:space="0" w:color="auto"/>
              <w:right w:val="single" w:sz="4" w:space="0" w:color="auto"/>
            </w:tcBorders>
            <w:vAlign w:val="center"/>
            <w:hideMark/>
          </w:tcPr>
          <w:p w14:paraId="334ED871" w14:textId="77777777" w:rsidR="0034322D" w:rsidRDefault="0034322D" w:rsidP="00931169">
            <w:pPr>
              <w:keepNext/>
              <w:rPr>
                <w:rFonts w:cstheme="minorHAnsi"/>
                <w:sz w:val="18"/>
                <w:szCs w:val="18"/>
              </w:rPr>
            </w:pPr>
            <w:r>
              <w:rPr>
                <w:rFonts w:cstheme="minorHAnsi"/>
                <w:sz w:val="18"/>
                <w:szCs w:val="18"/>
              </w:rPr>
              <w:t>93</w:t>
            </w:r>
          </w:p>
        </w:tc>
        <w:tc>
          <w:tcPr>
            <w:tcW w:w="516" w:type="dxa"/>
            <w:tcBorders>
              <w:top w:val="single" w:sz="4" w:space="0" w:color="auto"/>
              <w:left w:val="single" w:sz="4" w:space="0" w:color="auto"/>
              <w:bottom w:val="single" w:sz="4" w:space="0" w:color="auto"/>
              <w:right w:val="single" w:sz="4" w:space="0" w:color="auto"/>
            </w:tcBorders>
            <w:vAlign w:val="center"/>
            <w:hideMark/>
          </w:tcPr>
          <w:p w14:paraId="72D22CA8" w14:textId="77777777" w:rsidR="0034322D" w:rsidRDefault="0034322D" w:rsidP="00931169">
            <w:pPr>
              <w:keepNext/>
              <w:rPr>
                <w:rFonts w:cstheme="minorHAnsi"/>
                <w:sz w:val="18"/>
                <w:szCs w:val="18"/>
              </w:rPr>
            </w:pPr>
            <w:r>
              <w:rPr>
                <w:rFonts w:cstheme="minorHAnsi"/>
                <w:sz w:val="18"/>
                <w:szCs w:val="18"/>
              </w:rPr>
              <w:t>83</w:t>
            </w:r>
          </w:p>
        </w:tc>
        <w:tc>
          <w:tcPr>
            <w:tcW w:w="516" w:type="dxa"/>
            <w:tcBorders>
              <w:top w:val="single" w:sz="4" w:space="0" w:color="auto"/>
              <w:left w:val="single" w:sz="4" w:space="0" w:color="auto"/>
              <w:bottom w:val="single" w:sz="4" w:space="0" w:color="auto"/>
              <w:right w:val="single" w:sz="4" w:space="0" w:color="auto"/>
            </w:tcBorders>
            <w:vAlign w:val="center"/>
            <w:hideMark/>
          </w:tcPr>
          <w:p w14:paraId="04081F6C" w14:textId="77777777" w:rsidR="0034322D" w:rsidRDefault="0034322D" w:rsidP="00931169">
            <w:pPr>
              <w:keepNext/>
              <w:rPr>
                <w:rFonts w:cstheme="minorHAnsi"/>
                <w:sz w:val="18"/>
                <w:szCs w:val="18"/>
              </w:rPr>
            </w:pPr>
            <w:r>
              <w:rPr>
                <w:rFonts w:cstheme="minorHAnsi"/>
                <w:sz w:val="18"/>
                <w:szCs w:val="18"/>
              </w:rPr>
              <w:t>73</w:t>
            </w:r>
          </w:p>
        </w:tc>
        <w:tc>
          <w:tcPr>
            <w:tcW w:w="516" w:type="dxa"/>
            <w:tcBorders>
              <w:top w:val="single" w:sz="4" w:space="0" w:color="auto"/>
              <w:left w:val="single" w:sz="4" w:space="0" w:color="auto"/>
              <w:bottom w:val="single" w:sz="4" w:space="0" w:color="auto"/>
              <w:right w:val="single" w:sz="4" w:space="0" w:color="auto"/>
            </w:tcBorders>
            <w:vAlign w:val="center"/>
            <w:hideMark/>
          </w:tcPr>
          <w:p w14:paraId="46AA2569" w14:textId="77777777" w:rsidR="0034322D" w:rsidRDefault="0034322D" w:rsidP="00931169">
            <w:pPr>
              <w:keepNext/>
              <w:rPr>
                <w:rFonts w:cstheme="minorHAnsi"/>
                <w:sz w:val="18"/>
                <w:szCs w:val="18"/>
              </w:rPr>
            </w:pPr>
            <w:r>
              <w:rPr>
                <w:rFonts w:cstheme="minorHAnsi"/>
                <w:sz w:val="18"/>
                <w:szCs w:val="18"/>
              </w:rPr>
              <w:t>50</w:t>
            </w:r>
          </w:p>
        </w:tc>
        <w:tc>
          <w:tcPr>
            <w:tcW w:w="516" w:type="dxa"/>
            <w:tcBorders>
              <w:top w:val="single" w:sz="4" w:space="0" w:color="auto"/>
              <w:left w:val="single" w:sz="4" w:space="0" w:color="auto"/>
              <w:bottom w:val="single" w:sz="4" w:space="0" w:color="auto"/>
              <w:right w:val="single" w:sz="4" w:space="0" w:color="auto"/>
            </w:tcBorders>
            <w:vAlign w:val="center"/>
            <w:hideMark/>
          </w:tcPr>
          <w:p w14:paraId="086A094F" w14:textId="77777777" w:rsidR="0034322D" w:rsidRDefault="0034322D" w:rsidP="00931169">
            <w:pPr>
              <w:keepNext/>
              <w:rPr>
                <w:rFonts w:cstheme="minorHAnsi"/>
                <w:sz w:val="18"/>
                <w:szCs w:val="18"/>
              </w:rPr>
            </w:pPr>
            <w:r>
              <w:rPr>
                <w:rFonts w:cstheme="minorHAnsi"/>
                <w:sz w:val="18"/>
                <w:szCs w:val="18"/>
              </w:rPr>
              <w:t>53</w:t>
            </w:r>
          </w:p>
        </w:tc>
        <w:tc>
          <w:tcPr>
            <w:tcW w:w="516" w:type="dxa"/>
            <w:tcBorders>
              <w:top w:val="single" w:sz="4" w:space="0" w:color="auto"/>
              <w:left w:val="single" w:sz="4" w:space="0" w:color="auto"/>
              <w:bottom w:val="single" w:sz="4" w:space="0" w:color="auto"/>
              <w:right w:val="single" w:sz="4" w:space="0" w:color="auto"/>
            </w:tcBorders>
            <w:vAlign w:val="center"/>
            <w:hideMark/>
          </w:tcPr>
          <w:p w14:paraId="66F3DF35" w14:textId="77777777" w:rsidR="0034322D" w:rsidRDefault="0034322D" w:rsidP="00931169">
            <w:pPr>
              <w:keepNext/>
              <w:rPr>
                <w:rFonts w:cstheme="minorHAnsi"/>
                <w:sz w:val="18"/>
                <w:szCs w:val="18"/>
              </w:rPr>
            </w:pPr>
            <w:r>
              <w:rPr>
                <w:rFonts w:cstheme="minorHAnsi"/>
                <w:sz w:val="18"/>
                <w:szCs w:val="18"/>
              </w:rPr>
              <w:t>53</w:t>
            </w:r>
          </w:p>
        </w:tc>
        <w:tc>
          <w:tcPr>
            <w:tcW w:w="517" w:type="dxa"/>
            <w:tcBorders>
              <w:top w:val="single" w:sz="4" w:space="0" w:color="auto"/>
              <w:left w:val="single" w:sz="4" w:space="0" w:color="auto"/>
              <w:bottom w:val="single" w:sz="4" w:space="0" w:color="auto"/>
              <w:right w:val="single" w:sz="4" w:space="0" w:color="auto"/>
            </w:tcBorders>
            <w:vAlign w:val="center"/>
            <w:hideMark/>
          </w:tcPr>
          <w:p w14:paraId="34C6E758" w14:textId="77777777" w:rsidR="0034322D" w:rsidRDefault="0034322D" w:rsidP="00931169">
            <w:pPr>
              <w:keepNext/>
              <w:rPr>
                <w:rFonts w:cstheme="minorHAnsi"/>
                <w:sz w:val="18"/>
                <w:szCs w:val="18"/>
              </w:rPr>
            </w:pPr>
            <w:r>
              <w:rPr>
                <w:rFonts w:cstheme="minorHAnsi"/>
                <w:sz w:val="18"/>
                <w:szCs w:val="18"/>
              </w:rPr>
              <w:t>753</w:t>
            </w:r>
          </w:p>
        </w:tc>
      </w:tr>
      <w:tr w:rsidR="0034322D" w14:paraId="19BB92E6" w14:textId="77777777" w:rsidTr="0034322D">
        <w:tc>
          <w:tcPr>
            <w:tcW w:w="0" w:type="auto"/>
            <w:tcBorders>
              <w:top w:val="single" w:sz="4" w:space="0" w:color="auto"/>
              <w:left w:val="single" w:sz="4" w:space="0" w:color="auto"/>
              <w:bottom w:val="single" w:sz="4" w:space="0" w:color="auto"/>
              <w:right w:val="single" w:sz="4" w:space="0" w:color="auto"/>
            </w:tcBorders>
            <w:vAlign w:val="center"/>
            <w:hideMark/>
          </w:tcPr>
          <w:p w14:paraId="72AD7ADE" w14:textId="77777777" w:rsidR="0034322D" w:rsidRDefault="0034322D" w:rsidP="00931169">
            <w:pPr>
              <w:rPr>
                <w:rFonts w:cstheme="minorHAnsi"/>
                <w:b/>
                <w:bCs/>
                <w:sz w:val="18"/>
                <w:szCs w:val="18"/>
              </w:rPr>
            </w:pPr>
            <w:r>
              <w:rPr>
                <w:rFonts w:cstheme="minorHAnsi"/>
                <w:b/>
                <w:bCs/>
                <w:sz w:val="18"/>
                <w:szCs w:val="18"/>
              </w:rPr>
              <w:t>Krásno nad Kysucou</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F9668" w14:textId="77777777" w:rsidR="0034322D" w:rsidRDefault="0034322D" w:rsidP="00931169">
            <w:pPr>
              <w:rPr>
                <w:rFonts w:cstheme="minorHAnsi"/>
                <w:sz w:val="18"/>
                <w:szCs w:val="18"/>
              </w:rPr>
            </w:pPr>
            <w:r>
              <w:rPr>
                <w:rFonts w:cstheme="minorHAnsi"/>
                <w:sz w:val="18"/>
                <w:szCs w:val="18"/>
              </w:rPr>
              <w:t>67</w:t>
            </w:r>
          </w:p>
        </w:tc>
        <w:tc>
          <w:tcPr>
            <w:tcW w:w="516" w:type="dxa"/>
            <w:tcBorders>
              <w:top w:val="single" w:sz="4" w:space="0" w:color="auto"/>
              <w:left w:val="single" w:sz="4" w:space="0" w:color="auto"/>
              <w:bottom w:val="single" w:sz="4" w:space="0" w:color="auto"/>
              <w:right w:val="single" w:sz="4" w:space="0" w:color="auto"/>
            </w:tcBorders>
            <w:vAlign w:val="center"/>
            <w:hideMark/>
          </w:tcPr>
          <w:p w14:paraId="7C49BBB7" w14:textId="77777777" w:rsidR="0034322D" w:rsidRDefault="0034322D" w:rsidP="00931169">
            <w:pPr>
              <w:rPr>
                <w:rFonts w:cstheme="minorHAnsi"/>
                <w:sz w:val="18"/>
                <w:szCs w:val="18"/>
              </w:rPr>
            </w:pPr>
            <w:r>
              <w:rPr>
                <w:rFonts w:cstheme="minorHAnsi"/>
                <w:sz w:val="18"/>
                <w:szCs w:val="18"/>
              </w:rPr>
              <w:t>54</w:t>
            </w:r>
          </w:p>
        </w:tc>
        <w:tc>
          <w:tcPr>
            <w:tcW w:w="516" w:type="dxa"/>
            <w:tcBorders>
              <w:top w:val="single" w:sz="4" w:space="0" w:color="auto"/>
              <w:left w:val="single" w:sz="4" w:space="0" w:color="auto"/>
              <w:bottom w:val="single" w:sz="4" w:space="0" w:color="auto"/>
              <w:right w:val="single" w:sz="4" w:space="0" w:color="auto"/>
            </w:tcBorders>
            <w:vAlign w:val="center"/>
            <w:hideMark/>
          </w:tcPr>
          <w:p w14:paraId="33B35491" w14:textId="77777777" w:rsidR="0034322D" w:rsidRDefault="0034322D" w:rsidP="00931169">
            <w:pPr>
              <w:rPr>
                <w:rFonts w:cstheme="minorHAnsi"/>
                <w:sz w:val="18"/>
                <w:szCs w:val="18"/>
              </w:rPr>
            </w:pPr>
            <w:r>
              <w:rPr>
                <w:rFonts w:cstheme="minorHAnsi"/>
                <w:sz w:val="18"/>
                <w:szCs w:val="18"/>
              </w:rPr>
              <w:t>66</w:t>
            </w:r>
          </w:p>
        </w:tc>
        <w:tc>
          <w:tcPr>
            <w:tcW w:w="516" w:type="dxa"/>
            <w:tcBorders>
              <w:top w:val="single" w:sz="4" w:space="0" w:color="auto"/>
              <w:left w:val="single" w:sz="4" w:space="0" w:color="auto"/>
              <w:bottom w:val="single" w:sz="4" w:space="0" w:color="auto"/>
              <w:right w:val="single" w:sz="4" w:space="0" w:color="auto"/>
            </w:tcBorders>
            <w:vAlign w:val="center"/>
            <w:hideMark/>
          </w:tcPr>
          <w:p w14:paraId="01C00689" w14:textId="77777777" w:rsidR="0034322D" w:rsidRDefault="0034322D" w:rsidP="00931169">
            <w:pPr>
              <w:rPr>
                <w:rFonts w:cstheme="minorHAnsi"/>
                <w:sz w:val="18"/>
                <w:szCs w:val="18"/>
              </w:rPr>
            </w:pPr>
            <w:r>
              <w:rPr>
                <w:rFonts w:cstheme="minorHAnsi"/>
                <w:sz w:val="18"/>
                <w:szCs w:val="18"/>
              </w:rPr>
              <w:t>66</w:t>
            </w:r>
          </w:p>
        </w:tc>
        <w:tc>
          <w:tcPr>
            <w:tcW w:w="516" w:type="dxa"/>
            <w:tcBorders>
              <w:top w:val="single" w:sz="4" w:space="0" w:color="auto"/>
              <w:left w:val="single" w:sz="4" w:space="0" w:color="auto"/>
              <w:bottom w:val="single" w:sz="4" w:space="0" w:color="auto"/>
              <w:right w:val="single" w:sz="4" w:space="0" w:color="auto"/>
            </w:tcBorders>
            <w:vAlign w:val="center"/>
            <w:hideMark/>
          </w:tcPr>
          <w:p w14:paraId="3EC770AA" w14:textId="77777777" w:rsidR="0034322D" w:rsidRDefault="0034322D" w:rsidP="00931169">
            <w:pPr>
              <w:rPr>
                <w:rFonts w:cstheme="minorHAnsi"/>
                <w:sz w:val="18"/>
                <w:szCs w:val="18"/>
              </w:rPr>
            </w:pPr>
            <w:r>
              <w:rPr>
                <w:rFonts w:cstheme="minorHAnsi"/>
                <w:sz w:val="18"/>
                <w:szCs w:val="18"/>
              </w:rPr>
              <w:t>95</w:t>
            </w:r>
          </w:p>
        </w:tc>
        <w:tc>
          <w:tcPr>
            <w:tcW w:w="516" w:type="dxa"/>
            <w:tcBorders>
              <w:top w:val="single" w:sz="4" w:space="0" w:color="auto"/>
              <w:left w:val="single" w:sz="4" w:space="0" w:color="auto"/>
              <w:bottom w:val="single" w:sz="4" w:space="0" w:color="auto"/>
              <w:right w:val="single" w:sz="4" w:space="0" w:color="auto"/>
            </w:tcBorders>
            <w:vAlign w:val="center"/>
            <w:hideMark/>
          </w:tcPr>
          <w:p w14:paraId="0439FAC3" w14:textId="77777777" w:rsidR="0034322D" w:rsidRDefault="0034322D" w:rsidP="00931169">
            <w:pPr>
              <w:rPr>
                <w:rFonts w:cstheme="minorHAnsi"/>
                <w:sz w:val="18"/>
                <w:szCs w:val="18"/>
              </w:rPr>
            </w:pPr>
            <w:r>
              <w:rPr>
                <w:rFonts w:cstheme="minorHAnsi"/>
                <w:sz w:val="18"/>
                <w:szCs w:val="18"/>
              </w:rPr>
              <w:t>109</w:t>
            </w:r>
          </w:p>
        </w:tc>
        <w:tc>
          <w:tcPr>
            <w:tcW w:w="517" w:type="dxa"/>
            <w:tcBorders>
              <w:top w:val="single" w:sz="4" w:space="0" w:color="auto"/>
              <w:left w:val="single" w:sz="4" w:space="0" w:color="auto"/>
              <w:bottom w:val="single" w:sz="4" w:space="0" w:color="auto"/>
              <w:right w:val="single" w:sz="4" w:space="0" w:color="auto"/>
            </w:tcBorders>
            <w:vAlign w:val="center"/>
            <w:hideMark/>
          </w:tcPr>
          <w:p w14:paraId="3F55BC85" w14:textId="77777777" w:rsidR="0034322D" w:rsidRDefault="0034322D" w:rsidP="00931169">
            <w:pPr>
              <w:rPr>
                <w:rFonts w:cstheme="minorHAnsi"/>
                <w:sz w:val="18"/>
                <w:szCs w:val="18"/>
              </w:rPr>
            </w:pPr>
            <w:r>
              <w:rPr>
                <w:rFonts w:cstheme="minorHAnsi"/>
                <w:sz w:val="18"/>
                <w:szCs w:val="18"/>
              </w:rPr>
              <w:t>103</w:t>
            </w:r>
          </w:p>
        </w:tc>
        <w:tc>
          <w:tcPr>
            <w:tcW w:w="516" w:type="dxa"/>
            <w:tcBorders>
              <w:top w:val="single" w:sz="4" w:space="0" w:color="auto"/>
              <w:left w:val="single" w:sz="4" w:space="0" w:color="auto"/>
              <w:bottom w:val="single" w:sz="4" w:space="0" w:color="auto"/>
              <w:right w:val="single" w:sz="4" w:space="0" w:color="auto"/>
            </w:tcBorders>
            <w:vAlign w:val="center"/>
            <w:hideMark/>
          </w:tcPr>
          <w:p w14:paraId="572DFE33" w14:textId="77777777" w:rsidR="0034322D" w:rsidRDefault="0034322D" w:rsidP="00931169">
            <w:pPr>
              <w:rPr>
                <w:rFonts w:cstheme="minorHAnsi"/>
                <w:sz w:val="18"/>
                <w:szCs w:val="18"/>
              </w:rPr>
            </w:pPr>
            <w:r>
              <w:rPr>
                <w:rFonts w:cstheme="minorHAnsi"/>
                <w:sz w:val="18"/>
                <w:szCs w:val="18"/>
              </w:rPr>
              <w:t>83</w:t>
            </w:r>
          </w:p>
        </w:tc>
        <w:tc>
          <w:tcPr>
            <w:tcW w:w="516" w:type="dxa"/>
            <w:tcBorders>
              <w:top w:val="single" w:sz="4" w:space="0" w:color="auto"/>
              <w:left w:val="single" w:sz="4" w:space="0" w:color="auto"/>
              <w:bottom w:val="single" w:sz="4" w:space="0" w:color="auto"/>
              <w:right w:val="single" w:sz="4" w:space="0" w:color="auto"/>
            </w:tcBorders>
            <w:vAlign w:val="center"/>
            <w:hideMark/>
          </w:tcPr>
          <w:p w14:paraId="1A7DDA19" w14:textId="77777777" w:rsidR="0034322D" w:rsidRDefault="0034322D" w:rsidP="00931169">
            <w:pPr>
              <w:rPr>
                <w:rFonts w:cstheme="minorHAnsi"/>
                <w:sz w:val="18"/>
                <w:szCs w:val="18"/>
              </w:rPr>
            </w:pPr>
            <w:r>
              <w:rPr>
                <w:rFonts w:cstheme="minorHAnsi"/>
                <w:sz w:val="18"/>
                <w:szCs w:val="18"/>
              </w:rPr>
              <w:t>80</w:t>
            </w:r>
          </w:p>
        </w:tc>
        <w:tc>
          <w:tcPr>
            <w:tcW w:w="516" w:type="dxa"/>
            <w:tcBorders>
              <w:top w:val="single" w:sz="4" w:space="0" w:color="auto"/>
              <w:left w:val="single" w:sz="4" w:space="0" w:color="auto"/>
              <w:bottom w:val="single" w:sz="4" w:space="0" w:color="auto"/>
              <w:right w:val="single" w:sz="4" w:space="0" w:color="auto"/>
            </w:tcBorders>
            <w:vAlign w:val="center"/>
            <w:hideMark/>
          </w:tcPr>
          <w:p w14:paraId="6924B650" w14:textId="77777777" w:rsidR="0034322D" w:rsidRDefault="0034322D" w:rsidP="00931169">
            <w:pPr>
              <w:rPr>
                <w:rFonts w:cstheme="minorHAnsi"/>
                <w:sz w:val="18"/>
                <w:szCs w:val="18"/>
              </w:rPr>
            </w:pPr>
            <w:r>
              <w:rPr>
                <w:rFonts w:cstheme="minorHAnsi"/>
                <w:sz w:val="18"/>
                <w:szCs w:val="18"/>
              </w:rPr>
              <w:t>58</w:t>
            </w:r>
          </w:p>
        </w:tc>
        <w:tc>
          <w:tcPr>
            <w:tcW w:w="516" w:type="dxa"/>
            <w:tcBorders>
              <w:top w:val="single" w:sz="4" w:space="0" w:color="auto"/>
              <w:left w:val="single" w:sz="4" w:space="0" w:color="auto"/>
              <w:bottom w:val="single" w:sz="4" w:space="0" w:color="auto"/>
              <w:right w:val="single" w:sz="4" w:space="0" w:color="auto"/>
            </w:tcBorders>
            <w:vAlign w:val="center"/>
            <w:hideMark/>
          </w:tcPr>
          <w:p w14:paraId="407314F9" w14:textId="77777777" w:rsidR="0034322D" w:rsidRDefault="0034322D" w:rsidP="00931169">
            <w:pPr>
              <w:rPr>
                <w:rFonts w:cstheme="minorHAnsi"/>
                <w:sz w:val="18"/>
                <w:szCs w:val="18"/>
              </w:rPr>
            </w:pPr>
            <w:r>
              <w:rPr>
                <w:rFonts w:cstheme="minorHAnsi"/>
                <w:sz w:val="18"/>
                <w:szCs w:val="18"/>
              </w:rPr>
              <w:t>69</w:t>
            </w:r>
          </w:p>
        </w:tc>
        <w:tc>
          <w:tcPr>
            <w:tcW w:w="516" w:type="dxa"/>
            <w:tcBorders>
              <w:top w:val="single" w:sz="4" w:space="0" w:color="auto"/>
              <w:left w:val="single" w:sz="4" w:space="0" w:color="auto"/>
              <w:bottom w:val="single" w:sz="4" w:space="0" w:color="auto"/>
              <w:right w:val="single" w:sz="4" w:space="0" w:color="auto"/>
            </w:tcBorders>
            <w:vAlign w:val="center"/>
            <w:hideMark/>
          </w:tcPr>
          <w:p w14:paraId="19F85C3E" w14:textId="77777777" w:rsidR="0034322D" w:rsidRDefault="0034322D" w:rsidP="00931169">
            <w:pPr>
              <w:rPr>
                <w:rFonts w:cstheme="minorHAnsi"/>
                <w:sz w:val="18"/>
                <w:szCs w:val="18"/>
              </w:rPr>
            </w:pPr>
            <w:r>
              <w:rPr>
                <w:rFonts w:cstheme="minorHAnsi"/>
                <w:sz w:val="18"/>
                <w:szCs w:val="18"/>
              </w:rPr>
              <w:t>74</w:t>
            </w:r>
          </w:p>
        </w:tc>
        <w:tc>
          <w:tcPr>
            <w:tcW w:w="517" w:type="dxa"/>
            <w:tcBorders>
              <w:top w:val="single" w:sz="4" w:space="0" w:color="auto"/>
              <w:left w:val="single" w:sz="4" w:space="0" w:color="auto"/>
              <w:bottom w:val="single" w:sz="4" w:space="0" w:color="auto"/>
              <w:right w:val="single" w:sz="4" w:space="0" w:color="auto"/>
            </w:tcBorders>
            <w:vAlign w:val="center"/>
            <w:hideMark/>
          </w:tcPr>
          <w:p w14:paraId="67F76A72" w14:textId="77777777" w:rsidR="0034322D" w:rsidRDefault="0034322D" w:rsidP="00931169">
            <w:pPr>
              <w:rPr>
                <w:rFonts w:cstheme="minorHAnsi"/>
                <w:sz w:val="18"/>
                <w:szCs w:val="18"/>
              </w:rPr>
            </w:pPr>
            <w:r>
              <w:rPr>
                <w:rFonts w:cstheme="minorHAnsi"/>
                <w:sz w:val="18"/>
                <w:szCs w:val="18"/>
              </w:rPr>
              <w:t>924</w:t>
            </w:r>
          </w:p>
        </w:tc>
      </w:tr>
      <w:tr w:rsidR="0034322D" w14:paraId="651186DF" w14:textId="77777777" w:rsidTr="0034322D">
        <w:tc>
          <w:tcPr>
            <w:tcW w:w="0" w:type="auto"/>
            <w:tcBorders>
              <w:top w:val="single" w:sz="4" w:space="0" w:color="auto"/>
              <w:left w:val="single" w:sz="4" w:space="0" w:color="auto"/>
              <w:bottom w:val="single" w:sz="4" w:space="0" w:color="auto"/>
              <w:right w:val="single" w:sz="4" w:space="0" w:color="auto"/>
            </w:tcBorders>
            <w:vAlign w:val="center"/>
            <w:hideMark/>
          </w:tcPr>
          <w:p w14:paraId="4BFF4238" w14:textId="77777777" w:rsidR="0034322D" w:rsidRDefault="0034322D" w:rsidP="00931169">
            <w:pPr>
              <w:rPr>
                <w:rFonts w:cstheme="minorHAnsi"/>
                <w:b/>
                <w:bCs/>
                <w:sz w:val="18"/>
                <w:szCs w:val="18"/>
              </w:rPr>
            </w:pPr>
            <w:r>
              <w:rPr>
                <w:rFonts w:cstheme="minorHAnsi"/>
                <w:b/>
                <w:bCs/>
                <w:sz w:val="18"/>
                <w:szCs w:val="18"/>
              </w:rPr>
              <w:t>Kysucké Nové Mesto</w:t>
            </w:r>
          </w:p>
        </w:tc>
        <w:tc>
          <w:tcPr>
            <w:tcW w:w="0" w:type="auto"/>
            <w:tcBorders>
              <w:top w:val="single" w:sz="4" w:space="0" w:color="auto"/>
              <w:left w:val="single" w:sz="4" w:space="0" w:color="auto"/>
              <w:bottom w:val="single" w:sz="4" w:space="0" w:color="auto"/>
              <w:right w:val="single" w:sz="4" w:space="0" w:color="auto"/>
            </w:tcBorders>
            <w:vAlign w:val="center"/>
            <w:hideMark/>
          </w:tcPr>
          <w:p w14:paraId="1A9C2ED2" w14:textId="77777777" w:rsidR="0034322D" w:rsidRDefault="0034322D" w:rsidP="00931169">
            <w:pPr>
              <w:rPr>
                <w:rFonts w:cstheme="minorHAnsi"/>
                <w:sz w:val="18"/>
                <w:szCs w:val="18"/>
              </w:rPr>
            </w:pPr>
            <w:r>
              <w:rPr>
                <w:rFonts w:cstheme="minorHAnsi"/>
                <w:sz w:val="18"/>
                <w:szCs w:val="18"/>
              </w:rPr>
              <w:t>59</w:t>
            </w:r>
          </w:p>
        </w:tc>
        <w:tc>
          <w:tcPr>
            <w:tcW w:w="516" w:type="dxa"/>
            <w:tcBorders>
              <w:top w:val="single" w:sz="4" w:space="0" w:color="auto"/>
              <w:left w:val="single" w:sz="4" w:space="0" w:color="auto"/>
              <w:bottom w:val="single" w:sz="4" w:space="0" w:color="auto"/>
              <w:right w:val="single" w:sz="4" w:space="0" w:color="auto"/>
            </w:tcBorders>
            <w:vAlign w:val="center"/>
            <w:hideMark/>
          </w:tcPr>
          <w:p w14:paraId="74BCE4E9" w14:textId="77777777" w:rsidR="0034322D" w:rsidRDefault="0034322D" w:rsidP="00931169">
            <w:pPr>
              <w:rPr>
                <w:rFonts w:cstheme="minorHAnsi"/>
                <w:sz w:val="18"/>
                <w:szCs w:val="18"/>
              </w:rPr>
            </w:pPr>
            <w:r>
              <w:rPr>
                <w:rFonts w:cstheme="minorHAnsi"/>
                <w:sz w:val="18"/>
                <w:szCs w:val="18"/>
              </w:rPr>
              <w:t>43</w:t>
            </w:r>
          </w:p>
        </w:tc>
        <w:tc>
          <w:tcPr>
            <w:tcW w:w="516" w:type="dxa"/>
            <w:tcBorders>
              <w:top w:val="single" w:sz="4" w:space="0" w:color="auto"/>
              <w:left w:val="single" w:sz="4" w:space="0" w:color="auto"/>
              <w:bottom w:val="single" w:sz="4" w:space="0" w:color="auto"/>
              <w:right w:val="single" w:sz="4" w:space="0" w:color="auto"/>
            </w:tcBorders>
            <w:vAlign w:val="center"/>
            <w:hideMark/>
          </w:tcPr>
          <w:p w14:paraId="0DA6A872" w14:textId="77777777" w:rsidR="0034322D" w:rsidRDefault="0034322D" w:rsidP="00931169">
            <w:pPr>
              <w:rPr>
                <w:rFonts w:cstheme="minorHAnsi"/>
                <w:sz w:val="18"/>
                <w:szCs w:val="18"/>
              </w:rPr>
            </w:pPr>
            <w:r>
              <w:rPr>
                <w:rFonts w:cstheme="minorHAnsi"/>
                <w:sz w:val="18"/>
                <w:szCs w:val="18"/>
              </w:rPr>
              <w:t>56</w:t>
            </w:r>
          </w:p>
        </w:tc>
        <w:tc>
          <w:tcPr>
            <w:tcW w:w="516" w:type="dxa"/>
            <w:tcBorders>
              <w:top w:val="single" w:sz="4" w:space="0" w:color="auto"/>
              <w:left w:val="single" w:sz="4" w:space="0" w:color="auto"/>
              <w:bottom w:val="single" w:sz="4" w:space="0" w:color="auto"/>
              <w:right w:val="single" w:sz="4" w:space="0" w:color="auto"/>
            </w:tcBorders>
            <w:vAlign w:val="center"/>
            <w:hideMark/>
          </w:tcPr>
          <w:p w14:paraId="4D98E32C" w14:textId="77777777" w:rsidR="0034322D" w:rsidRDefault="0034322D" w:rsidP="00931169">
            <w:pPr>
              <w:rPr>
                <w:rFonts w:cstheme="minorHAnsi"/>
                <w:sz w:val="18"/>
                <w:szCs w:val="18"/>
              </w:rPr>
            </w:pPr>
            <w:r>
              <w:rPr>
                <w:rFonts w:cstheme="minorHAnsi"/>
                <w:sz w:val="18"/>
                <w:szCs w:val="18"/>
              </w:rPr>
              <w:t>56</w:t>
            </w:r>
          </w:p>
        </w:tc>
        <w:tc>
          <w:tcPr>
            <w:tcW w:w="516" w:type="dxa"/>
            <w:tcBorders>
              <w:top w:val="single" w:sz="4" w:space="0" w:color="auto"/>
              <w:left w:val="single" w:sz="4" w:space="0" w:color="auto"/>
              <w:bottom w:val="single" w:sz="4" w:space="0" w:color="auto"/>
              <w:right w:val="single" w:sz="4" w:space="0" w:color="auto"/>
            </w:tcBorders>
            <w:vAlign w:val="center"/>
            <w:hideMark/>
          </w:tcPr>
          <w:p w14:paraId="7D4FECF1" w14:textId="77777777" w:rsidR="0034322D" w:rsidRDefault="0034322D" w:rsidP="00931169">
            <w:pPr>
              <w:rPr>
                <w:rFonts w:cstheme="minorHAnsi"/>
                <w:sz w:val="18"/>
                <w:szCs w:val="18"/>
              </w:rPr>
            </w:pPr>
            <w:r>
              <w:rPr>
                <w:rFonts w:cstheme="minorHAnsi"/>
                <w:sz w:val="18"/>
                <w:szCs w:val="18"/>
              </w:rPr>
              <w:t>79</w:t>
            </w:r>
          </w:p>
        </w:tc>
        <w:tc>
          <w:tcPr>
            <w:tcW w:w="516" w:type="dxa"/>
            <w:tcBorders>
              <w:top w:val="single" w:sz="4" w:space="0" w:color="auto"/>
              <w:left w:val="single" w:sz="4" w:space="0" w:color="auto"/>
              <w:bottom w:val="single" w:sz="4" w:space="0" w:color="auto"/>
              <w:right w:val="single" w:sz="4" w:space="0" w:color="auto"/>
            </w:tcBorders>
            <w:vAlign w:val="center"/>
            <w:hideMark/>
          </w:tcPr>
          <w:p w14:paraId="7E41D135" w14:textId="77777777" w:rsidR="0034322D" w:rsidRDefault="0034322D" w:rsidP="00931169">
            <w:pPr>
              <w:rPr>
                <w:rFonts w:cstheme="minorHAnsi"/>
                <w:sz w:val="18"/>
                <w:szCs w:val="18"/>
              </w:rPr>
            </w:pPr>
            <w:r>
              <w:rPr>
                <w:rFonts w:cstheme="minorHAnsi"/>
                <w:sz w:val="18"/>
                <w:szCs w:val="18"/>
              </w:rPr>
              <w:t>94</w:t>
            </w:r>
          </w:p>
        </w:tc>
        <w:tc>
          <w:tcPr>
            <w:tcW w:w="517" w:type="dxa"/>
            <w:tcBorders>
              <w:top w:val="single" w:sz="4" w:space="0" w:color="auto"/>
              <w:left w:val="single" w:sz="4" w:space="0" w:color="auto"/>
              <w:bottom w:val="single" w:sz="4" w:space="0" w:color="auto"/>
              <w:right w:val="single" w:sz="4" w:space="0" w:color="auto"/>
            </w:tcBorders>
            <w:vAlign w:val="center"/>
            <w:hideMark/>
          </w:tcPr>
          <w:p w14:paraId="3E03E19B" w14:textId="77777777" w:rsidR="0034322D" w:rsidRDefault="0034322D" w:rsidP="00931169">
            <w:pPr>
              <w:rPr>
                <w:rFonts w:cstheme="minorHAnsi"/>
                <w:sz w:val="18"/>
                <w:szCs w:val="18"/>
              </w:rPr>
            </w:pPr>
            <w:r>
              <w:rPr>
                <w:rFonts w:cstheme="minorHAnsi"/>
                <w:sz w:val="18"/>
                <w:szCs w:val="18"/>
              </w:rPr>
              <w:t>97</w:t>
            </w:r>
          </w:p>
        </w:tc>
        <w:tc>
          <w:tcPr>
            <w:tcW w:w="516" w:type="dxa"/>
            <w:tcBorders>
              <w:top w:val="single" w:sz="4" w:space="0" w:color="auto"/>
              <w:left w:val="single" w:sz="4" w:space="0" w:color="auto"/>
              <w:bottom w:val="single" w:sz="4" w:space="0" w:color="auto"/>
              <w:right w:val="single" w:sz="4" w:space="0" w:color="auto"/>
            </w:tcBorders>
            <w:vAlign w:val="center"/>
            <w:hideMark/>
          </w:tcPr>
          <w:p w14:paraId="35F2BAD2" w14:textId="77777777" w:rsidR="0034322D" w:rsidRDefault="0034322D" w:rsidP="00931169">
            <w:pPr>
              <w:rPr>
                <w:rFonts w:cstheme="minorHAnsi"/>
                <w:sz w:val="18"/>
                <w:szCs w:val="18"/>
              </w:rPr>
            </w:pPr>
            <w:r>
              <w:rPr>
                <w:rFonts w:cstheme="minorHAnsi"/>
                <w:sz w:val="18"/>
                <w:szCs w:val="18"/>
              </w:rPr>
              <w:t>78</w:t>
            </w:r>
          </w:p>
        </w:tc>
        <w:tc>
          <w:tcPr>
            <w:tcW w:w="516" w:type="dxa"/>
            <w:tcBorders>
              <w:top w:val="single" w:sz="4" w:space="0" w:color="auto"/>
              <w:left w:val="single" w:sz="4" w:space="0" w:color="auto"/>
              <w:bottom w:val="single" w:sz="4" w:space="0" w:color="auto"/>
              <w:right w:val="single" w:sz="4" w:space="0" w:color="auto"/>
            </w:tcBorders>
            <w:vAlign w:val="center"/>
            <w:hideMark/>
          </w:tcPr>
          <w:p w14:paraId="3BF5D704" w14:textId="77777777" w:rsidR="0034322D" w:rsidRDefault="0034322D" w:rsidP="00931169">
            <w:pPr>
              <w:rPr>
                <w:rFonts w:cstheme="minorHAnsi"/>
                <w:sz w:val="18"/>
                <w:szCs w:val="18"/>
              </w:rPr>
            </w:pPr>
            <w:r>
              <w:rPr>
                <w:rFonts w:cstheme="minorHAnsi"/>
                <w:sz w:val="18"/>
                <w:szCs w:val="18"/>
              </w:rPr>
              <w:t>73</w:t>
            </w:r>
          </w:p>
        </w:tc>
        <w:tc>
          <w:tcPr>
            <w:tcW w:w="516" w:type="dxa"/>
            <w:tcBorders>
              <w:top w:val="single" w:sz="4" w:space="0" w:color="auto"/>
              <w:left w:val="single" w:sz="4" w:space="0" w:color="auto"/>
              <w:bottom w:val="single" w:sz="4" w:space="0" w:color="auto"/>
              <w:right w:val="single" w:sz="4" w:space="0" w:color="auto"/>
            </w:tcBorders>
            <w:vAlign w:val="center"/>
            <w:hideMark/>
          </w:tcPr>
          <w:p w14:paraId="61468E4A" w14:textId="77777777" w:rsidR="0034322D" w:rsidRDefault="0034322D" w:rsidP="00931169">
            <w:pPr>
              <w:rPr>
                <w:rFonts w:cstheme="minorHAnsi"/>
                <w:sz w:val="18"/>
                <w:szCs w:val="18"/>
              </w:rPr>
            </w:pPr>
            <w:r>
              <w:rPr>
                <w:rFonts w:cstheme="minorHAnsi"/>
                <w:sz w:val="18"/>
                <w:szCs w:val="18"/>
              </w:rPr>
              <w:t>52</w:t>
            </w:r>
          </w:p>
        </w:tc>
        <w:tc>
          <w:tcPr>
            <w:tcW w:w="516" w:type="dxa"/>
            <w:tcBorders>
              <w:top w:val="single" w:sz="4" w:space="0" w:color="auto"/>
              <w:left w:val="single" w:sz="4" w:space="0" w:color="auto"/>
              <w:bottom w:val="single" w:sz="4" w:space="0" w:color="auto"/>
              <w:right w:val="single" w:sz="4" w:space="0" w:color="auto"/>
            </w:tcBorders>
            <w:vAlign w:val="center"/>
            <w:hideMark/>
          </w:tcPr>
          <w:p w14:paraId="6ACDA4EA" w14:textId="77777777" w:rsidR="0034322D" w:rsidRDefault="0034322D" w:rsidP="00931169">
            <w:pPr>
              <w:rPr>
                <w:rFonts w:cstheme="minorHAnsi"/>
                <w:sz w:val="18"/>
                <w:szCs w:val="18"/>
              </w:rPr>
            </w:pPr>
            <w:r>
              <w:rPr>
                <w:rFonts w:cstheme="minorHAnsi"/>
                <w:sz w:val="18"/>
                <w:szCs w:val="18"/>
              </w:rPr>
              <w:t>57</w:t>
            </w:r>
          </w:p>
        </w:tc>
        <w:tc>
          <w:tcPr>
            <w:tcW w:w="516" w:type="dxa"/>
            <w:tcBorders>
              <w:top w:val="single" w:sz="4" w:space="0" w:color="auto"/>
              <w:left w:val="single" w:sz="4" w:space="0" w:color="auto"/>
              <w:bottom w:val="single" w:sz="4" w:space="0" w:color="auto"/>
              <w:right w:val="single" w:sz="4" w:space="0" w:color="auto"/>
            </w:tcBorders>
            <w:vAlign w:val="center"/>
            <w:hideMark/>
          </w:tcPr>
          <w:p w14:paraId="6E3CA4C2" w14:textId="77777777" w:rsidR="0034322D" w:rsidRDefault="0034322D" w:rsidP="00931169">
            <w:pPr>
              <w:rPr>
                <w:rFonts w:cstheme="minorHAnsi"/>
                <w:sz w:val="18"/>
                <w:szCs w:val="18"/>
              </w:rPr>
            </w:pPr>
            <w:r>
              <w:rPr>
                <w:rFonts w:cstheme="minorHAnsi"/>
                <w:sz w:val="18"/>
                <w:szCs w:val="18"/>
              </w:rPr>
              <w:t>58</w:t>
            </w:r>
          </w:p>
        </w:tc>
        <w:tc>
          <w:tcPr>
            <w:tcW w:w="517" w:type="dxa"/>
            <w:tcBorders>
              <w:top w:val="single" w:sz="4" w:space="0" w:color="auto"/>
              <w:left w:val="single" w:sz="4" w:space="0" w:color="auto"/>
              <w:bottom w:val="single" w:sz="4" w:space="0" w:color="auto"/>
              <w:right w:val="single" w:sz="4" w:space="0" w:color="auto"/>
            </w:tcBorders>
            <w:vAlign w:val="center"/>
            <w:hideMark/>
          </w:tcPr>
          <w:p w14:paraId="27899B24" w14:textId="77777777" w:rsidR="0034322D" w:rsidRDefault="0034322D" w:rsidP="00931169">
            <w:pPr>
              <w:rPr>
                <w:rFonts w:cstheme="minorHAnsi"/>
                <w:sz w:val="18"/>
                <w:szCs w:val="18"/>
              </w:rPr>
            </w:pPr>
            <w:r>
              <w:rPr>
                <w:rFonts w:cstheme="minorHAnsi"/>
                <w:sz w:val="18"/>
                <w:szCs w:val="18"/>
              </w:rPr>
              <w:t>802</w:t>
            </w:r>
          </w:p>
        </w:tc>
      </w:tr>
      <w:tr w:rsidR="0034322D" w14:paraId="77EB40DF" w14:textId="77777777" w:rsidTr="0034322D">
        <w:tc>
          <w:tcPr>
            <w:tcW w:w="0" w:type="auto"/>
            <w:tcBorders>
              <w:top w:val="single" w:sz="4" w:space="0" w:color="auto"/>
              <w:left w:val="single" w:sz="4" w:space="0" w:color="auto"/>
              <w:bottom w:val="single" w:sz="4" w:space="0" w:color="auto"/>
              <w:right w:val="single" w:sz="4" w:space="0" w:color="auto"/>
            </w:tcBorders>
            <w:vAlign w:val="center"/>
            <w:hideMark/>
          </w:tcPr>
          <w:p w14:paraId="6C700E32" w14:textId="77777777" w:rsidR="0034322D" w:rsidRDefault="0034322D" w:rsidP="00931169">
            <w:pPr>
              <w:rPr>
                <w:rFonts w:cstheme="minorHAnsi"/>
                <w:b/>
                <w:bCs/>
                <w:sz w:val="18"/>
                <w:szCs w:val="18"/>
              </w:rPr>
            </w:pPr>
            <w:r>
              <w:rPr>
                <w:rFonts w:cstheme="minorHAnsi"/>
                <w:b/>
                <w:bCs/>
                <w:sz w:val="18"/>
                <w:szCs w:val="18"/>
              </w:rPr>
              <w:t>Čadca</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D97AA" w14:textId="77777777" w:rsidR="0034322D" w:rsidRDefault="0034322D" w:rsidP="00931169">
            <w:pPr>
              <w:rPr>
                <w:rFonts w:cstheme="minorHAnsi"/>
                <w:sz w:val="18"/>
                <w:szCs w:val="18"/>
              </w:rPr>
            </w:pPr>
            <w:r>
              <w:rPr>
                <w:rFonts w:cstheme="minorHAnsi"/>
                <w:sz w:val="18"/>
                <w:szCs w:val="18"/>
              </w:rPr>
              <w:t>60</w:t>
            </w:r>
          </w:p>
        </w:tc>
        <w:tc>
          <w:tcPr>
            <w:tcW w:w="516" w:type="dxa"/>
            <w:tcBorders>
              <w:top w:val="single" w:sz="4" w:space="0" w:color="auto"/>
              <w:left w:val="single" w:sz="4" w:space="0" w:color="auto"/>
              <w:bottom w:val="single" w:sz="4" w:space="0" w:color="auto"/>
              <w:right w:val="single" w:sz="4" w:space="0" w:color="auto"/>
            </w:tcBorders>
            <w:vAlign w:val="center"/>
            <w:hideMark/>
          </w:tcPr>
          <w:p w14:paraId="4D102634" w14:textId="77777777" w:rsidR="0034322D" w:rsidRDefault="0034322D" w:rsidP="00931169">
            <w:pPr>
              <w:rPr>
                <w:rFonts w:cstheme="minorHAnsi"/>
                <w:sz w:val="18"/>
                <w:szCs w:val="18"/>
              </w:rPr>
            </w:pPr>
            <w:r>
              <w:rPr>
                <w:rFonts w:cstheme="minorHAnsi"/>
                <w:sz w:val="18"/>
                <w:szCs w:val="18"/>
              </w:rPr>
              <w:t>51</w:t>
            </w:r>
          </w:p>
        </w:tc>
        <w:tc>
          <w:tcPr>
            <w:tcW w:w="516" w:type="dxa"/>
            <w:tcBorders>
              <w:top w:val="single" w:sz="4" w:space="0" w:color="auto"/>
              <w:left w:val="single" w:sz="4" w:space="0" w:color="auto"/>
              <w:bottom w:val="single" w:sz="4" w:space="0" w:color="auto"/>
              <w:right w:val="single" w:sz="4" w:space="0" w:color="auto"/>
            </w:tcBorders>
            <w:vAlign w:val="center"/>
            <w:hideMark/>
          </w:tcPr>
          <w:p w14:paraId="7F9683BC" w14:textId="77777777" w:rsidR="0034322D" w:rsidRDefault="0034322D" w:rsidP="00931169">
            <w:pPr>
              <w:rPr>
                <w:rFonts w:cstheme="minorHAnsi"/>
                <w:sz w:val="18"/>
                <w:szCs w:val="18"/>
              </w:rPr>
            </w:pPr>
            <w:r>
              <w:rPr>
                <w:rFonts w:cstheme="minorHAnsi"/>
                <w:sz w:val="18"/>
                <w:szCs w:val="18"/>
              </w:rPr>
              <w:t>60</w:t>
            </w:r>
          </w:p>
        </w:tc>
        <w:tc>
          <w:tcPr>
            <w:tcW w:w="516" w:type="dxa"/>
            <w:tcBorders>
              <w:top w:val="single" w:sz="4" w:space="0" w:color="auto"/>
              <w:left w:val="single" w:sz="4" w:space="0" w:color="auto"/>
              <w:bottom w:val="single" w:sz="4" w:space="0" w:color="auto"/>
              <w:right w:val="single" w:sz="4" w:space="0" w:color="auto"/>
            </w:tcBorders>
            <w:vAlign w:val="center"/>
            <w:hideMark/>
          </w:tcPr>
          <w:p w14:paraId="4C48C43F" w14:textId="77777777" w:rsidR="0034322D" w:rsidRDefault="0034322D" w:rsidP="00931169">
            <w:pPr>
              <w:rPr>
                <w:rFonts w:cstheme="minorHAnsi"/>
                <w:sz w:val="18"/>
                <w:szCs w:val="18"/>
              </w:rPr>
            </w:pPr>
            <w:r>
              <w:rPr>
                <w:rFonts w:cstheme="minorHAnsi"/>
                <w:sz w:val="18"/>
                <w:szCs w:val="18"/>
              </w:rPr>
              <w:t>66</w:t>
            </w:r>
          </w:p>
        </w:tc>
        <w:tc>
          <w:tcPr>
            <w:tcW w:w="516" w:type="dxa"/>
            <w:tcBorders>
              <w:top w:val="single" w:sz="4" w:space="0" w:color="auto"/>
              <w:left w:val="single" w:sz="4" w:space="0" w:color="auto"/>
              <w:bottom w:val="single" w:sz="4" w:space="0" w:color="auto"/>
              <w:right w:val="single" w:sz="4" w:space="0" w:color="auto"/>
            </w:tcBorders>
            <w:vAlign w:val="center"/>
            <w:hideMark/>
          </w:tcPr>
          <w:p w14:paraId="1E9D95F5" w14:textId="77777777" w:rsidR="0034322D" w:rsidRDefault="0034322D" w:rsidP="00931169">
            <w:pPr>
              <w:rPr>
                <w:rFonts w:cstheme="minorHAnsi"/>
                <w:sz w:val="18"/>
                <w:szCs w:val="18"/>
              </w:rPr>
            </w:pPr>
            <w:r>
              <w:rPr>
                <w:rFonts w:cstheme="minorHAnsi"/>
                <w:sz w:val="18"/>
                <w:szCs w:val="18"/>
              </w:rPr>
              <w:t>88</w:t>
            </w:r>
          </w:p>
        </w:tc>
        <w:tc>
          <w:tcPr>
            <w:tcW w:w="516" w:type="dxa"/>
            <w:tcBorders>
              <w:top w:val="single" w:sz="4" w:space="0" w:color="auto"/>
              <w:left w:val="single" w:sz="4" w:space="0" w:color="auto"/>
              <w:bottom w:val="single" w:sz="4" w:space="0" w:color="auto"/>
              <w:right w:val="single" w:sz="4" w:space="0" w:color="auto"/>
            </w:tcBorders>
            <w:vAlign w:val="center"/>
            <w:hideMark/>
          </w:tcPr>
          <w:p w14:paraId="1E8E8F27" w14:textId="77777777" w:rsidR="0034322D" w:rsidRDefault="0034322D" w:rsidP="00931169">
            <w:pPr>
              <w:rPr>
                <w:rFonts w:cstheme="minorHAnsi"/>
                <w:sz w:val="18"/>
                <w:szCs w:val="18"/>
              </w:rPr>
            </w:pPr>
            <w:r>
              <w:rPr>
                <w:rFonts w:cstheme="minorHAnsi"/>
                <w:sz w:val="18"/>
                <w:szCs w:val="18"/>
              </w:rPr>
              <w:t>111</w:t>
            </w:r>
          </w:p>
        </w:tc>
        <w:tc>
          <w:tcPr>
            <w:tcW w:w="517" w:type="dxa"/>
            <w:tcBorders>
              <w:top w:val="single" w:sz="4" w:space="0" w:color="auto"/>
              <w:left w:val="single" w:sz="4" w:space="0" w:color="auto"/>
              <w:bottom w:val="single" w:sz="4" w:space="0" w:color="auto"/>
              <w:right w:val="single" w:sz="4" w:space="0" w:color="auto"/>
            </w:tcBorders>
            <w:vAlign w:val="center"/>
            <w:hideMark/>
          </w:tcPr>
          <w:p w14:paraId="5E169904" w14:textId="77777777" w:rsidR="0034322D" w:rsidRDefault="0034322D" w:rsidP="00931169">
            <w:pPr>
              <w:rPr>
                <w:rFonts w:cstheme="minorHAnsi"/>
                <w:sz w:val="18"/>
                <w:szCs w:val="18"/>
              </w:rPr>
            </w:pPr>
            <w:r>
              <w:rPr>
                <w:rFonts w:cstheme="minorHAnsi"/>
                <w:sz w:val="18"/>
                <w:szCs w:val="18"/>
              </w:rPr>
              <w:t>100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23F92418" w14:textId="77777777" w:rsidR="0034322D" w:rsidRDefault="0034322D" w:rsidP="00931169">
            <w:pPr>
              <w:rPr>
                <w:rFonts w:cstheme="minorHAnsi"/>
                <w:sz w:val="18"/>
                <w:szCs w:val="18"/>
              </w:rPr>
            </w:pPr>
            <w:r>
              <w:rPr>
                <w:rFonts w:cstheme="minorHAnsi"/>
                <w:sz w:val="18"/>
                <w:szCs w:val="18"/>
              </w:rPr>
              <w:t>86</w:t>
            </w:r>
          </w:p>
        </w:tc>
        <w:tc>
          <w:tcPr>
            <w:tcW w:w="516" w:type="dxa"/>
            <w:tcBorders>
              <w:top w:val="single" w:sz="4" w:space="0" w:color="auto"/>
              <w:left w:val="single" w:sz="4" w:space="0" w:color="auto"/>
              <w:bottom w:val="single" w:sz="4" w:space="0" w:color="auto"/>
              <w:right w:val="single" w:sz="4" w:space="0" w:color="auto"/>
            </w:tcBorders>
            <w:vAlign w:val="center"/>
            <w:hideMark/>
          </w:tcPr>
          <w:p w14:paraId="27EA66F1" w14:textId="77777777" w:rsidR="0034322D" w:rsidRDefault="0034322D" w:rsidP="00931169">
            <w:pPr>
              <w:rPr>
                <w:rFonts w:cstheme="minorHAnsi"/>
                <w:sz w:val="18"/>
                <w:szCs w:val="18"/>
              </w:rPr>
            </w:pPr>
            <w:r>
              <w:rPr>
                <w:rFonts w:cstheme="minorHAnsi"/>
                <w:sz w:val="18"/>
                <w:szCs w:val="18"/>
              </w:rPr>
              <w:t>75</w:t>
            </w:r>
          </w:p>
        </w:tc>
        <w:tc>
          <w:tcPr>
            <w:tcW w:w="516" w:type="dxa"/>
            <w:tcBorders>
              <w:top w:val="single" w:sz="4" w:space="0" w:color="auto"/>
              <w:left w:val="single" w:sz="4" w:space="0" w:color="auto"/>
              <w:bottom w:val="single" w:sz="4" w:space="0" w:color="auto"/>
              <w:right w:val="single" w:sz="4" w:space="0" w:color="auto"/>
            </w:tcBorders>
            <w:vAlign w:val="center"/>
            <w:hideMark/>
          </w:tcPr>
          <w:p w14:paraId="667BE432" w14:textId="77777777" w:rsidR="0034322D" w:rsidRDefault="0034322D" w:rsidP="00931169">
            <w:pPr>
              <w:rPr>
                <w:rFonts w:cstheme="minorHAnsi"/>
                <w:sz w:val="18"/>
                <w:szCs w:val="18"/>
              </w:rPr>
            </w:pPr>
            <w:r>
              <w:rPr>
                <w:rFonts w:cstheme="minorHAnsi"/>
                <w:sz w:val="18"/>
                <w:szCs w:val="18"/>
              </w:rPr>
              <w:t>53</w:t>
            </w:r>
          </w:p>
        </w:tc>
        <w:tc>
          <w:tcPr>
            <w:tcW w:w="516" w:type="dxa"/>
            <w:tcBorders>
              <w:top w:val="single" w:sz="4" w:space="0" w:color="auto"/>
              <w:left w:val="single" w:sz="4" w:space="0" w:color="auto"/>
              <w:bottom w:val="single" w:sz="4" w:space="0" w:color="auto"/>
              <w:right w:val="single" w:sz="4" w:space="0" w:color="auto"/>
            </w:tcBorders>
            <w:vAlign w:val="center"/>
            <w:hideMark/>
          </w:tcPr>
          <w:p w14:paraId="39EE384B" w14:textId="77777777" w:rsidR="0034322D" w:rsidRDefault="0034322D" w:rsidP="00931169">
            <w:pPr>
              <w:rPr>
                <w:rFonts w:cstheme="minorHAnsi"/>
                <w:sz w:val="18"/>
                <w:szCs w:val="18"/>
              </w:rPr>
            </w:pPr>
            <w:r>
              <w:rPr>
                <w:rFonts w:cstheme="minorHAnsi"/>
                <w:sz w:val="18"/>
                <w:szCs w:val="18"/>
              </w:rPr>
              <w:t>69</w:t>
            </w:r>
          </w:p>
        </w:tc>
        <w:tc>
          <w:tcPr>
            <w:tcW w:w="516" w:type="dxa"/>
            <w:tcBorders>
              <w:top w:val="single" w:sz="4" w:space="0" w:color="auto"/>
              <w:left w:val="single" w:sz="4" w:space="0" w:color="auto"/>
              <w:bottom w:val="single" w:sz="4" w:space="0" w:color="auto"/>
              <w:right w:val="single" w:sz="4" w:space="0" w:color="auto"/>
            </w:tcBorders>
            <w:vAlign w:val="center"/>
            <w:hideMark/>
          </w:tcPr>
          <w:p w14:paraId="02F25ED4" w14:textId="77777777" w:rsidR="0034322D" w:rsidRDefault="0034322D" w:rsidP="00931169">
            <w:pPr>
              <w:rPr>
                <w:rFonts w:cstheme="minorHAnsi"/>
                <w:sz w:val="18"/>
                <w:szCs w:val="18"/>
              </w:rPr>
            </w:pPr>
            <w:r>
              <w:rPr>
                <w:rFonts w:cstheme="minorHAnsi"/>
                <w:sz w:val="18"/>
                <w:szCs w:val="18"/>
              </w:rPr>
              <w:t>71</w:t>
            </w:r>
          </w:p>
        </w:tc>
        <w:tc>
          <w:tcPr>
            <w:tcW w:w="517" w:type="dxa"/>
            <w:tcBorders>
              <w:top w:val="single" w:sz="4" w:space="0" w:color="auto"/>
              <w:left w:val="single" w:sz="4" w:space="0" w:color="auto"/>
              <w:bottom w:val="single" w:sz="4" w:space="0" w:color="auto"/>
              <w:right w:val="single" w:sz="4" w:space="0" w:color="auto"/>
            </w:tcBorders>
            <w:vAlign w:val="center"/>
            <w:hideMark/>
          </w:tcPr>
          <w:p w14:paraId="272CACBB" w14:textId="77777777" w:rsidR="0034322D" w:rsidRDefault="0034322D" w:rsidP="00931169">
            <w:pPr>
              <w:rPr>
                <w:rFonts w:cstheme="minorHAnsi"/>
                <w:sz w:val="18"/>
                <w:szCs w:val="18"/>
              </w:rPr>
            </w:pPr>
            <w:r>
              <w:rPr>
                <w:rFonts w:cstheme="minorHAnsi"/>
                <w:sz w:val="18"/>
                <w:szCs w:val="18"/>
              </w:rPr>
              <w:t>890</w:t>
            </w:r>
          </w:p>
        </w:tc>
      </w:tr>
    </w:tbl>
    <w:p w14:paraId="1724B209" w14:textId="77777777" w:rsidR="0034322D" w:rsidRDefault="0034322D" w:rsidP="00931169">
      <w:pPr>
        <w:rPr>
          <w:rFonts w:cstheme="minorHAnsi"/>
          <w:sz w:val="22"/>
        </w:rPr>
      </w:pPr>
    </w:p>
    <w:p w14:paraId="75CEC308" w14:textId="77777777" w:rsidR="0034322D" w:rsidRDefault="0034322D" w:rsidP="00931169">
      <w:pPr>
        <w:ind w:firstLine="708"/>
        <w:rPr>
          <w:rFonts w:cstheme="minorHAnsi"/>
        </w:rPr>
      </w:pPr>
      <w:r>
        <w:rPr>
          <w:rFonts w:cstheme="minorHAnsi"/>
        </w:rPr>
        <w:t>Najvyššie priemerné mesačné úhrny sa vyskytujú v júni a v júli. Priemerný počet dní so snehovou pokrývkou s výškou 5 cm a viac sa v Čadci pohybuja na úrovni 70,2 dní, v Žiline o 10 dní menej.</w:t>
      </w:r>
    </w:p>
    <w:p w14:paraId="181CF9DA" w14:textId="77777777" w:rsidR="0034322D" w:rsidRDefault="0034322D" w:rsidP="00931169">
      <w:pPr>
        <w:pStyle w:val="Nadpis2"/>
        <w:rPr>
          <w:rFonts w:cstheme="minorHAnsi"/>
        </w:rPr>
      </w:pPr>
      <w:bookmarkStart w:id="141" w:name="_Toc479159173"/>
      <w:bookmarkStart w:id="142" w:name="_Toc24660447"/>
      <w:bookmarkStart w:id="143" w:name="_Toc24661459"/>
      <w:bookmarkStart w:id="144" w:name="_Toc88652946"/>
      <w:r w:rsidRPr="00F4315B">
        <w:rPr>
          <w:rFonts w:cstheme="minorHAnsi"/>
        </w:rPr>
        <w:t>Rastlinstvo a živočíšstvo</w:t>
      </w:r>
      <w:bookmarkEnd w:id="141"/>
      <w:bookmarkEnd w:id="142"/>
      <w:bookmarkEnd w:id="143"/>
      <w:bookmarkEnd w:id="144"/>
    </w:p>
    <w:p w14:paraId="2AA9E20F" w14:textId="77777777" w:rsidR="0034322D" w:rsidRPr="003A7D4A" w:rsidRDefault="0034322D" w:rsidP="00931169">
      <w:pPr>
        <w:pStyle w:val="Zkladntext"/>
        <w:ind w:firstLine="708"/>
        <w:jc w:val="both"/>
        <w:rPr>
          <w:rFonts w:asciiTheme="minorHAnsi" w:eastAsiaTheme="minorHAnsi" w:hAnsiTheme="minorHAnsi" w:cstheme="minorHAnsi"/>
          <w:b w:val="0"/>
          <w:szCs w:val="22"/>
          <w:lang w:val="sk-SK" w:eastAsia="en-US"/>
        </w:rPr>
      </w:pPr>
      <w:r w:rsidRPr="003A7D4A">
        <w:rPr>
          <w:rFonts w:asciiTheme="minorHAnsi" w:eastAsiaTheme="minorHAnsi" w:hAnsiTheme="minorHAnsi" w:cstheme="minorHAnsi"/>
          <w:b w:val="0"/>
          <w:szCs w:val="22"/>
          <w:lang w:val="sk-SK" w:eastAsia="en-US"/>
        </w:rPr>
        <w:t>Súčasné rozloženie vegetácie je výsledkom dlhodobého pôsobenia človeka na prírodu. Údolné</w:t>
      </w:r>
      <w:r>
        <w:rPr>
          <w:rFonts w:asciiTheme="minorHAnsi" w:hAnsiTheme="minorHAnsi" w:cstheme="minorHAnsi"/>
          <w:b w:val="0"/>
          <w:sz w:val="22"/>
          <w:szCs w:val="22"/>
        </w:rPr>
        <w:t xml:space="preserve"> </w:t>
      </w:r>
      <w:r w:rsidRPr="003A7D4A">
        <w:rPr>
          <w:rFonts w:asciiTheme="minorHAnsi" w:eastAsiaTheme="minorHAnsi" w:hAnsiTheme="minorHAnsi" w:cstheme="minorHAnsi"/>
          <w:b w:val="0"/>
          <w:szCs w:val="22"/>
          <w:lang w:val="sk-SK" w:eastAsia="en-US"/>
        </w:rPr>
        <w:t>rovinatejšie územia s cieľom získania novej obrábateľnej pôdy človek vyklčoval. V hornatej časti lesných spoločenstiev zmenil druhové zloženie drevín v záujme väčšej produktivity drevnej hmoty.</w:t>
      </w:r>
    </w:p>
    <w:p w14:paraId="52522653" w14:textId="77777777" w:rsidR="0034322D" w:rsidRPr="003A7D4A" w:rsidRDefault="0034322D" w:rsidP="00931169">
      <w:pPr>
        <w:pStyle w:val="Zkladntext"/>
        <w:ind w:firstLine="708"/>
        <w:jc w:val="both"/>
        <w:rPr>
          <w:rFonts w:asciiTheme="minorHAnsi" w:eastAsiaTheme="minorHAnsi" w:hAnsiTheme="minorHAnsi" w:cstheme="minorHAnsi"/>
          <w:b w:val="0"/>
          <w:szCs w:val="22"/>
          <w:lang w:val="sk-SK" w:eastAsia="en-US"/>
        </w:rPr>
      </w:pPr>
      <w:r w:rsidRPr="003A7D4A">
        <w:rPr>
          <w:rFonts w:asciiTheme="minorHAnsi" w:eastAsiaTheme="minorHAnsi" w:hAnsiTheme="minorHAnsi" w:cstheme="minorHAnsi"/>
          <w:b w:val="0"/>
          <w:szCs w:val="22"/>
          <w:lang w:val="sk-SK" w:eastAsia="en-US"/>
        </w:rPr>
        <w:t xml:space="preserve">Z hľadiska historického vývoja zalesnenia prešlo územie významnými zmenami. Pôvodne bolo celé záujmové územie pokryté lesnými spoločenstvami. Podľa Geobotanickej mapy ČSSR (Michalko, J. a kol, 1986) je trasa hodnotenej činnosti v údolí tokov Kysuca, Čierňanka a Šľahorov potok situovaná na území, na ktorom je prirodzená potenciálna vegetácia zastúpená lužnými lesmi podhorskými a horskými (Alnenion glutinoso – incanae, Salicion triandrae p.p. Salicion eleagni). </w:t>
      </w:r>
    </w:p>
    <w:p w14:paraId="349525EE" w14:textId="77777777" w:rsidR="0034322D" w:rsidRPr="003A7D4A" w:rsidRDefault="0034322D" w:rsidP="00931169">
      <w:pPr>
        <w:pStyle w:val="Zkladntext"/>
        <w:ind w:firstLine="708"/>
        <w:jc w:val="both"/>
        <w:rPr>
          <w:rFonts w:asciiTheme="minorHAnsi" w:eastAsiaTheme="minorHAnsi" w:hAnsiTheme="minorHAnsi" w:cstheme="minorHAnsi"/>
          <w:b w:val="0"/>
          <w:szCs w:val="22"/>
          <w:lang w:val="sk-SK" w:eastAsia="en-US"/>
        </w:rPr>
      </w:pPr>
      <w:r w:rsidRPr="003A7D4A">
        <w:rPr>
          <w:rFonts w:asciiTheme="minorHAnsi" w:eastAsiaTheme="minorHAnsi" w:hAnsiTheme="minorHAnsi" w:cstheme="minorHAnsi"/>
          <w:b w:val="0"/>
          <w:szCs w:val="22"/>
          <w:lang w:val="sk-SK" w:eastAsia="en-US"/>
        </w:rPr>
        <w:t>Mimo údolnej nivy tokov je potenciálna vegetácia takmer na celom dotknutom území zastúpená bukovými a jedľovými kvetnatými lesmi (Eu Fagenion p.p maj). Výnimku tvorí územie situované západne od Krásna nad Kysucou, kde potenciálnu vegetáciu tvoria bukové kyslomilné lesy podhorské (Luzulo - Fagion p.p. min) a územie v lokalite Podzávoz, kde v minulosti prevládali bukové kyslomilné lesy horské (Luzulo - Fagion p.p. maj).</w:t>
      </w:r>
    </w:p>
    <w:p w14:paraId="58DCE4E4" w14:textId="77777777" w:rsidR="0034322D" w:rsidRPr="003A7D4A" w:rsidRDefault="0034322D" w:rsidP="00931169">
      <w:pPr>
        <w:pStyle w:val="Zkladntext"/>
        <w:ind w:firstLine="708"/>
        <w:jc w:val="both"/>
        <w:rPr>
          <w:rFonts w:asciiTheme="minorHAnsi" w:eastAsiaTheme="minorHAnsi" w:hAnsiTheme="minorHAnsi" w:cstheme="minorHAnsi"/>
          <w:b w:val="0"/>
          <w:szCs w:val="22"/>
          <w:lang w:val="sk-SK" w:eastAsia="en-US"/>
        </w:rPr>
      </w:pPr>
      <w:r w:rsidRPr="003A7D4A">
        <w:rPr>
          <w:rFonts w:asciiTheme="minorHAnsi" w:eastAsiaTheme="minorHAnsi" w:hAnsiTheme="minorHAnsi" w:cstheme="minorHAnsi"/>
          <w:b w:val="0"/>
          <w:szCs w:val="22"/>
          <w:lang w:val="sk-SK" w:eastAsia="en-US"/>
        </w:rPr>
        <w:t xml:space="preserve">Všetky varianty plánovanej modernizovane trate prechádzajú intenzívne využívanou a antropicky ovplyvnenou krajinou pričom z veľkej časti  kopírujú už existujúcu trať. Odzrkadľuje to aj charakter dotknutých biotopov – majoritnú časť predstavujú biotopy antropicky determinované, s nízkou environmentálnou hodnotou. Prírode najbližšími biotopmi sú vodné toky. </w:t>
      </w:r>
    </w:p>
    <w:p w14:paraId="2D45D8F8" w14:textId="77777777" w:rsidR="0034322D" w:rsidRPr="003A7D4A" w:rsidRDefault="0034322D" w:rsidP="00931169">
      <w:pPr>
        <w:pStyle w:val="Zkladntext"/>
        <w:ind w:firstLine="708"/>
        <w:jc w:val="both"/>
        <w:rPr>
          <w:rFonts w:asciiTheme="minorHAnsi" w:eastAsiaTheme="minorHAnsi" w:hAnsiTheme="minorHAnsi" w:cstheme="minorHAnsi"/>
          <w:b w:val="0"/>
          <w:szCs w:val="22"/>
          <w:lang w:val="sk-SK" w:eastAsia="en-US"/>
        </w:rPr>
      </w:pPr>
      <w:r w:rsidRPr="003A7D4A">
        <w:rPr>
          <w:rFonts w:asciiTheme="minorHAnsi" w:eastAsiaTheme="minorHAnsi" w:hAnsiTheme="minorHAnsi" w:cstheme="minorHAnsi"/>
          <w:b w:val="0"/>
          <w:szCs w:val="22"/>
          <w:lang w:val="sk-SK" w:eastAsia="en-US"/>
        </w:rPr>
        <w:t>Fauna CHKO Kysuce je veľmi rozmanitá a bohatá. Na území dosiaľ zistili 205 druhov stavovcov. Predstavuje západnú hranicu rozšírenia všetkých veľkých šeliem žijúcich na Slovensku – vlka, medveďa a rysa. Vyskytuje sa tu aj vydra a lesné kury, z glaciálnych reliktov tu žije pôtik kapcavý, kuvičok vrabčí, ďubník trojprstý, myšovka vrchovská a vzácny karpatský endemit – mlok karpatský.</w:t>
      </w:r>
    </w:p>
    <w:p w14:paraId="6BA16946" w14:textId="77777777" w:rsidR="0034322D" w:rsidRPr="003A7D4A" w:rsidRDefault="0034322D" w:rsidP="00931169">
      <w:pPr>
        <w:pStyle w:val="Zkladntext"/>
        <w:ind w:firstLine="708"/>
        <w:jc w:val="both"/>
        <w:rPr>
          <w:rFonts w:asciiTheme="minorHAnsi" w:eastAsiaTheme="minorHAnsi" w:hAnsiTheme="minorHAnsi" w:cstheme="minorHAnsi"/>
          <w:b w:val="0"/>
          <w:szCs w:val="22"/>
          <w:lang w:val="sk-SK" w:eastAsia="en-US"/>
        </w:rPr>
      </w:pPr>
      <w:r w:rsidRPr="003A7D4A">
        <w:rPr>
          <w:rFonts w:asciiTheme="minorHAnsi" w:eastAsiaTheme="minorHAnsi" w:hAnsiTheme="minorHAnsi" w:cstheme="minorHAnsi"/>
          <w:b w:val="0"/>
          <w:szCs w:val="22"/>
          <w:lang w:val="sk-SK" w:eastAsia="en-US"/>
        </w:rPr>
        <w:lastRenderedPageBreak/>
        <w:t>Druhy európskeho významu: fúzač alpský, plocháč červený, hlaváč bieloplutvý, kunka žltobruchá, mlok karpatský, netopier obyčajný, rys ostrovid, vydra riečna, medveď hnedý, vlk dravý,  hraboš tatranský a pĺž severný.</w:t>
      </w:r>
    </w:p>
    <w:p w14:paraId="2A5091B3" w14:textId="77777777" w:rsidR="0034322D" w:rsidRPr="003A7D4A" w:rsidRDefault="0034322D" w:rsidP="00931169">
      <w:pPr>
        <w:pStyle w:val="Zkladntext"/>
        <w:jc w:val="both"/>
        <w:rPr>
          <w:rFonts w:asciiTheme="minorHAnsi" w:eastAsiaTheme="minorHAnsi" w:hAnsiTheme="minorHAnsi" w:cstheme="minorHAnsi"/>
          <w:b w:val="0"/>
          <w:szCs w:val="22"/>
          <w:lang w:val="sk-SK" w:eastAsia="en-US"/>
        </w:rPr>
      </w:pPr>
    </w:p>
    <w:p w14:paraId="6FF24FD3" w14:textId="77777777" w:rsidR="0034322D" w:rsidRDefault="0034322D" w:rsidP="00931169">
      <w:pPr>
        <w:pStyle w:val="Nadpis2"/>
        <w:rPr>
          <w:rFonts w:cstheme="minorHAnsi"/>
        </w:rPr>
      </w:pPr>
      <w:bookmarkStart w:id="145" w:name="_Toc477421502"/>
      <w:bookmarkStart w:id="146" w:name="_Toc478377304"/>
      <w:bookmarkStart w:id="147" w:name="_Toc462812186"/>
      <w:bookmarkStart w:id="148" w:name="_Toc479159176"/>
      <w:bookmarkStart w:id="149" w:name="_Toc24660448"/>
      <w:bookmarkStart w:id="150" w:name="_Toc24661460"/>
      <w:bookmarkStart w:id="151" w:name="_Toc88652947"/>
      <w:bookmarkEnd w:id="145"/>
      <w:bookmarkEnd w:id="146"/>
      <w:r w:rsidRPr="00F4315B">
        <w:rPr>
          <w:rFonts w:cstheme="minorHAnsi"/>
        </w:rPr>
        <w:t>Kultúrne dedičstvo</w:t>
      </w:r>
      <w:bookmarkEnd w:id="147"/>
      <w:bookmarkEnd w:id="148"/>
      <w:bookmarkEnd w:id="149"/>
      <w:bookmarkEnd w:id="150"/>
      <w:bookmarkEnd w:id="151"/>
      <w:r w:rsidRPr="00F4315B">
        <w:rPr>
          <w:rFonts w:cstheme="minorHAnsi"/>
        </w:rPr>
        <w:t xml:space="preserve"> </w:t>
      </w:r>
    </w:p>
    <w:p w14:paraId="3DED3CA7" w14:textId="77777777" w:rsidR="0034322D" w:rsidRDefault="0034322D" w:rsidP="00931169">
      <w:pPr>
        <w:ind w:firstLine="567"/>
        <w:rPr>
          <w:rFonts w:cstheme="minorHAnsi"/>
        </w:rPr>
      </w:pPr>
      <w:r>
        <w:rPr>
          <w:rFonts w:cstheme="minorHAnsi"/>
        </w:rPr>
        <w:t>Ochrana kultúrneho dedičstva sa riadi zákonom č. 49/2002 Z. z. o ochrane pamiatkového fondu v znení neskorších predpisov. Pamiatkový fond tvoria:</w:t>
      </w:r>
    </w:p>
    <w:p w14:paraId="513C94D4" w14:textId="77777777" w:rsidR="0034322D" w:rsidRDefault="0034322D" w:rsidP="00931169">
      <w:pPr>
        <w:pStyle w:val="BAOdrky"/>
        <w:numPr>
          <w:ilvl w:val="0"/>
          <w:numId w:val="51"/>
        </w:numPr>
        <w:spacing w:before="0" w:after="0"/>
        <w:ind w:left="924" w:hanging="357"/>
        <w:rPr>
          <w:rFonts w:asciiTheme="minorHAnsi" w:hAnsiTheme="minorHAnsi" w:cstheme="minorHAnsi"/>
        </w:rPr>
      </w:pPr>
      <w:r>
        <w:rPr>
          <w:rFonts w:asciiTheme="minorHAnsi" w:hAnsiTheme="minorHAnsi" w:cstheme="minorHAnsi"/>
        </w:rPr>
        <w:t>národné kultúrne pamiatky,</w:t>
      </w:r>
    </w:p>
    <w:p w14:paraId="1C2671C5" w14:textId="77777777" w:rsidR="0034322D" w:rsidRDefault="0034322D" w:rsidP="00931169">
      <w:pPr>
        <w:pStyle w:val="BAOdrky"/>
        <w:numPr>
          <w:ilvl w:val="0"/>
          <w:numId w:val="51"/>
        </w:numPr>
        <w:spacing w:before="0" w:after="0"/>
        <w:ind w:left="924" w:hanging="357"/>
        <w:rPr>
          <w:rFonts w:asciiTheme="minorHAnsi" w:hAnsiTheme="minorHAnsi" w:cstheme="minorHAnsi"/>
        </w:rPr>
      </w:pPr>
      <w:r>
        <w:rPr>
          <w:rFonts w:asciiTheme="minorHAnsi" w:hAnsiTheme="minorHAnsi" w:cstheme="minorHAnsi"/>
        </w:rPr>
        <w:t>pamiatkové rezervácie,</w:t>
      </w:r>
    </w:p>
    <w:p w14:paraId="09E74380" w14:textId="77777777" w:rsidR="0034322D" w:rsidRDefault="0034322D" w:rsidP="00931169">
      <w:pPr>
        <w:pStyle w:val="BAOdrky"/>
        <w:numPr>
          <w:ilvl w:val="0"/>
          <w:numId w:val="51"/>
        </w:numPr>
        <w:spacing w:before="0" w:after="0"/>
        <w:ind w:left="924" w:hanging="357"/>
        <w:rPr>
          <w:rFonts w:asciiTheme="minorHAnsi" w:hAnsiTheme="minorHAnsi" w:cstheme="minorHAnsi"/>
        </w:rPr>
      </w:pPr>
      <w:r>
        <w:rPr>
          <w:rFonts w:asciiTheme="minorHAnsi" w:hAnsiTheme="minorHAnsi" w:cstheme="minorHAnsi"/>
        </w:rPr>
        <w:t>pamiatkové zóny,</w:t>
      </w:r>
    </w:p>
    <w:p w14:paraId="08152A12" w14:textId="77777777" w:rsidR="0034322D" w:rsidRDefault="0034322D" w:rsidP="00931169">
      <w:pPr>
        <w:pStyle w:val="BAOdrky"/>
        <w:numPr>
          <w:ilvl w:val="0"/>
          <w:numId w:val="51"/>
        </w:numPr>
        <w:spacing w:before="0"/>
        <w:ind w:left="927"/>
        <w:rPr>
          <w:rFonts w:asciiTheme="minorHAnsi" w:hAnsiTheme="minorHAnsi" w:cstheme="minorHAnsi"/>
        </w:rPr>
      </w:pPr>
      <w:r>
        <w:rPr>
          <w:rFonts w:asciiTheme="minorHAnsi" w:hAnsiTheme="minorHAnsi" w:cstheme="minorHAnsi"/>
        </w:rPr>
        <w:t>lokality svetového dedičstva UNESCO.</w:t>
      </w:r>
    </w:p>
    <w:p w14:paraId="2EFB9A3B" w14:textId="77777777" w:rsidR="0034322D" w:rsidRDefault="0034322D" w:rsidP="00931169">
      <w:pPr>
        <w:pStyle w:val="Zkladntext"/>
        <w:ind w:firstLine="567"/>
        <w:jc w:val="both"/>
        <w:rPr>
          <w:rFonts w:asciiTheme="minorHAnsi" w:hAnsiTheme="minorHAnsi" w:cstheme="minorHAnsi"/>
          <w:b w:val="0"/>
        </w:rPr>
      </w:pPr>
      <w:r>
        <w:rPr>
          <w:rFonts w:asciiTheme="minorHAnsi" w:hAnsiTheme="minorHAnsi" w:cstheme="minorHAnsi"/>
          <w:b w:val="0"/>
        </w:rPr>
        <w:t>Podľa zákona NR SR č. 49/2002 Z.z. o ochrane pamiatkového fondu sa za pamiatkový fond považuje súbor hnuteľných a nehnuteľných vecí vyhlásených za národné kultúrne pamiatky, pamiatkové rezervácie a pamiatkové zóny.</w:t>
      </w:r>
    </w:p>
    <w:p w14:paraId="05588AED" w14:textId="7CE23859" w:rsidR="0034322D" w:rsidRDefault="0034322D" w:rsidP="00931169">
      <w:pPr>
        <w:pStyle w:val="Zkladntext"/>
        <w:ind w:firstLine="567"/>
        <w:jc w:val="both"/>
        <w:rPr>
          <w:rFonts w:asciiTheme="minorHAnsi" w:hAnsiTheme="minorHAnsi" w:cstheme="minorHAnsi"/>
          <w:b w:val="0"/>
          <w:sz w:val="20"/>
        </w:rPr>
      </w:pPr>
      <w:r>
        <w:rPr>
          <w:rFonts w:asciiTheme="minorHAnsi" w:hAnsiTheme="minorHAnsi" w:cstheme="minorHAnsi"/>
          <w:b w:val="0"/>
        </w:rPr>
        <w:t>Podľa §</w:t>
      </w:r>
      <w:r w:rsidR="003A7D4A">
        <w:rPr>
          <w:rFonts w:asciiTheme="minorHAnsi" w:hAnsiTheme="minorHAnsi" w:cstheme="minorHAnsi"/>
          <w:b w:val="0"/>
          <w:lang w:val="sk-SK"/>
        </w:rPr>
        <w:t xml:space="preserve"> </w:t>
      </w:r>
      <w:r>
        <w:rPr>
          <w:rFonts w:asciiTheme="minorHAnsi" w:hAnsiTheme="minorHAnsi" w:cstheme="minorHAnsi"/>
          <w:b w:val="0"/>
        </w:rPr>
        <w:t>40 uvedeného zákona sa za nález považuje vec pamiatkovej hodnoty, ktorá sa nájde výskumom, pri stavebnej alebo inej činnosti v zemi, pod vodou alebo v hmote historickej stavby. Hnuteľné nálezy sa chránia podľa zákona č. 115/1998 Z. z. o múzeách a galériách a o ochrane predmetov múzejnej hodnoty a galérijnej hodnoty. Nehnuteľné nálezy, ich súbory a archeologické náleziská možno na základe ich pamiatkovej hodnoty vyhlásiť za kultúrne pamiatky, pamiatkové rezervácie alebo pamiatkové zóny.</w:t>
      </w:r>
    </w:p>
    <w:p w14:paraId="30D65022" w14:textId="77777777" w:rsidR="0034322D" w:rsidRDefault="0034322D" w:rsidP="00931169">
      <w:pPr>
        <w:pStyle w:val="Zkladntext"/>
        <w:ind w:firstLine="567"/>
        <w:jc w:val="both"/>
        <w:rPr>
          <w:rFonts w:asciiTheme="minorHAnsi" w:hAnsiTheme="minorHAnsi" w:cstheme="minorHAnsi"/>
          <w:b w:val="0"/>
        </w:rPr>
      </w:pPr>
      <w:r>
        <w:rPr>
          <w:rFonts w:asciiTheme="minorHAnsi" w:hAnsiTheme="minorHAnsi" w:cstheme="minorHAnsi"/>
          <w:b w:val="0"/>
        </w:rPr>
        <w:t xml:space="preserve">V ďalšom stupni projektovej dokumentácie bude ako jeden z dotknutých orgánov oslovený aj Pamiatkový úrad SR, ktorého stanovisko je potrebné pre získanie územného resp. stavebného povolenia. </w:t>
      </w:r>
    </w:p>
    <w:p w14:paraId="28CCFE5F" w14:textId="77777777" w:rsidR="0034322D" w:rsidRDefault="0034322D" w:rsidP="00931169">
      <w:pPr>
        <w:pStyle w:val="Zkladntext"/>
        <w:ind w:firstLine="567"/>
        <w:jc w:val="both"/>
        <w:rPr>
          <w:rFonts w:asciiTheme="minorHAnsi" w:hAnsiTheme="minorHAnsi" w:cstheme="minorHAnsi"/>
          <w:b w:val="0"/>
        </w:rPr>
      </w:pPr>
      <w:r>
        <w:rPr>
          <w:rFonts w:asciiTheme="minorHAnsi" w:hAnsiTheme="minorHAnsi" w:cstheme="minorHAnsi"/>
          <w:b w:val="0"/>
        </w:rPr>
        <w:t xml:space="preserve">V hodnotenom území a širšom okolí sú evidované nasledujúce kultúrne pamiatky (zdroj:  ÚPN Mesta Čadca, 2007; portál Pamiatkový úrad Slovenskej republiky): </w:t>
      </w:r>
    </w:p>
    <w:p w14:paraId="5B474A11" w14:textId="77777777" w:rsidR="0034322D" w:rsidRDefault="0034322D" w:rsidP="00931169">
      <w:pPr>
        <w:pStyle w:val="Zkladntext"/>
        <w:jc w:val="both"/>
        <w:rPr>
          <w:rFonts w:asciiTheme="minorHAnsi" w:hAnsiTheme="minorHAnsi" w:cstheme="minorHAnsi"/>
          <w:b w:val="0"/>
          <w:bCs/>
          <w:u w:val="single"/>
        </w:rPr>
      </w:pPr>
      <w:r>
        <w:rPr>
          <w:rFonts w:asciiTheme="minorHAnsi" w:hAnsiTheme="minorHAnsi" w:cstheme="minorHAnsi"/>
          <w:b w:val="0"/>
          <w:bCs/>
          <w:u w:val="single"/>
        </w:rPr>
        <w:t xml:space="preserve">Mesto Čadca </w:t>
      </w:r>
    </w:p>
    <w:p w14:paraId="58F159EC" w14:textId="77777777" w:rsidR="0034322D" w:rsidRDefault="0034322D" w:rsidP="00931169">
      <w:pPr>
        <w:pStyle w:val="Zkladntext"/>
        <w:ind w:firstLine="708"/>
        <w:jc w:val="both"/>
        <w:rPr>
          <w:rFonts w:asciiTheme="minorHAnsi" w:hAnsiTheme="minorHAnsi" w:cstheme="minorHAnsi"/>
          <w:b w:val="0"/>
          <w:color w:val="FF0000"/>
        </w:rPr>
      </w:pPr>
      <w:r>
        <w:rPr>
          <w:rFonts w:asciiTheme="minorHAnsi" w:hAnsiTheme="minorHAnsi" w:cstheme="minorHAnsi"/>
          <w:b w:val="0"/>
          <w:bCs/>
        </w:rPr>
        <w:t>Rímskokatolícky kostol sv. Bartolomeja s areálom</w:t>
      </w:r>
      <w:r>
        <w:rPr>
          <w:rFonts w:asciiTheme="minorHAnsi" w:hAnsiTheme="minorHAnsi" w:cstheme="minorHAnsi"/>
          <w:b w:val="0"/>
        </w:rPr>
        <w:t xml:space="preserve"> (č. ÚZPF 10522/1-7) sa nachádza v centre mesta Čadca. Kostol je situovaný v strede areálu, okolo je park, v severnej časti fara, západnú časť tvorí lipová aleja so súborom kamenných plastík, hrobov a krížov. Areál je ohradený kamenným múrom s kovovým oplotením. Kostol sv. Bartolomeja apošt. (kat.) je barokový, z roku 1734-1735, postavený na mieste dreveného kostola, rozšírený o kaplnku, pristavanú v r. 1751- 1753. R. 1778 dokončili stavbu veže, r. 1783 postavili kaplnku sv. Jána Nepomuckého. Kostol bol renovovaný v rokoch 1836, 1899, v 1. tretine 20. stor. a po roku 1945. V areáli kostola sa nachádza 19 líp veľkolistých, ktoré sú zahrnuté do zoznamu chránených stromov v Žilinskom kraji. </w:t>
      </w:r>
    </w:p>
    <w:p w14:paraId="3E139437" w14:textId="77777777" w:rsidR="0034322D" w:rsidRDefault="0034322D" w:rsidP="00931169">
      <w:pPr>
        <w:pStyle w:val="Zkladntext"/>
        <w:ind w:firstLine="708"/>
        <w:jc w:val="both"/>
        <w:rPr>
          <w:rFonts w:asciiTheme="minorHAnsi" w:hAnsiTheme="minorHAnsi" w:cstheme="minorHAnsi"/>
          <w:b w:val="0"/>
        </w:rPr>
      </w:pPr>
      <w:r>
        <w:rPr>
          <w:rFonts w:asciiTheme="minorHAnsi" w:hAnsiTheme="minorHAnsi" w:cstheme="minorHAnsi"/>
          <w:b w:val="0"/>
          <w:bCs/>
        </w:rPr>
        <w:t>Meštiansky dom č. 11 na nám. Slobody</w:t>
      </w:r>
      <w:r>
        <w:rPr>
          <w:rFonts w:asciiTheme="minorHAnsi" w:hAnsiTheme="minorHAnsi" w:cstheme="minorHAnsi"/>
          <w:b w:val="0"/>
        </w:rPr>
        <w:t xml:space="preserve"> (č. ÚZPF 10523, parc. č. 643) je nárožný objekt s celistvo uchovanou secesnou fasádou s bohatým tektonickým riešením. </w:t>
      </w:r>
    </w:p>
    <w:p w14:paraId="1029E7E3" w14:textId="77777777" w:rsidR="0034322D" w:rsidRDefault="0034322D" w:rsidP="00931169">
      <w:pPr>
        <w:pStyle w:val="Zkladntext"/>
        <w:ind w:firstLine="708"/>
        <w:jc w:val="both"/>
        <w:rPr>
          <w:rFonts w:asciiTheme="minorHAnsi" w:hAnsiTheme="minorHAnsi" w:cstheme="minorHAnsi"/>
          <w:b w:val="0"/>
        </w:rPr>
      </w:pPr>
      <w:r>
        <w:rPr>
          <w:rFonts w:asciiTheme="minorHAnsi" w:hAnsiTheme="minorHAnsi" w:cstheme="minorHAnsi"/>
          <w:b w:val="0"/>
          <w:bCs/>
        </w:rPr>
        <w:lastRenderedPageBreak/>
        <w:t>Meštiansky dom č. 13 na nám. Slobody</w:t>
      </w:r>
      <w:r>
        <w:rPr>
          <w:rFonts w:asciiTheme="minorHAnsi" w:hAnsiTheme="minorHAnsi" w:cstheme="minorHAnsi"/>
          <w:b w:val="0"/>
        </w:rPr>
        <w:t xml:space="preserve"> (č. ÚZPF 10524, parc. č. 644) je umiestnený v radovej zástavbe západnej časti námestia. </w:t>
      </w:r>
    </w:p>
    <w:p w14:paraId="32B1A424" w14:textId="77777777" w:rsidR="0034322D" w:rsidRDefault="0034322D" w:rsidP="00931169">
      <w:pPr>
        <w:pStyle w:val="Zkladntext"/>
        <w:ind w:firstLine="708"/>
        <w:jc w:val="both"/>
        <w:rPr>
          <w:rFonts w:asciiTheme="minorHAnsi" w:hAnsiTheme="minorHAnsi" w:cstheme="minorHAnsi"/>
          <w:b w:val="0"/>
        </w:rPr>
      </w:pPr>
      <w:r>
        <w:rPr>
          <w:rFonts w:asciiTheme="minorHAnsi" w:hAnsiTheme="minorHAnsi" w:cstheme="minorHAnsi"/>
          <w:b w:val="0"/>
          <w:bCs/>
        </w:rPr>
        <w:t>Meštiansky dom na Palárikovej ulici č. 1</w:t>
      </w:r>
      <w:r>
        <w:rPr>
          <w:rFonts w:asciiTheme="minorHAnsi" w:hAnsiTheme="minorHAnsi" w:cstheme="minorHAnsi"/>
          <w:b w:val="0"/>
        </w:rPr>
        <w:t xml:space="preserve"> (č ÚZPF 10525, parc. č. 683) je výraznou dominantou nárožia dvoch urbanistických osí mesta. </w:t>
      </w:r>
    </w:p>
    <w:p w14:paraId="63F2C727" w14:textId="77777777" w:rsidR="0034322D" w:rsidRDefault="0034322D" w:rsidP="00931169">
      <w:pPr>
        <w:pStyle w:val="Zkladntext"/>
        <w:ind w:firstLine="708"/>
        <w:jc w:val="both"/>
        <w:rPr>
          <w:rFonts w:asciiTheme="minorHAnsi" w:hAnsiTheme="minorHAnsi" w:cstheme="minorHAnsi"/>
          <w:b w:val="0"/>
        </w:rPr>
      </w:pPr>
      <w:r>
        <w:rPr>
          <w:rFonts w:asciiTheme="minorHAnsi" w:hAnsiTheme="minorHAnsi" w:cstheme="minorHAnsi"/>
          <w:b w:val="0"/>
          <w:bCs/>
        </w:rPr>
        <w:t>Meštiansky dom na Palárikovej ulici č. 4</w:t>
      </w:r>
      <w:r>
        <w:rPr>
          <w:rFonts w:asciiTheme="minorHAnsi" w:hAnsiTheme="minorHAnsi" w:cstheme="minorHAnsi"/>
          <w:b w:val="0"/>
        </w:rPr>
        <w:t xml:space="preserve"> (č. ÚZPF 10526, parc. č. 632) je v nárožnej polohe radovej zástavby severnej strany ulice. </w:t>
      </w:r>
    </w:p>
    <w:p w14:paraId="73CF0758" w14:textId="77777777" w:rsidR="0034322D" w:rsidRDefault="0034322D" w:rsidP="00931169">
      <w:pPr>
        <w:pStyle w:val="Zkladntext"/>
        <w:ind w:firstLine="708"/>
        <w:jc w:val="both"/>
        <w:rPr>
          <w:rFonts w:asciiTheme="minorHAnsi" w:hAnsiTheme="minorHAnsi" w:cstheme="minorHAnsi"/>
          <w:b w:val="0"/>
        </w:rPr>
      </w:pPr>
      <w:r>
        <w:rPr>
          <w:rFonts w:asciiTheme="minorHAnsi" w:hAnsiTheme="minorHAnsi" w:cstheme="minorHAnsi"/>
          <w:b w:val="0"/>
          <w:bCs/>
        </w:rPr>
        <w:t>Meštiansky dom na Palárikovej ulici č. 20</w:t>
      </w:r>
      <w:r>
        <w:rPr>
          <w:rFonts w:asciiTheme="minorHAnsi" w:hAnsiTheme="minorHAnsi" w:cstheme="minorHAnsi"/>
          <w:b w:val="0"/>
        </w:rPr>
        <w:t xml:space="preserve"> (č. ÚZPF 10527, parc. č. 617) je umiestnený v radovej zástavbe severnej strany ulice. Neorenesančná fasáda je typická svojím pravouhlým arkierom so zvoncovou vežičkou a štukovou výzdobou s rastlinnými motívmi a stužkami s datovaním 1911. V riešenom území v časti U Husárikov sa pri miestnej komunikácii nachádza </w:t>
      </w:r>
      <w:r>
        <w:rPr>
          <w:rFonts w:asciiTheme="minorHAnsi" w:hAnsiTheme="minorHAnsi" w:cstheme="minorHAnsi"/>
          <w:b w:val="0"/>
          <w:bCs/>
        </w:rPr>
        <w:t>prícestná kaplnka</w:t>
      </w:r>
      <w:r>
        <w:rPr>
          <w:rFonts w:asciiTheme="minorHAnsi" w:hAnsiTheme="minorHAnsi" w:cstheme="minorHAnsi"/>
          <w:b w:val="0"/>
        </w:rPr>
        <w:t xml:space="preserve"> (č. ÚZPF 10794, parc. č. 13423) z obdobia 19. stor., neskôr rekonštruovaná. Objekt kaplnky patrí k dochovaným drobným sakrálnym stavbám, s pôvodnou funkciou a výzdobou interiéru a exteriéru, so znakmi ľudového staviteľstva. Pri prípadnej zástavbe tohto územia ako športovo-rekreačnej zóny je potrebné kaplnku zachovať ako prezentačný solitér. </w:t>
      </w:r>
    </w:p>
    <w:p w14:paraId="6859B58D" w14:textId="228FAFF7" w:rsidR="0034322D" w:rsidRDefault="0034322D" w:rsidP="00931169">
      <w:pPr>
        <w:pStyle w:val="Zkladntext"/>
        <w:ind w:firstLine="360"/>
        <w:jc w:val="both"/>
        <w:rPr>
          <w:rFonts w:asciiTheme="minorHAnsi" w:hAnsiTheme="minorHAnsi" w:cstheme="minorHAnsi"/>
          <w:b w:val="0"/>
        </w:rPr>
      </w:pPr>
      <w:r>
        <w:rPr>
          <w:rFonts w:asciiTheme="minorHAnsi" w:hAnsiTheme="minorHAnsi" w:cstheme="minorHAnsi"/>
          <w:b w:val="0"/>
        </w:rPr>
        <w:t>V</w:t>
      </w:r>
      <w:r w:rsidR="003A7D4A">
        <w:rPr>
          <w:rFonts w:asciiTheme="minorHAnsi" w:hAnsiTheme="minorHAnsi" w:cstheme="minorHAnsi"/>
          <w:b w:val="0"/>
        </w:rPr>
        <w:t> </w:t>
      </w:r>
      <w:r w:rsidR="003A7D4A">
        <w:rPr>
          <w:rFonts w:asciiTheme="minorHAnsi" w:hAnsiTheme="minorHAnsi" w:cstheme="minorHAnsi"/>
          <w:b w:val="0"/>
          <w:lang w:val="sk-SK"/>
        </w:rPr>
        <w:t>dokumente S</w:t>
      </w:r>
      <w:r>
        <w:rPr>
          <w:rFonts w:asciiTheme="minorHAnsi" w:hAnsiTheme="minorHAnsi" w:cstheme="minorHAnsi"/>
          <w:b w:val="0"/>
        </w:rPr>
        <w:t>úpise pamiatok sú uvedené tieto doposiaľ existujúce objekty :</w:t>
      </w:r>
    </w:p>
    <w:p w14:paraId="5496C25B" w14:textId="77777777" w:rsidR="0034322D" w:rsidRDefault="0034322D" w:rsidP="00931169">
      <w:pPr>
        <w:numPr>
          <w:ilvl w:val="0"/>
          <w:numId w:val="56"/>
        </w:numPr>
        <w:spacing w:line="268" w:lineRule="auto"/>
        <w:rPr>
          <w:rFonts w:cstheme="minorHAnsi"/>
        </w:rPr>
      </w:pPr>
      <w:r>
        <w:rPr>
          <w:rFonts w:cstheme="minorHAnsi"/>
        </w:rPr>
        <w:t>administratívna budova, pôvodne Okresný úrad, postavená podľa projektu arch. J. Chorváta,</w:t>
      </w:r>
    </w:p>
    <w:p w14:paraId="36AAF89F" w14:textId="77777777" w:rsidR="0034322D" w:rsidRDefault="0034322D" w:rsidP="00931169">
      <w:pPr>
        <w:numPr>
          <w:ilvl w:val="0"/>
          <w:numId w:val="56"/>
        </w:numPr>
        <w:spacing w:line="268" w:lineRule="auto"/>
        <w:rPr>
          <w:rFonts w:cstheme="minorHAnsi"/>
        </w:rPr>
      </w:pPr>
      <w:r>
        <w:rPr>
          <w:rFonts w:cstheme="minorHAnsi"/>
        </w:rPr>
        <w:t>mestská radnica, postavená r. 1932 podľa projektu arch. Ž. Wertheimera. Trojpodlažná, symetricky riešená rohová dispozícia má o dve podlažia prevýšený stredný rizalit s arkádou. Vertikálne pôsobenie rizalitu zdôrazňujú lizény a hodinová veža v osi kompozície.</w:t>
      </w:r>
    </w:p>
    <w:p w14:paraId="5810C440" w14:textId="77777777" w:rsidR="0034322D" w:rsidRDefault="0034322D" w:rsidP="00931169">
      <w:pPr>
        <w:numPr>
          <w:ilvl w:val="0"/>
          <w:numId w:val="56"/>
        </w:numPr>
        <w:spacing w:line="268" w:lineRule="auto"/>
        <w:rPr>
          <w:rFonts w:cstheme="minorHAnsi"/>
        </w:rPr>
      </w:pPr>
      <w:r>
        <w:rPr>
          <w:rFonts w:cstheme="minorHAnsi"/>
        </w:rPr>
        <w:t>pamätná tabuľa na budove školy, kde v r. 1925 -1926 učil národný umelec Peter Jilemnický (bronzová busta spisovateľa, dielo F. Štefunku, 1953)</w:t>
      </w:r>
    </w:p>
    <w:p w14:paraId="1645B8F3" w14:textId="77777777" w:rsidR="0034322D" w:rsidRDefault="0034322D" w:rsidP="00931169">
      <w:pPr>
        <w:numPr>
          <w:ilvl w:val="0"/>
          <w:numId w:val="56"/>
        </w:numPr>
        <w:spacing w:after="120" w:line="268" w:lineRule="auto"/>
        <w:ind w:left="714" w:hanging="357"/>
        <w:rPr>
          <w:rFonts w:cstheme="minorHAnsi"/>
        </w:rPr>
      </w:pPr>
      <w:r>
        <w:rPr>
          <w:rFonts w:cstheme="minorHAnsi"/>
        </w:rPr>
        <w:t xml:space="preserve">pamätná tabuľa padlým v SNP na budove mestského úradu </w:t>
      </w:r>
      <w:r>
        <w:rPr>
          <w:rFonts w:cstheme="minorHAnsi"/>
        </w:rPr>
        <w:sym w:font="Times New Roman" w:char="F02D"/>
      </w:r>
      <w:r>
        <w:rPr>
          <w:rFonts w:cstheme="minorHAnsi"/>
        </w:rPr>
        <w:sym w:font="Times New Roman" w:char="F020"/>
      </w:r>
      <w:r>
        <w:rPr>
          <w:rFonts w:cstheme="minorHAnsi"/>
        </w:rPr>
        <w:t>pamätná tabuľa na rok 1948 s bronzovým reliéfom povstania od V. Ihriského (1937), umiestnená na pylóne na námestí Slobody</w:t>
      </w:r>
    </w:p>
    <w:p w14:paraId="0BD4F2C2" w14:textId="77777777" w:rsidR="0034322D" w:rsidRDefault="0034322D" w:rsidP="00931169">
      <w:pPr>
        <w:pStyle w:val="Zkladntext"/>
        <w:spacing w:before="0"/>
        <w:ind w:firstLine="708"/>
        <w:jc w:val="both"/>
        <w:rPr>
          <w:rFonts w:asciiTheme="minorHAnsi" w:hAnsiTheme="minorHAnsi" w:cstheme="minorHAnsi"/>
          <w:b w:val="0"/>
        </w:rPr>
      </w:pPr>
      <w:r>
        <w:rPr>
          <w:rFonts w:asciiTheme="minorHAnsi" w:hAnsiTheme="minorHAnsi" w:cstheme="minorHAnsi"/>
          <w:b w:val="0"/>
        </w:rPr>
        <w:t>Okrem vyššie uvedených národných kultúrnych pamiatok a objektov, uvedených v Súpise pamiatok na Slovensku, treba zachovať aj objekty vykazujúce historicko-architektonické hodnoty a dotvárajúce prostredie, dôležité pre zachovanie historickej identity mesta. Sú to :</w:t>
      </w:r>
    </w:p>
    <w:p w14:paraId="0371C3F6" w14:textId="77777777" w:rsidR="0034322D" w:rsidRDefault="0034322D" w:rsidP="00931169">
      <w:pPr>
        <w:pStyle w:val="Zkladntext"/>
        <w:numPr>
          <w:ilvl w:val="0"/>
          <w:numId w:val="56"/>
        </w:numPr>
        <w:spacing w:before="0"/>
        <w:jc w:val="both"/>
        <w:rPr>
          <w:rFonts w:asciiTheme="minorHAnsi" w:hAnsiTheme="minorHAnsi" w:cstheme="minorHAnsi"/>
          <w:b w:val="0"/>
        </w:rPr>
      </w:pPr>
      <w:r>
        <w:rPr>
          <w:rFonts w:asciiTheme="minorHAnsi" w:hAnsiTheme="minorHAnsi" w:cstheme="minorHAnsi"/>
          <w:b w:val="0"/>
        </w:rPr>
        <w:t>meštianske domy v centre Čadce</w:t>
      </w:r>
    </w:p>
    <w:p w14:paraId="3E7772C8" w14:textId="77777777" w:rsidR="0034322D" w:rsidRDefault="0034322D" w:rsidP="00931169">
      <w:pPr>
        <w:pStyle w:val="Zkladntext"/>
        <w:numPr>
          <w:ilvl w:val="0"/>
          <w:numId w:val="56"/>
        </w:numPr>
        <w:spacing w:before="0"/>
        <w:jc w:val="both"/>
        <w:rPr>
          <w:rFonts w:asciiTheme="minorHAnsi" w:hAnsiTheme="minorHAnsi" w:cstheme="minorHAnsi"/>
          <w:b w:val="0"/>
        </w:rPr>
      </w:pPr>
      <w:r>
        <w:rPr>
          <w:rFonts w:asciiTheme="minorHAnsi" w:hAnsiTheme="minorHAnsi" w:cstheme="minorHAnsi"/>
          <w:b w:val="0"/>
        </w:rPr>
        <w:t>sakrálne objekty (kaplnky, kríže) v rámci celého riešeného územia</w:t>
      </w:r>
    </w:p>
    <w:p w14:paraId="077B4843" w14:textId="77777777" w:rsidR="0034322D" w:rsidRDefault="0034322D" w:rsidP="00931169">
      <w:pPr>
        <w:pStyle w:val="Zkladntext"/>
        <w:numPr>
          <w:ilvl w:val="0"/>
          <w:numId w:val="56"/>
        </w:numPr>
        <w:spacing w:before="0"/>
        <w:jc w:val="both"/>
        <w:rPr>
          <w:rFonts w:asciiTheme="minorHAnsi" w:hAnsiTheme="minorHAnsi" w:cstheme="minorHAnsi"/>
          <w:b w:val="0"/>
        </w:rPr>
      </w:pPr>
      <w:r>
        <w:rPr>
          <w:rFonts w:asciiTheme="minorHAnsi" w:hAnsiTheme="minorHAnsi" w:cstheme="minorHAnsi"/>
          <w:b w:val="0"/>
        </w:rPr>
        <w:t>zrubové domy v rámci rozptýleného osídlenia v riešenom území</w:t>
      </w:r>
    </w:p>
    <w:p w14:paraId="1F8FF182" w14:textId="77777777" w:rsidR="0034322D" w:rsidRDefault="0034322D" w:rsidP="00931169">
      <w:pPr>
        <w:pStyle w:val="Zkladntext"/>
        <w:spacing w:before="0"/>
        <w:ind w:firstLine="1620"/>
        <w:jc w:val="both"/>
        <w:rPr>
          <w:rFonts w:asciiTheme="minorHAnsi" w:hAnsiTheme="minorHAnsi" w:cstheme="minorHAnsi"/>
          <w:b w:val="0"/>
        </w:rPr>
      </w:pPr>
      <w:r>
        <w:rPr>
          <w:rFonts w:asciiTheme="minorHAnsi" w:hAnsiTheme="minorHAnsi" w:cstheme="minorHAnsi"/>
          <w:b w:val="0"/>
        </w:rPr>
        <w:t xml:space="preserve">- osada Krkoškovci </w:t>
      </w:r>
      <w:r>
        <w:rPr>
          <w:rFonts w:asciiTheme="minorHAnsi" w:hAnsiTheme="minorHAnsi" w:cstheme="minorHAnsi"/>
          <w:b w:val="0"/>
        </w:rPr>
        <w:tab/>
        <w:t>dom č. 810 z roku 1890</w:t>
      </w:r>
    </w:p>
    <w:p w14:paraId="7030C06C" w14:textId="77777777" w:rsidR="0034322D" w:rsidRDefault="0034322D" w:rsidP="00931169">
      <w:pPr>
        <w:pStyle w:val="Zkladntext"/>
        <w:spacing w:before="0"/>
        <w:ind w:firstLine="1620"/>
        <w:jc w:val="both"/>
        <w:rPr>
          <w:rFonts w:asciiTheme="minorHAnsi" w:hAnsiTheme="minorHAnsi" w:cstheme="minorHAnsi"/>
          <w:b w:val="0"/>
        </w:rPr>
      </w:pPr>
      <w:r>
        <w:rPr>
          <w:rFonts w:asciiTheme="minorHAnsi" w:hAnsiTheme="minorHAnsi" w:cstheme="minorHAnsi"/>
          <w:b w:val="0"/>
        </w:rPr>
        <w:t xml:space="preserve">- osada Kýčera </w:t>
      </w:r>
      <w:r>
        <w:rPr>
          <w:rFonts w:asciiTheme="minorHAnsi" w:hAnsiTheme="minorHAnsi" w:cstheme="minorHAnsi"/>
          <w:b w:val="0"/>
        </w:rPr>
        <w:tab/>
      </w:r>
      <w:r>
        <w:rPr>
          <w:rFonts w:asciiTheme="minorHAnsi" w:hAnsiTheme="minorHAnsi" w:cstheme="minorHAnsi"/>
          <w:b w:val="0"/>
        </w:rPr>
        <w:tab/>
        <w:t>dom č. 181 z roku 1935</w:t>
      </w:r>
    </w:p>
    <w:p w14:paraId="1952D1EB" w14:textId="77777777" w:rsidR="0034322D" w:rsidRDefault="0034322D" w:rsidP="00931169">
      <w:pPr>
        <w:pStyle w:val="Zkladntext"/>
        <w:spacing w:before="0"/>
        <w:ind w:left="2628" w:firstLine="1620"/>
        <w:jc w:val="both"/>
        <w:rPr>
          <w:rFonts w:asciiTheme="minorHAnsi" w:hAnsiTheme="minorHAnsi" w:cstheme="minorHAnsi"/>
          <w:b w:val="0"/>
        </w:rPr>
      </w:pPr>
      <w:r>
        <w:rPr>
          <w:rFonts w:asciiTheme="minorHAnsi" w:hAnsiTheme="minorHAnsi" w:cstheme="minorHAnsi"/>
          <w:b w:val="0"/>
        </w:rPr>
        <w:t>dom č. 201 z roku 1928</w:t>
      </w:r>
    </w:p>
    <w:p w14:paraId="194BE064" w14:textId="77777777" w:rsidR="0034322D" w:rsidRDefault="0034322D" w:rsidP="00931169">
      <w:pPr>
        <w:pStyle w:val="Zkladntext"/>
        <w:spacing w:before="0"/>
        <w:ind w:firstLine="1620"/>
        <w:jc w:val="both"/>
        <w:rPr>
          <w:rFonts w:asciiTheme="minorHAnsi" w:hAnsiTheme="minorHAnsi" w:cstheme="minorHAnsi"/>
          <w:b w:val="0"/>
        </w:rPr>
      </w:pPr>
      <w:r>
        <w:rPr>
          <w:rFonts w:asciiTheme="minorHAnsi" w:hAnsiTheme="minorHAnsi" w:cstheme="minorHAnsi"/>
          <w:b w:val="0"/>
        </w:rPr>
        <w:t xml:space="preserve">- osada Lazy </w:t>
      </w:r>
      <w:r>
        <w:rPr>
          <w:rFonts w:asciiTheme="minorHAnsi" w:hAnsiTheme="minorHAnsi" w:cstheme="minorHAnsi"/>
          <w:b w:val="0"/>
        </w:rPr>
        <w:tab/>
      </w:r>
      <w:r>
        <w:rPr>
          <w:rFonts w:asciiTheme="minorHAnsi" w:hAnsiTheme="minorHAnsi" w:cstheme="minorHAnsi"/>
          <w:b w:val="0"/>
        </w:rPr>
        <w:tab/>
        <w:t>dom č. 908 z roku 1939</w:t>
      </w:r>
    </w:p>
    <w:p w14:paraId="0EEC22C4" w14:textId="77777777" w:rsidR="0034322D" w:rsidRDefault="0034322D" w:rsidP="00931169">
      <w:pPr>
        <w:pStyle w:val="Zkladntext"/>
        <w:spacing w:before="0"/>
        <w:ind w:firstLine="1620"/>
        <w:jc w:val="both"/>
        <w:rPr>
          <w:rFonts w:asciiTheme="minorHAnsi" w:hAnsiTheme="minorHAnsi" w:cstheme="minorHAnsi"/>
          <w:b w:val="0"/>
        </w:rPr>
      </w:pPr>
      <w:r>
        <w:rPr>
          <w:rFonts w:asciiTheme="minorHAnsi" w:hAnsiTheme="minorHAnsi" w:cstheme="minorHAnsi"/>
          <w:b w:val="0"/>
        </w:rPr>
        <w:t xml:space="preserve">- osada Meľovci </w:t>
      </w:r>
      <w:r>
        <w:rPr>
          <w:rFonts w:asciiTheme="minorHAnsi" w:hAnsiTheme="minorHAnsi" w:cstheme="minorHAnsi"/>
          <w:b w:val="0"/>
        </w:rPr>
        <w:tab/>
      </w:r>
      <w:r>
        <w:rPr>
          <w:rFonts w:asciiTheme="minorHAnsi" w:hAnsiTheme="minorHAnsi" w:cstheme="minorHAnsi"/>
          <w:b w:val="0"/>
        </w:rPr>
        <w:tab/>
        <w:t>dom č. 1297 z roku 1920</w:t>
      </w:r>
    </w:p>
    <w:p w14:paraId="13FE62CB" w14:textId="77777777" w:rsidR="0034322D" w:rsidRDefault="0034322D" w:rsidP="00931169">
      <w:pPr>
        <w:pStyle w:val="Zkladntext"/>
        <w:spacing w:before="0"/>
        <w:ind w:firstLine="1620"/>
        <w:jc w:val="both"/>
        <w:rPr>
          <w:rFonts w:asciiTheme="minorHAnsi" w:hAnsiTheme="minorHAnsi" w:cstheme="minorHAnsi"/>
          <w:b w:val="0"/>
        </w:rPr>
      </w:pPr>
      <w:r>
        <w:rPr>
          <w:rFonts w:asciiTheme="minorHAnsi" w:hAnsiTheme="minorHAnsi" w:cstheme="minorHAnsi"/>
          <w:b w:val="0"/>
        </w:rPr>
        <w:t xml:space="preserve">- osada Burdovci </w:t>
      </w:r>
      <w:r>
        <w:rPr>
          <w:rFonts w:asciiTheme="minorHAnsi" w:hAnsiTheme="minorHAnsi" w:cstheme="minorHAnsi"/>
          <w:b w:val="0"/>
        </w:rPr>
        <w:tab/>
      </w:r>
      <w:r>
        <w:rPr>
          <w:rFonts w:asciiTheme="minorHAnsi" w:hAnsiTheme="minorHAnsi" w:cstheme="minorHAnsi"/>
          <w:b w:val="0"/>
        </w:rPr>
        <w:tab/>
        <w:t>dom č. 895 z roku 1947</w:t>
      </w:r>
    </w:p>
    <w:p w14:paraId="2120B1F5" w14:textId="77777777" w:rsidR="0034322D" w:rsidRDefault="0034322D" w:rsidP="00931169">
      <w:pPr>
        <w:pStyle w:val="Zkladntext"/>
        <w:spacing w:before="0"/>
        <w:ind w:left="2628" w:firstLine="1620"/>
        <w:jc w:val="both"/>
        <w:rPr>
          <w:rFonts w:asciiTheme="minorHAnsi" w:hAnsiTheme="minorHAnsi" w:cstheme="minorHAnsi"/>
          <w:b w:val="0"/>
        </w:rPr>
      </w:pPr>
      <w:r>
        <w:rPr>
          <w:rFonts w:asciiTheme="minorHAnsi" w:hAnsiTheme="minorHAnsi" w:cstheme="minorHAnsi"/>
          <w:b w:val="0"/>
        </w:rPr>
        <w:t>dom č. 898 z roku 1929</w:t>
      </w:r>
    </w:p>
    <w:p w14:paraId="7E57BDEC" w14:textId="77777777" w:rsidR="0034322D" w:rsidRDefault="0034322D" w:rsidP="00931169">
      <w:pPr>
        <w:pStyle w:val="Zkladntext"/>
        <w:spacing w:before="0"/>
        <w:ind w:left="2628" w:firstLine="1620"/>
        <w:jc w:val="both"/>
        <w:rPr>
          <w:rFonts w:asciiTheme="minorHAnsi" w:hAnsiTheme="minorHAnsi" w:cstheme="minorHAnsi"/>
          <w:b w:val="0"/>
        </w:rPr>
      </w:pPr>
      <w:r>
        <w:rPr>
          <w:rFonts w:asciiTheme="minorHAnsi" w:hAnsiTheme="minorHAnsi" w:cstheme="minorHAnsi"/>
          <w:b w:val="0"/>
        </w:rPr>
        <w:lastRenderedPageBreak/>
        <w:t>dom č. 1435 z roku 1949</w:t>
      </w:r>
    </w:p>
    <w:p w14:paraId="071DF03D" w14:textId="77777777" w:rsidR="0034322D" w:rsidRDefault="0034322D" w:rsidP="00931169">
      <w:pPr>
        <w:pStyle w:val="Zkladntext"/>
        <w:spacing w:before="0"/>
        <w:ind w:firstLine="1622"/>
        <w:jc w:val="both"/>
        <w:rPr>
          <w:rFonts w:asciiTheme="minorHAnsi" w:hAnsiTheme="minorHAnsi" w:cstheme="minorHAnsi"/>
          <w:b w:val="0"/>
        </w:rPr>
      </w:pPr>
      <w:r>
        <w:rPr>
          <w:rFonts w:asciiTheme="minorHAnsi" w:hAnsiTheme="minorHAnsi" w:cstheme="minorHAnsi"/>
          <w:b w:val="0"/>
        </w:rPr>
        <w:t>- osada Janščovci</w:t>
      </w:r>
      <w:r>
        <w:rPr>
          <w:rFonts w:asciiTheme="minorHAnsi" w:hAnsiTheme="minorHAnsi" w:cstheme="minorHAnsi"/>
          <w:b w:val="0"/>
        </w:rPr>
        <w:tab/>
      </w:r>
      <w:r>
        <w:rPr>
          <w:rFonts w:asciiTheme="minorHAnsi" w:hAnsiTheme="minorHAnsi" w:cstheme="minorHAnsi"/>
          <w:b w:val="0"/>
        </w:rPr>
        <w:tab/>
        <w:t>dom č. 1224 z roku 1929</w:t>
      </w:r>
    </w:p>
    <w:p w14:paraId="2295FE0C" w14:textId="77777777" w:rsidR="0034322D" w:rsidRDefault="0034322D" w:rsidP="00931169">
      <w:pPr>
        <w:pStyle w:val="Zkladntext"/>
        <w:keepNext/>
        <w:spacing w:before="0"/>
        <w:jc w:val="both"/>
        <w:rPr>
          <w:rFonts w:asciiTheme="minorHAnsi" w:hAnsiTheme="minorHAnsi" w:cstheme="minorHAnsi"/>
          <w:b w:val="0"/>
          <w:bCs/>
          <w:u w:val="single"/>
        </w:rPr>
      </w:pPr>
    </w:p>
    <w:p w14:paraId="6F3FDA70" w14:textId="77777777" w:rsidR="0034322D" w:rsidRDefault="0034322D" w:rsidP="00931169">
      <w:pPr>
        <w:pStyle w:val="Zkladntext"/>
        <w:keepNext/>
        <w:spacing w:before="0"/>
        <w:jc w:val="both"/>
        <w:rPr>
          <w:rFonts w:asciiTheme="minorHAnsi" w:hAnsiTheme="minorHAnsi" w:cstheme="minorHAnsi"/>
          <w:b w:val="0"/>
          <w:bCs/>
          <w:u w:val="single"/>
        </w:rPr>
      </w:pPr>
      <w:r>
        <w:rPr>
          <w:rFonts w:asciiTheme="minorHAnsi" w:hAnsiTheme="minorHAnsi" w:cstheme="minorHAnsi"/>
          <w:b w:val="0"/>
          <w:bCs/>
          <w:u w:val="single"/>
        </w:rPr>
        <w:t xml:space="preserve">Mesto Krásno nad Kysucou </w:t>
      </w:r>
    </w:p>
    <w:p w14:paraId="7FABF0D9" w14:textId="77777777" w:rsidR="0034322D" w:rsidRDefault="0034322D" w:rsidP="00931169">
      <w:pPr>
        <w:pStyle w:val="Hlavika"/>
        <w:tabs>
          <w:tab w:val="left" w:pos="708"/>
        </w:tabs>
        <w:rPr>
          <w:rFonts w:cstheme="minorHAnsi"/>
        </w:rPr>
      </w:pPr>
      <w:r>
        <w:rPr>
          <w:rFonts w:cstheme="minorHAnsi"/>
        </w:rPr>
        <w:t>Nástenná maľba – kostol sv. Ondreja</w:t>
      </w:r>
    </w:p>
    <w:p w14:paraId="02439FE9" w14:textId="77777777" w:rsidR="0034322D" w:rsidRDefault="0034322D" w:rsidP="00931169">
      <w:pPr>
        <w:pStyle w:val="Zkladntext"/>
        <w:keepNext/>
        <w:spacing w:before="0"/>
        <w:jc w:val="both"/>
        <w:rPr>
          <w:rFonts w:asciiTheme="minorHAnsi" w:hAnsiTheme="minorHAnsi" w:cstheme="minorHAnsi"/>
          <w:b w:val="0"/>
        </w:rPr>
      </w:pPr>
      <w:r>
        <w:rPr>
          <w:rFonts w:asciiTheme="minorHAnsi" w:hAnsiTheme="minorHAnsi" w:cstheme="minorHAnsi"/>
          <w:b w:val="0"/>
          <w:bCs/>
          <w:u w:val="single"/>
        </w:rPr>
        <w:t>Obec Oščadnica</w:t>
      </w:r>
    </w:p>
    <w:p w14:paraId="775A507C" w14:textId="77777777" w:rsidR="0034322D" w:rsidRDefault="0034322D" w:rsidP="00931169">
      <w:pPr>
        <w:rPr>
          <w:rFonts w:cstheme="minorHAnsi"/>
        </w:rPr>
      </w:pPr>
      <w:r>
        <w:rPr>
          <w:rFonts w:cstheme="minorHAnsi"/>
        </w:rPr>
        <w:t>Dom ľudový č. 388</w:t>
      </w:r>
    </w:p>
    <w:p w14:paraId="5ECE90A5" w14:textId="77777777" w:rsidR="0034322D" w:rsidRDefault="0034322D" w:rsidP="00931169">
      <w:pPr>
        <w:rPr>
          <w:rFonts w:cstheme="minorHAnsi"/>
        </w:rPr>
      </w:pPr>
      <w:r>
        <w:rPr>
          <w:rFonts w:cstheme="minorHAnsi"/>
        </w:rPr>
        <w:t>Dom ľudový č. 393</w:t>
      </w:r>
    </w:p>
    <w:p w14:paraId="358FF491" w14:textId="77777777" w:rsidR="0034322D" w:rsidRDefault="0034322D" w:rsidP="00931169">
      <w:pPr>
        <w:rPr>
          <w:rFonts w:cstheme="minorHAnsi"/>
        </w:rPr>
      </w:pPr>
      <w:r>
        <w:rPr>
          <w:rFonts w:cstheme="minorHAnsi"/>
        </w:rPr>
        <w:t>Dom ľudový č. 637 a maštaľ</w:t>
      </w:r>
    </w:p>
    <w:p w14:paraId="6EA6245B" w14:textId="77777777" w:rsidR="0034322D" w:rsidRDefault="0034322D" w:rsidP="00931169">
      <w:pPr>
        <w:rPr>
          <w:rFonts w:cstheme="minorHAnsi"/>
        </w:rPr>
      </w:pPr>
      <w:r>
        <w:rPr>
          <w:rFonts w:cstheme="minorHAnsi"/>
        </w:rPr>
        <w:t>Kaštieľ a park</w:t>
      </w:r>
    </w:p>
    <w:p w14:paraId="76CDB469" w14:textId="77777777" w:rsidR="0034322D" w:rsidRDefault="0034322D" w:rsidP="00931169">
      <w:pPr>
        <w:pStyle w:val="Zkladntext"/>
        <w:spacing w:before="0"/>
        <w:jc w:val="both"/>
        <w:rPr>
          <w:rFonts w:asciiTheme="minorHAnsi" w:hAnsiTheme="minorHAnsi" w:cstheme="minorHAnsi"/>
          <w:b w:val="0"/>
        </w:rPr>
      </w:pPr>
      <w:r>
        <w:rPr>
          <w:rFonts w:asciiTheme="minorHAnsi" w:hAnsiTheme="minorHAnsi" w:cstheme="minorHAnsi"/>
          <w:b w:val="0"/>
        </w:rPr>
        <w:t xml:space="preserve">Uvedené kultúrno-historické pamiatky neprichádzajú do kontaktu so súčasným trasovaním železničnej trate.  </w:t>
      </w:r>
    </w:p>
    <w:p w14:paraId="4C8F1C00" w14:textId="77777777" w:rsidR="0034322D" w:rsidRDefault="0034322D" w:rsidP="00931169">
      <w:pPr>
        <w:pStyle w:val="Nadpis2"/>
        <w:rPr>
          <w:rFonts w:cstheme="minorHAnsi"/>
        </w:rPr>
      </w:pPr>
      <w:bookmarkStart w:id="152" w:name="_Toc479159177"/>
      <w:bookmarkStart w:id="153" w:name="_Toc462812187"/>
      <w:bookmarkStart w:id="154" w:name="_Toc24660449"/>
      <w:bookmarkStart w:id="155" w:name="_Toc24661461"/>
      <w:bookmarkStart w:id="156" w:name="_Toc88652948"/>
      <w:r w:rsidRPr="00F4315B">
        <w:rPr>
          <w:rFonts w:cstheme="minorHAnsi"/>
        </w:rPr>
        <w:t>Chránené časti prírody</w:t>
      </w:r>
      <w:bookmarkEnd w:id="152"/>
      <w:bookmarkEnd w:id="153"/>
      <w:bookmarkEnd w:id="154"/>
      <w:bookmarkEnd w:id="155"/>
      <w:bookmarkEnd w:id="156"/>
    </w:p>
    <w:p w14:paraId="29320F95" w14:textId="77777777" w:rsidR="0034322D" w:rsidRDefault="0034322D" w:rsidP="00931169">
      <w:pPr>
        <w:rPr>
          <w:rFonts w:cstheme="minorHAnsi"/>
        </w:rPr>
      </w:pPr>
      <w:r>
        <w:rPr>
          <w:rFonts w:cstheme="minorHAnsi"/>
        </w:rPr>
        <w:t>Legislatívny rámec pre ochranu prírody a krajiny tvoria dva zákony:</w:t>
      </w:r>
    </w:p>
    <w:p w14:paraId="008C89F8" w14:textId="77777777" w:rsidR="0034322D" w:rsidRDefault="0034322D" w:rsidP="00931169">
      <w:pPr>
        <w:pStyle w:val="BAOdrky"/>
        <w:numPr>
          <w:ilvl w:val="0"/>
          <w:numId w:val="51"/>
        </w:numPr>
        <w:ind w:left="927"/>
        <w:rPr>
          <w:rFonts w:asciiTheme="minorHAnsi" w:hAnsiTheme="minorHAnsi" w:cstheme="minorHAnsi"/>
        </w:rPr>
      </w:pPr>
      <w:r>
        <w:rPr>
          <w:rFonts w:asciiTheme="minorHAnsi" w:hAnsiTheme="minorHAnsi" w:cstheme="minorHAnsi"/>
        </w:rPr>
        <w:t xml:space="preserve">Zákon č. 17/1992 Z. z. o životnom prostredí, </w:t>
      </w:r>
    </w:p>
    <w:p w14:paraId="2A95A378" w14:textId="77777777" w:rsidR="0034322D" w:rsidRDefault="0034322D" w:rsidP="00931169">
      <w:pPr>
        <w:pStyle w:val="BAOdrky"/>
        <w:numPr>
          <w:ilvl w:val="0"/>
          <w:numId w:val="51"/>
        </w:numPr>
        <w:ind w:left="927"/>
        <w:rPr>
          <w:rFonts w:asciiTheme="minorHAnsi" w:hAnsiTheme="minorHAnsi" w:cstheme="minorHAnsi"/>
        </w:rPr>
      </w:pPr>
      <w:r>
        <w:rPr>
          <w:rFonts w:asciiTheme="minorHAnsi" w:hAnsiTheme="minorHAnsi" w:cstheme="minorHAnsi"/>
        </w:rPr>
        <w:t xml:space="preserve">Zákon č. 543/2002 Z. z. o ochrane prírody a krajiny v znení neskorších predpisov. </w:t>
      </w:r>
    </w:p>
    <w:p w14:paraId="49AD0B29" w14:textId="77777777" w:rsidR="0034322D" w:rsidRDefault="0034322D" w:rsidP="00931169">
      <w:pPr>
        <w:ind w:firstLine="567"/>
        <w:rPr>
          <w:rFonts w:cstheme="minorHAnsi"/>
        </w:rPr>
      </w:pPr>
      <w:r>
        <w:rPr>
          <w:rFonts w:cstheme="minorHAnsi"/>
        </w:rPr>
        <w:t>Zákon č. 17/1992 Z. z. o životnom prostredí vymedzuje základné pojmy a ustanovuje základné zásady ochrany životného prostredia a povinnosti právnických a fyzických osôb pri ochrane a zlepšovaní stavu životného prostredia a pri využívaní prírodných zdrojov; vychádza pritom z princípu trvalo udržateľného rozvoja.</w:t>
      </w:r>
    </w:p>
    <w:p w14:paraId="27F52689" w14:textId="77777777" w:rsidR="003A7D4A" w:rsidRDefault="003A7D4A" w:rsidP="00931169">
      <w:pPr>
        <w:rPr>
          <w:rFonts w:cstheme="minorHAnsi"/>
        </w:rPr>
      </w:pPr>
    </w:p>
    <w:p w14:paraId="0E91FDB3" w14:textId="7D5E5BD0" w:rsidR="0034322D" w:rsidRDefault="0034322D" w:rsidP="00931169">
      <w:pPr>
        <w:ind w:firstLine="567"/>
        <w:rPr>
          <w:rFonts w:cstheme="minorHAnsi"/>
        </w:rPr>
      </w:pPr>
      <w:r>
        <w:rPr>
          <w:rFonts w:cstheme="minorHAnsi"/>
        </w:rPr>
        <w:t>Zákon č. 543/2002 Z.z . o ochrane prírody a krajiny v znení neskorších predpisov upravuje pôsobnosť orgánov štátnej správy a obcí, ako aj práva a povinnosti právnických osôb a fyzických osôb pri ochrane prírody a krajiny s cieľom dlhodobo zabezpečiť zachovanie prírodnej rovnováhy a ochranu rozmanitosti podmienok a foriem života, prírodných hodnôt a krás a utvárať podmienky na trvalo udržateľné využívanie prírodných zdrojov a na poskytovanie ekosystémových služieb, berúc do úvahy hospodárske, sociálne a kultúrne potreby, ako aj regionálne a miestne pomery.</w:t>
      </w:r>
    </w:p>
    <w:p w14:paraId="1FBD9629" w14:textId="77777777" w:rsidR="003A7D4A" w:rsidRDefault="003A7D4A" w:rsidP="00931169">
      <w:pPr>
        <w:spacing w:after="120"/>
        <w:rPr>
          <w:rFonts w:cstheme="minorHAnsi"/>
        </w:rPr>
      </w:pPr>
    </w:p>
    <w:p w14:paraId="11BE7713" w14:textId="02D425DF" w:rsidR="0034322D" w:rsidRDefault="0034322D" w:rsidP="00931169">
      <w:pPr>
        <w:spacing w:after="120"/>
        <w:ind w:firstLine="708"/>
        <w:rPr>
          <w:rFonts w:cstheme="minorHAnsi"/>
          <w:b/>
        </w:rPr>
      </w:pPr>
      <w:r>
        <w:rPr>
          <w:rFonts w:cstheme="minorHAnsi"/>
        </w:rPr>
        <w:t xml:space="preserve">Na celom území Slovenskej republiky, kde nebolo vyhlásené chránené územie, platí prvý stupeň ochrany. Lokality, na ktorých sa nachádzajú biotopy európskeho významu a biotopy národného významu, biotopy druhov európskeho významu, biotopy druhov národného významu a biotopy vtákov vrátane sťahovavých druhov, na ktorých ochranu sa vyhlasujú chránené územia, významné krajinné prvky alebo prírodné výtvory, možno vyhlásiť za chránené územia. </w:t>
      </w:r>
      <w:r>
        <w:rPr>
          <w:rStyle w:val="Siln"/>
          <w:rFonts w:cstheme="minorHAnsi"/>
          <w:b w:val="0"/>
        </w:rPr>
        <w:t>Rozsah obmedzení sa so zvyšujúcim stupňom ochrany zväčšuje.</w:t>
      </w:r>
    </w:p>
    <w:p w14:paraId="52EACC79" w14:textId="77777777" w:rsidR="0034322D" w:rsidRDefault="0034322D" w:rsidP="00931169">
      <w:pPr>
        <w:rPr>
          <w:rFonts w:cstheme="minorHAnsi"/>
        </w:rPr>
      </w:pPr>
      <w:r>
        <w:rPr>
          <w:rFonts w:cstheme="minorHAnsi"/>
        </w:rPr>
        <w:t>Veľkoplošné chránené územia:</w:t>
      </w:r>
    </w:p>
    <w:p w14:paraId="14B31D1E"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chránená krajinná oblasť (CHKO): nad 1000 ha, platí 2. stupeň ochrany ak zákon neustanovuje inak,</w:t>
      </w:r>
    </w:p>
    <w:p w14:paraId="3670D59A"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národný park (NP): nad 1000 ha, platí 3. stupeň ochrany ak zákon neustanovuje inak.</w:t>
      </w:r>
    </w:p>
    <w:p w14:paraId="21BF3649" w14:textId="77777777" w:rsidR="0034322D" w:rsidRDefault="0034322D" w:rsidP="00931169">
      <w:pPr>
        <w:rPr>
          <w:rFonts w:cstheme="minorHAnsi"/>
        </w:rPr>
      </w:pPr>
    </w:p>
    <w:p w14:paraId="3F9250FB" w14:textId="77777777" w:rsidR="0034322D" w:rsidRDefault="0034322D" w:rsidP="00931169">
      <w:pPr>
        <w:rPr>
          <w:rFonts w:cstheme="minorHAnsi"/>
        </w:rPr>
      </w:pPr>
      <w:r>
        <w:rPr>
          <w:rFonts w:cstheme="minorHAnsi"/>
        </w:rPr>
        <w:t xml:space="preserve">Maloplošné chránené územia: </w:t>
      </w:r>
    </w:p>
    <w:p w14:paraId="6B398B71"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 xml:space="preserve">chránený areál (CHA): platí 2 - 5. stupeň ochrany,  </w:t>
      </w:r>
    </w:p>
    <w:p w14:paraId="19A75B39"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prírodná rezervácia, národná prírodná rezervácia (PR, NPR): platí 4 - 5. stupeň ochrany,</w:t>
      </w:r>
    </w:p>
    <w:p w14:paraId="44636635"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prírodná pamiatka, národná prírodná pamiatka (PP, NPP): platí 4 - 5. stupeň ochrany (patria sem aj jaskyne a prírodné vodopády),</w:t>
      </w:r>
    </w:p>
    <w:p w14:paraId="3454EA8D"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chránený krajinný prvok (CHKP): platí 2 - 5. stupeň ochrany,</w:t>
      </w:r>
    </w:p>
    <w:p w14:paraId="38B70142"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chránené vtáčie územie (CHVÚ) - zákaz konkrétnych činností s negatívnym vplyvom na predmet ochrany,</w:t>
      </w:r>
    </w:p>
    <w:p w14:paraId="5FB8193E"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obecné chránené územie: do 100 ha, obmedzenie činnosti a regulatívy využívania územia.</w:t>
      </w:r>
    </w:p>
    <w:p w14:paraId="0A57664B" w14:textId="77777777" w:rsidR="003A7D4A" w:rsidRDefault="003A7D4A" w:rsidP="00931169">
      <w:pPr>
        <w:ind w:firstLine="708"/>
        <w:rPr>
          <w:rFonts w:cstheme="minorHAnsi"/>
        </w:rPr>
      </w:pPr>
    </w:p>
    <w:p w14:paraId="34AD3851" w14:textId="47365493" w:rsidR="0034322D" w:rsidRDefault="0034322D" w:rsidP="00931169">
      <w:pPr>
        <w:ind w:firstLine="708"/>
        <w:rPr>
          <w:rFonts w:cstheme="minorHAnsi"/>
        </w:rPr>
      </w:pPr>
      <w:r>
        <w:rPr>
          <w:rFonts w:cstheme="minorHAnsi"/>
        </w:rPr>
        <w:t>Ak to vyžaduje záujem ochrany NP, CHA, PR, NPR, PP alebo NPP možno vyhlásiť ich ochranné pásmo, a to spôsobom, akým sa podľa tohto zákona vyhlasuje príslušné chránené územie. V prípade, že nie je v záujme chráneného územia, aby malo ochranné pásmo, chránené pásmo môže byť zrušené.</w:t>
      </w:r>
    </w:p>
    <w:p w14:paraId="74563844"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Ak ochranné pásmo PR alebo ochranné pásmo NPR nebolo vyhlásené, je ním územie do vzdialenosti 100 m smerom von od jej hranice a platí v ňom tretí stupeň ochrany.</w:t>
      </w:r>
    </w:p>
    <w:p w14:paraId="2AB9756D"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 xml:space="preserve"> Ak PP alebo NPP nemá vyhlásené ochranné pásmo, je ním územie do vzdialenosti 60 m smerom von od jej hranice a platí v ňom tretí stupeň ochrany. </w:t>
      </w:r>
    </w:p>
    <w:p w14:paraId="414D9B06" w14:textId="77777777" w:rsidR="003A7D4A" w:rsidRDefault="003A7D4A" w:rsidP="00931169">
      <w:pPr>
        <w:rPr>
          <w:rFonts w:cstheme="minorHAnsi"/>
        </w:rPr>
      </w:pPr>
    </w:p>
    <w:p w14:paraId="27DA9FA8" w14:textId="55FC0B62" w:rsidR="0034322D" w:rsidRDefault="0034322D" w:rsidP="00931169">
      <w:pPr>
        <w:ind w:firstLine="708"/>
        <w:rPr>
          <w:rFonts w:cstheme="minorHAnsi"/>
        </w:rPr>
      </w:pPr>
      <w:r>
        <w:rPr>
          <w:rFonts w:cstheme="minorHAnsi"/>
        </w:rPr>
        <w:t>Chránené územie môže byt na základe stavu biotopov rozčlenené najviac na štyri zóny, ak je to potrebné na zabezpečenie jeho starostlivosti. Zóny sa vymedzujú a odstupňujú podľa povahy ich prírodných hodnôt nasledovne:</w:t>
      </w:r>
    </w:p>
    <w:p w14:paraId="092BA755"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5. stupeň ochrany – zóna A,</w:t>
      </w:r>
    </w:p>
    <w:p w14:paraId="6ABF1D4D"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4. stupeň ochrany – zóna B,</w:t>
      </w:r>
    </w:p>
    <w:p w14:paraId="40D4005E"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3. stupeň ochrany – zóna C,</w:t>
      </w:r>
    </w:p>
    <w:p w14:paraId="201EF77C" w14:textId="77777777" w:rsidR="0034322D" w:rsidRDefault="0034322D" w:rsidP="00931169">
      <w:pPr>
        <w:pStyle w:val="BAOdrky"/>
        <w:numPr>
          <w:ilvl w:val="0"/>
          <w:numId w:val="51"/>
        </w:numPr>
        <w:spacing w:before="0" w:after="0"/>
        <w:ind w:left="927"/>
        <w:rPr>
          <w:rFonts w:asciiTheme="minorHAnsi" w:hAnsiTheme="minorHAnsi" w:cstheme="minorHAnsi"/>
        </w:rPr>
      </w:pPr>
      <w:r>
        <w:rPr>
          <w:rFonts w:asciiTheme="minorHAnsi" w:hAnsiTheme="minorHAnsi" w:cstheme="minorHAnsi"/>
        </w:rPr>
        <w:t>2. stupeň ochrany – zóna D.</w:t>
      </w:r>
    </w:p>
    <w:p w14:paraId="2EF5AF7B" w14:textId="77777777" w:rsidR="003A7D4A" w:rsidRDefault="003A7D4A" w:rsidP="00931169">
      <w:pPr>
        <w:rPr>
          <w:rFonts w:cstheme="minorHAnsi"/>
        </w:rPr>
      </w:pPr>
    </w:p>
    <w:p w14:paraId="5F0901A6" w14:textId="594108A6" w:rsidR="0034322D" w:rsidRDefault="0034322D" w:rsidP="00931169">
      <w:pPr>
        <w:ind w:firstLine="708"/>
        <w:rPr>
          <w:rFonts w:cstheme="minorHAnsi"/>
        </w:rPr>
      </w:pPr>
      <w:r>
        <w:rPr>
          <w:rFonts w:cstheme="minorHAnsi"/>
        </w:rPr>
        <w:t>Územím medzinárodného významu sa podľa tohto zákona rozumie lokalita, na ktorú sa vzťahujú záväzky vyplývajúce z medzinárodných programov, dohôd alebo dohovorov, ku ktorým Slovenská republika pristúpila. Územia medzinárodného významu tvoria mokrade medzinárodného významu, lokality svetového prírodného dedičstva, biosférické rezervácie a iné medzinárodne významné územia evidované v zoznamoch, ktoré vedú výbory alebo sekretariáty príslušných medzinárodných programov, dohovorov alebo organizácií. Lokalitu, ktorá je územím medzinárodného významu, možno vyhlásiť za chránené územie.</w:t>
      </w:r>
    </w:p>
    <w:p w14:paraId="77912095" w14:textId="77777777" w:rsidR="0034322D" w:rsidRDefault="0034322D" w:rsidP="00931169">
      <w:pPr>
        <w:ind w:firstLine="708"/>
        <w:rPr>
          <w:rFonts w:cstheme="minorHAnsi"/>
        </w:rPr>
      </w:pPr>
      <w:r>
        <w:rPr>
          <w:rFonts w:cstheme="minorHAnsi"/>
        </w:rPr>
        <w:t>V zmysle § 49 uvedeného zákona môže vláda SR kultúrne, vedecky, ekologicky, krajinotvorne alebo esteticky mimoriadne významné stromy alebo ich skupiny vrátane stromoradí nariadením vyhlásiť za chránené stromy. Za chránené stromy možno vyhlásiť aj stromy rastúce na lesnom pôdnom fonde. Chránené stromy sa považujú za chránený objekt.</w:t>
      </w:r>
    </w:p>
    <w:p w14:paraId="159BE7D2" w14:textId="77777777" w:rsidR="0034322D" w:rsidRDefault="0034322D" w:rsidP="00931169">
      <w:pPr>
        <w:rPr>
          <w:rFonts w:cstheme="minorHAnsi"/>
          <w:b/>
        </w:rPr>
      </w:pPr>
      <w:r>
        <w:rPr>
          <w:rFonts w:cstheme="minorHAnsi"/>
          <w:b/>
        </w:rPr>
        <w:t xml:space="preserve">Hodnotené územie sa nedotýka žiadneho maloplošného ani veľkoplošného chráneného územia. V zmysle zákona NRSR č. 543/2002 Z.z. o ochrane prírody a krajiny sa hodnotená činnosť nachádza na území s prvým stupňom ochrany, ktorý platí </w:t>
      </w:r>
      <w:r>
        <w:rPr>
          <w:rFonts w:cstheme="minorHAnsi"/>
          <w:b/>
          <w:bCs/>
        </w:rPr>
        <w:t xml:space="preserve">všeobecne na území </w:t>
      </w:r>
      <w:r>
        <w:rPr>
          <w:rFonts w:cstheme="minorHAnsi"/>
          <w:b/>
          <w:bCs/>
        </w:rPr>
        <w:lastRenderedPageBreak/>
        <w:t>Slovenskej republiky</w:t>
      </w:r>
      <w:r>
        <w:rPr>
          <w:rFonts w:cstheme="minorHAnsi"/>
          <w:b/>
        </w:rPr>
        <w:t>, ktorému sa neposkytuje územná ochrana podľa § 17 až 31, čiže na území mimo osobitne vyhlásených chránených území.</w:t>
      </w:r>
    </w:p>
    <w:p w14:paraId="19192827" w14:textId="77777777" w:rsidR="0034322D" w:rsidRDefault="0034322D" w:rsidP="00931169">
      <w:pPr>
        <w:rPr>
          <w:rFonts w:cstheme="minorHAnsi"/>
          <w:b/>
        </w:rPr>
      </w:pPr>
      <w:r>
        <w:rPr>
          <w:rFonts w:cstheme="minorHAnsi"/>
          <w:b/>
        </w:rPr>
        <w:t>Veľkoplošné chránené územia</w:t>
      </w:r>
    </w:p>
    <w:p w14:paraId="752610DE" w14:textId="77777777" w:rsidR="0034322D" w:rsidRDefault="0034322D" w:rsidP="00931169">
      <w:pPr>
        <w:ind w:firstLine="708"/>
        <w:rPr>
          <w:rFonts w:cstheme="minorHAnsi"/>
        </w:rPr>
      </w:pPr>
      <w:r>
        <w:rPr>
          <w:rFonts w:cstheme="minorHAnsi"/>
        </w:rPr>
        <w:t xml:space="preserve">V zmysle zákona NRSR č. 543/2002 Z.z. o ochrane prírody a krajiny sa hodnotená činnosť priamo nedotýka žiadneho veľkoplošného chráneného územia. V blízkosti zastávky Oščadnica sa existujúca železničná trať dostáva do blízkosti Chránenej krajinnej oblasti Kysuce, ktorej hranice sú v najbližšom mieste vzdialené cca 300 m. Na území CHKO Kysuce platí druhý stupeň ochrany. </w:t>
      </w:r>
    </w:p>
    <w:p w14:paraId="6CF6CD76" w14:textId="77777777" w:rsidR="003A7D4A" w:rsidRDefault="003A7D4A" w:rsidP="00931169">
      <w:pPr>
        <w:rPr>
          <w:rFonts w:cstheme="minorHAnsi"/>
        </w:rPr>
      </w:pPr>
    </w:p>
    <w:p w14:paraId="0B218F06" w14:textId="5B62FA00" w:rsidR="00FE7FAB" w:rsidRDefault="0034322D" w:rsidP="00931169">
      <w:pPr>
        <w:rPr>
          <w:rFonts w:cstheme="minorHAnsi"/>
        </w:rPr>
      </w:pPr>
      <w:r>
        <w:rPr>
          <w:rFonts w:cstheme="minorHAnsi"/>
        </w:rPr>
        <w:t xml:space="preserve">V koridore existujúcej trate bude riešená prestavba infraštruktúry vo variante </w:t>
      </w:r>
      <w:r w:rsidR="001E0F0B">
        <w:rPr>
          <w:rFonts w:cstheme="minorHAnsi"/>
        </w:rPr>
        <w:t>B a C</w:t>
      </w:r>
      <w:r>
        <w:rPr>
          <w:rFonts w:cstheme="minorHAnsi"/>
        </w:rPr>
        <w:t>.</w:t>
      </w:r>
    </w:p>
    <w:p w14:paraId="280C6277" w14:textId="77777777" w:rsidR="00FE7FAB" w:rsidRDefault="00FE7FAB" w:rsidP="00931169">
      <w:pPr>
        <w:rPr>
          <w:rFonts w:cstheme="minorHAnsi"/>
        </w:rPr>
      </w:pPr>
    </w:p>
    <w:tbl>
      <w:tblPr>
        <w:tblW w:w="93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60"/>
      </w:tblGrid>
      <w:tr w:rsidR="0034322D" w14:paraId="4E7904A4" w14:textId="77777777" w:rsidTr="0034322D">
        <w:trPr>
          <w:trHeight w:val="2404"/>
        </w:trPr>
        <w:tc>
          <w:tcPr>
            <w:tcW w:w="9356" w:type="dxa"/>
            <w:tcBorders>
              <w:top w:val="single" w:sz="4" w:space="0" w:color="auto"/>
              <w:left w:val="single" w:sz="4" w:space="0" w:color="auto"/>
              <w:bottom w:val="single" w:sz="4" w:space="0" w:color="auto"/>
              <w:right w:val="single" w:sz="4" w:space="0" w:color="auto"/>
            </w:tcBorders>
            <w:vAlign w:val="center"/>
          </w:tcPr>
          <w:p w14:paraId="5E287C8B" w14:textId="77777777" w:rsidR="0034322D" w:rsidRDefault="0034322D" w:rsidP="00931169">
            <w:pPr>
              <w:pStyle w:val="BATextvtabulce"/>
              <w:jc w:val="both"/>
              <w:rPr>
                <w:rFonts w:asciiTheme="minorHAnsi" w:hAnsiTheme="minorHAnsi" w:cstheme="minorHAnsi"/>
                <w:lang w:val="sk-SK"/>
              </w:rPr>
            </w:pPr>
          </w:p>
          <w:p w14:paraId="523ECE31" w14:textId="35EB9559" w:rsidR="0034322D" w:rsidRDefault="0034322D" w:rsidP="00931169">
            <w:pPr>
              <w:pStyle w:val="BATextvtabulce"/>
              <w:jc w:val="both"/>
              <w:rPr>
                <w:rFonts w:asciiTheme="minorHAnsi" w:hAnsiTheme="minorHAnsi" w:cstheme="minorHAnsi"/>
                <w:lang w:val="sk-SK"/>
              </w:rPr>
            </w:pPr>
            <w:r>
              <w:rPr>
                <w:rFonts w:asciiTheme="minorHAnsi" w:hAnsiTheme="minorHAnsi" w:cstheme="minorHAnsi"/>
                <w:noProof/>
                <w:lang w:val="sk-SK" w:eastAsia="sk-SK"/>
              </w:rPr>
              <w:drawing>
                <wp:inline distT="0" distB="0" distL="0" distR="0" wp14:anchorId="4C61B11D" wp14:editId="3B9A9FA7">
                  <wp:extent cx="5759450" cy="3623945"/>
                  <wp:effectExtent l="0" t="0" r="0" b="0"/>
                  <wp:docPr id="17" name="Obrázo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9450" cy="3623945"/>
                          </a:xfrm>
                          <a:prstGeom prst="rect">
                            <a:avLst/>
                          </a:prstGeom>
                          <a:noFill/>
                          <a:ln>
                            <a:noFill/>
                          </a:ln>
                        </pic:spPr>
                      </pic:pic>
                    </a:graphicData>
                  </a:graphic>
                </wp:inline>
              </w:drawing>
            </w:r>
          </w:p>
        </w:tc>
      </w:tr>
      <w:tr w:rsidR="0034322D" w14:paraId="79DB1502" w14:textId="77777777" w:rsidTr="0034322D">
        <w:tc>
          <w:tcPr>
            <w:tcW w:w="9356" w:type="dxa"/>
            <w:tcBorders>
              <w:top w:val="single" w:sz="4" w:space="0" w:color="auto"/>
              <w:left w:val="single" w:sz="4" w:space="0" w:color="auto"/>
              <w:bottom w:val="single" w:sz="4" w:space="0" w:color="auto"/>
              <w:right w:val="single" w:sz="4" w:space="0" w:color="auto"/>
            </w:tcBorders>
            <w:hideMark/>
          </w:tcPr>
          <w:p w14:paraId="13B3F56D" w14:textId="77777777" w:rsidR="0034322D" w:rsidRDefault="0034322D" w:rsidP="00931169">
            <w:pPr>
              <w:pStyle w:val="Popis"/>
              <w:jc w:val="both"/>
              <w:rPr>
                <w:rFonts w:asciiTheme="minorHAnsi" w:hAnsiTheme="minorHAnsi" w:cstheme="minorHAnsi"/>
                <w:lang w:val="cs-CZ"/>
              </w:rPr>
            </w:pPr>
            <w:bookmarkStart w:id="157" w:name="_Toc479159049"/>
            <w:r>
              <w:rPr>
                <w:rFonts w:asciiTheme="minorHAnsi" w:hAnsiTheme="minorHAnsi" w:cstheme="minorHAnsi"/>
              </w:rPr>
              <w:t>Obr. Vymedzenie veľkoplošných chránených území</w:t>
            </w:r>
            <w:bookmarkEnd w:id="157"/>
            <w:r>
              <w:rPr>
                <w:rFonts w:asciiTheme="minorHAnsi" w:hAnsiTheme="minorHAnsi" w:cstheme="minorHAnsi"/>
              </w:rPr>
              <w:t xml:space="preserve"> </w:t>
            </w:r>
          </w:p>
        </w:tc>
      </w:tr>
    </w:tbl>
    <w:p w14:paraId="64C1F9B1" w14:textId="77777777" w:rsidR="0034322D" w:rsidRDefault="0034322D" w:rsidP="00931169">
      <w:pPr>
        <w:rPr>
          <w:rFonts w:cstheme="minorHAnsi"/>
          <w:sz w:val="22"/>
        </w:rPr>
      </w:pPr>
    </w:p>
    <w:p w14:paraId="0094E0D5" w14:textId="77777777" w:rsidR="0034322D" w:rsidRDefault="0034322D" w:rsidP="00931169">
      <w:pPr>
        <w:rPr>
          <w:rFonts w:cstheme="minorHAnsi"/>
          <w:u w:val="single"/>
        </w:rPr>
      </w:pPr>
      <w:r>
        <w:rPr>
          <w:rFonts w:cstheme="minorHAnsi"/>
          <w:u w:val="single"/>
        </w:rPr>
        <w:t>Chránená krajinná oblasť CHKO Kysuce</w:t>
      </w:r>
    </w:p>
    <w:p w14:paraId="6A820393" w14:textId="77777777" w:rsidR="0034322D" w:rsidRDefault="0034322D" w:rsidP="00931169">
      <w:pPr>
        <w:rPr>
          <w:rFonts w:cstheme="minorHAnsi"/>
        </w:rPr>
      </w:pPr>
      <w:r>
        <w:rPr>
          <w:rFonts w:cstheme="minorHAnsi"/>
        </w:rPr>
        <w:t>Chránená krajinná oblasť Kysuce bola vyhlásená v roku 1984. Vďaka tomu, že susedí s tromi ďalšími veľkoplošnými územiami (CHKO Beskydy v Českej republike, Žywiecki Park Krajobrazowy v Poľsku a CHKO Horná Orava), je súčasťou jedného z najrozsiahlejších chránených území v strednej Európe.</w:t>
      </w:r>
    </w:p>
    <w:p w14:paraId="6BAEA3D9" w14:textId="77777777" w:rsidR="001E0F0B" w:rsidRDefault="001E0F0B" w:rsidP="00931169">
      <w:pPr>
        <w:rPr>
          <w:rFonts w:cstheme="minorHAnsi"/>
        </w:rPr>
      </w:pPr>
    </w:p>
    <w:p w14:paraId="18D00116" w14:textId="2D6736D0" w:rsidR="0034322D" w:rsidRDefault="0034322D" w:rsidP="00931169">
      <w:pPr>
        <w:ind w:firstLine="708"/>
        <w:rPr>
          <w:rFonts w:cstheme="minorHAnsi"/>
        </w:rPr>
      </w:pPr>
      <w:r>
        <w:rPr>
          <w:rFonts w:cstheme="minorHAnsi"/>
        </w:rPr>
        <w:t xml:space="preserve">CHKO Kysuce tvoria dve samostatné, od seba navzájom oddelené časti, západná javornícka a východná beskydská. Viac ako polovicu územia pokrývajú lesy. Napriek geologickej monotónnosti flyšového pásma (málo odolné flyšové usadeniny - rytmicky sa striedajúce polohy pieskovcov, ílovcov a ílových bridlíc) má krajina vplyvom valašskej </w:t>
      </w:r>
      <w:r>
        <w:rPr>
          <w:rFonts w:cstheme="minorHAnsi"/>
        </w:rPr>
        <w:lastRenderedPageBreak/>
        <w:t>kolonizácie a kopaničiarskeho osídlenia mozaikovitý, parkový ráz so striedaním lesov, lúk, polí a osád so zachovalou ľudovou architektúrou.</w:t>
      </w:r>
    </w:p>
    <w:p w14:paraId="3DCB3301" w14:textId="77777777" w:rsidR="001E0F0B" w:rsidRDefault="001E0F0B" w:rsidP="00931169">
      <w:pPr>
        <w:rPr>
          <w:rFonts w:cstheme="minorHAnsi"/>
        </w:rPr>
      </w:pPr>
    </w:p>
    <w:p w14:paraId="7EC67065" w14:textId="75EDC5D3" w:rsidR="0034322D" w:rsidRDefault="0034322D" w:rsidP="00931169">
      <w:pPr>
        <w:ind w:firstLine="708"/>
        <w:rPr>
          <w:rFonts w:cstheme="minorHAnsi"/>
        </w:rPr>
      </w:pPr>
      <w:r>
        <w:rPr>
          <w:rFonts w:cstheme="minorHAnsi"/>
        </w:rPr>
        <w:t>Zvláštnosťou oblasti je výskyt povrchového výronu ropy v Korni a pieskovcových gúľ, známych najmä z územia Prírodnej rezervácie Klokočovské skálie.</w:t>
      </w:r>
    </w:p>
    <w:p w14:paraId="53155F17" w14:textId="77777777" w:rsidR="001E0F0B" w:rsidRDefault="001E0F0B" w:rsidP="00931169">
      <w:pPr>
        <w:rPr>
          <w:rFonts w:cstheme="minorHAnsi"/>
        </w:rPr>
      </w:pPr>
    </w:p>
    <w:p w14:paraId="1DD2D6DE" w14:textId="25D0B751" w:rsidR="0034322D" w:rsidRDefault="0034322D" w:rsidP="00931169">
      <w:pPr>
        <w:ind w:firstLine="708"/>
        <w:rPr>
          <w:rFonts w:cstheme="minorHAnsi"/>
        </w:rPr>
      </w:pPr>
      <w:r>
        <w:rPr>
          <w:rFonts w:cstheme="minorHAnsi"/>
        </w:rPr>
        <w:t>Pôvodné zmiešané lesy sú zachované vo vrcholových polohách. Územie má bohatú sieť tokov, množstvo prameňov, prechodných rašelinísk a slatinných lúk s chránenými a ohrozenými druhmi rastlín - mäsožravou rosičkou okrúhlolistou, perovníkom pštrosím, ľaliou zlatohlavou, orlíčkom obyčajným a viacerými druhmi vstavačovitých.</w:t>
      </w:r>
    </w:p>
    <w:p w14:paraId="6FA70E19" w14:textId="77777777" w:rsidR="001E0F0B" w:rsidRDefault="001E0F0B" w:rsidP="00931169">
      <w:pPr>
        <w:ind w:firstLine="708"/>
        <w:rPr>
          <w:rFonts w:cstheme="minorHAnsi"/>
        </w:rPr>
      </w:pPr>
    </w:p>
    <w:p w14:paraId="3C89C602" w14:textId="377070E0" w:rsidR="0034322D" w:rsidRDefault="0034322D" w:rsidP="00931169">
      <w:pPr>
        <w:ind w:firstLine="708"/>
        <w:rPr>
          <w:rFonts w:cstheme="minorHAnsi"/>
        </w:rPr>
      </w:pPr>
      <w:r>
        <w:rPr>
          <w:rFonts w:cstheme="minorHAnsi"/>
        </w:rPr>
        <w:t>V území bolo dosiaľ zistených 205 druhov stavovcov. Predstavuje západnú hranicu rozšírenia všetkých veľkých šeliem Slovenska - vlka, medveďa, rysa. Vyskytuje sa tu i vydra, lesné kury, z glaciálnych reliktov pôtik kapcavý, kuvičok vrabčí, ďubník trojprstý, myšovka vrchovská. Na viacerých miestach prežíva karpatský endemit - mlok karpatský.</w:t>
      </w:r>
    </w:p>
    <w:p w14:paraId="5E072344" w14:textId="77777777" w:rsidR="001E0F0B" w:rsidRDefault="001E0F0B" w:rsidP="00931169">
      <w:pPr>
        <w:rPr>
          <w:rFonts w:cstheme="minorHAnsi"/>
        </w:rPr>
      </w:pPr>
    </w:p>
    <w:p w14:paraId="0C7E1FE2" w14:textId="76D4D548" w:rsidR="0034322D" w:rsidRDefault="0034322D" w:rsidP="00931169">
      <w:pPr>
        <w:ind w:firstLine="708"/>
        <w:rPr>
          <w:rFonts w:cstheme="minorHAnsi"/>
        </w:rPr>
      </w:pPr>
      <w:r>
        <w:rPr>
          <w:rFonts w:cstheme="minorHAnsi"/>
        </w:rPr>
        <w:t>V Kysuckých Beskydách pod najvyšším vrchom sa nachádza jedno z najväčších turistických centier na Slovensku (Oščadnica - Veľká Rača). Vo východnej časti sa nachádza turisticky atraktívna  osada Vychylovka so skanzenom a s unikátnou lesnou úvraťovou železničkou.</w:t>
      </w:r>
    </w:p>
    <w:p w14:paraId="146AB7CA" w14:textId="77777777" w:rsidR="001E0F0B" w:rsidRDefault="001E0F0B" w:rsidP="00931169">
      <w:pPr>
        <w:rPr>
          <w:rFonts w:cstheme="minorHAnsi"/>
          <w:b/>
        </w:rPr>
      </w:pPr>
    </w:p>
    <w:p w14:paraId="5D99DCD1" w14:textId="52E0C823" w:rsidR="0034322D" w:rsidRDefault="0034322D" w:rsidP="00931169">
      <w:pPr>
        <w:rPr>
          <w:rFonts w:cstheme="minorHAnsi"/>
          <w:b/>
        </w:rPr>
      </w:pPr>
      <w:r>
        <w:rPr>
          <w:rFonts w:cstheme="minorHAnsi"/>
          <w:b/>
        </w:rPr>
        <w:t>Maloplošné chránené územia</w:t>
      </w:r>
    </w:p>
    <w:p w14:paraId="72B93535" w14:textId="77777777" w:rsidR="0034322D" w:rsidRDefault="0034322D" w:rsidP="00931169">
      <w:pPr>
        <w:ind w:firstLine="708"/>
        <w:rPr>
          <w:rFonts w:cstheme="minorHAnsi"/>
        </w:rPr>
      </w:pPr>
      <w:r>
        <w:rPr>
          <w:rFonts w:cstheme="minorHAnsi"/>
        </w:rPr>
        <w:t xml:space="preserve">Existujúce trasovanie železničnej trate sa v zmysle zákona NRSR č. 543/2002 Z.z. o ochrane prírody a krajiny nedostáva do styku s maloplošnými chránenými územiami ani s ich ochrannými pásmami. V širšom okolí sa nachádza PP Bukovský prameň a PP Vojtovský prameň. </w:t>
      </w:r>
    </w:p>
    <w:p w14:paraId="37922D29" w14:textId="77777777" w:rsidR="001E0F0B" w:rsidRDefault="001E0F0B" w:rsidP="00931169">
      <w:pPr>
        <w:rPr>
          <w:rFonts w:cstheme="minorHAnsi"/>
          <w:b/>
        </w:rPr>
      </w:pPr>
    </w:p>
    <w:p w14:paraId="463B390D" w14:textId="5D198863" w:rsidR="0034322D" w:rsidRDefault="0034322D" w:rsidP="00931169">
      <w:pPr>
        <w:rPr>
          <w:rFonts w:cstheme="minorHAnsi"/>
          <w:b/>
        </w:rPr>
      </w:pPr>
      <w:r>
        <w:rPr>
          <w:rFonts w:cstheme="minorHAnsi"/>
          <w:b/>
        </w:rPr>
        <w:t>Chránené stromy</w:t>
      </w:r>
    </w:p>
    <w:p w14:paraId="6416812D" w14:textId="7E2A3356" w:rsidR="001E0F0B" w:rsidRDefault="0034322D" w:rsidP="00FE7FAB">
      <w:pPr>
        <w:ind w:firstLine="708"/>
        <w:rPr>
          <w:rFonts w:cstheme="minorHAnsi"/>
        </w:rPr>
      </w:pPr>
      <w:r>
        <w:rPr>
          <w:rFonts w:cstheme="minorHAnsi"/>
        </w:rPr>
        <w:t>V zmysle zákona NR</w:t>
      </w:r>
      <w:r w:rsidR="001E0F0B">
        <w:rPr>
          <w:rFonts w:cstheme="minorHAnsi"/>
        </w:rPr>
        <w:t xml:space="preserve"> </w:t>
      </w:r>
      <w:r>
        <w:rPr>
          <w:rFonts w:cstheme="minorHAnsi"/>
        </w:rPr>
        <w:t>SR č. 543/2002 Z.</w:t>
      </w:r>
      <w:r w:rsidR="001E0F0B">
        <w:rPr>
          <w:rFonts w:cstheme="minorHAnsi"/>
        </w:rPr>
        <w:t xml:space="preserve"> </w:t>
      </w:r>
      <w:r>
        <w:rPr>
          <w:rFonts w:cstheme="minorHAnsi"/>
        </w:rPr>
        <w:t xml:space="preserve">z. o ochrane prírody a krajiny môže krajský úrad všeobecne záväznou vyhláškou vyhlásiť kultúrne, vedecky, krajinotvorne alebo esteticky mimoriadne významné stromy alebo ich skupiny vrátane stromoradí za chránené stromy. Ak ochranné pásmo nebolo vyhlásené podľa odseku 5 uvedeného zákona, je ním územie okolo chráneného stromu v plošnom priemete jeho koruny, ktorý je zväčšený o jeden a pol metra, najmenej však v okruhu 10 m od kmeňa stromu. V širšom okolí trasovania súčasnej železničnej boli za chránené stromy vyhlásené lipy pri kostole v centre Čadce. V ich ochrannom pásme platí 2. stupeň ochrany. </w:t>
      </w:r>
    </w:p>
    <w:p w14:paraId="503C6F79" w14:textId="77777777" w:rsidR="001E0F0B" w:rsidRDefault="001E0F0B" w:rsidP="00931169">
      <w:pPr>
        <w:rPr>
          <w:rFonts w:cstheme="minorHAnsi"/>
        </w:rPr>
      </w:pPr>
    </w:p>
    <w:p w14:paraId="690878DE" w14:textId="398D5910" w:rsidR="0034322D" w:rsidRDefault="0034322D" w:rsidP="00931169">
      <w:pPr>
        <w:rPr>
          <w:rFonts w:cstheme="minorHAnsi"/>
        </w:rPr>
      </w:pPr>
      <w:r>
        <w:rPr>
          <w:rFonts w:cstheme="minorHAnsi"/>
        </w:rPr>
        <w:t>Parametre chránených stromov sú uvedené v nasledujúcej tabuľke:</w:t>
      </w:r>
    </w:p>
    <w:p w14:paraId="7E9E880F" w14:textId="77777777" w:rsidR="001E0F0B" w:rsidRDefault="001E0F0B" w:rsidP="00931169">
      <w:pPr>
        <w:rPr>
          <w:rFonts w:cstheme="minorHAnsi"/>
        </w:rPr>
      </w:pPr>
    </w:p>
    <w:p w14:paraId="0511D1FD" w14:textId="34277CCF" w:rsidR="0034322D" w:rsidRDefault="0034322D" w:rsidP="00931169">
      <w:pPr>
        <w:pStyle w:val="tlPopisArial9pt"/>
        <w:spacing w:before="0" w:after="0"/>
        <w:ind w:left="0" w:right="-79" w:firstLine="0"/>
        <w:rPr>
          <w:rStyle w:val="tlPopisArial9ptChar"/>
          <w:rFonts w:asciiTheme="minorHAnsi" w:hAnsiTheme="minorHAnsi" w:cstheme="minorHAnsi"/>
          <w:bCs/>
        </w:rPr>
      </w:pPr>
      <w:r>
        <w:rPr>
          <w:rStyle w:val="tlPopisArial9ptChar"/>
          <w:rFonts w:asciiTheme="minorHAnsi" w:hAnsiTheme="minorHAnsi" w:cstheme="minorHAnsi"/>
          <w:bCs/>
        </w:rPr>
        <w:t>Tab.</w:t>
      </w:r>
      <w:r w:rsidR="005940CA">
        <w:rPr>
          <w:rStyle w:val="tlPopisArial9ptChar"/>
          <w:rFonts w:asciiTheme="minorHAnsi" w:hAnsiTheme="minorHAnsi" w:cstheme="minorHAnsi"/>
          <w:bCs/>
        </w:rPr>
        <w:t>17</w:t>
      </w:r>
      <w:r>
        <w:rPr>
          <w:rStyle w:val="tlPopisArial9ptChar"/>
          <w:rFonts w:asciiTheme="minorHAnsi" w:hAnsiTheme="minorHAnsi" w:cstheme="minorHAnsi"/>
          <w:bCs/>
        </w:rPr>
        <w:t>: Chránené stromy Lipy pri kostole v Čadci</w:t>
      </w:r>
    </w:p>
    <w:tbl>
      <w:tblPr>
        <w:tblW w:w="9660" w:type="dxa"/>
        <w:tblCellMar>
          <w:left w:w="0" w:type="dxa"/>
          <w:right w:w="0" w:type="dxa"/>
        </w:tblCellMar>
        <w:tblLook w:val="04A0" w:firstRow="1" w:lastRow="0" w:firstColumn="1" w:lastColumn="0" w:noHBand="0" w:noVBand="1"/>
      </w:tblPr>
      <w:tblGrid>
        <w:gridCol w:w="660"/>
        <w:gridCol w:w="1860"/>
        <w:gridCol w:w="2480"/>
        <w:gridCol w:w="960"/>
        <w:gridCol w:w="1380"/>
        <w:gridCol w:w="960"/>
        <w:gridCol w:w="1360"/>
      </w:tblGrid>
      <w:tr w:rsidR="0034322D" w14:paraId="11CA70EB" w14:textId="77777777" w:rsidTr="0034322D">
        <w:trPr>
          <w:trHeight w:val="765"/>
          <w:tblHeader/>
        </w:trPr>
        <w:tc>
          <w:tcPr>
            <w:tcW w:w="660" w:type="dxa"/>
            <w:tcBorders>
              <w:top w:val="single" w:sz="4" w:space="0" w:color="auto"/>
              <w:left w:val="single" w:sz="4" w:space="0" w:color="auto"/>
              <w:bottom w:val="single" w:sz="4" w:space="0" w:color="auto"/>
              <w:right w:val="single" w:sz="4" w:space="0" w:color="auto"/>
            </w:tcBorders>
            <w:tcMar>
              <w:top w:w="16" w:type="dxa"/>
              <w:left w:w="16" w:type="dxa"/>
              <w:bottom w:w="0" w:type="dxa"/>
              <w:right w:w="16" w:type="dxa"/>
            </w:tcMar>
            <w:vAlign w:val="center"/>
            <w:hideMark/>
          </w:tcPr>
          <w:p w14:paraId="17B19B9F" w14:textId="77777777" w:rsidR="0034322D" w:rsidRDefault="0034322D" w:rsidP="00931169">
            <w:pPr>
              <w:rPr>
                <w:rFonts w:eastAsia="Arial Unicode MS"/>
                <w:bCs/>
                <w:sz w:val="20"/>
                <w:szCs w:val="20"/>
              </w:rPr>
            </w:pPr>
            <w:r>
              <w:rPr>
                <w:rFonts w:cstheme="minorHAnsi"/>
                <w:b/>
                <w:bCs/>
                <w:sz w:val="20"/>
                <w:szCs w:val="20"/>
              </w:rPr>
              <w:t>Ev. č.</w:t>
            </w:r>
          </w:p>
        </w:tc>
        <w:tc>
          <w:tcPr>
            <w:tcW w:w="18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center"/>
            <w:hideMark/>
          </w:tcPr>
          <w:p w14:paraId="13ABEBE5" w14:textId="77777777" w:rsidR="0034322D" w:rsidRDefault="0034322D" w:rsidP="00931169">
            <w:pPr>
              <w:rPr>
                <w:rFonts w:eastAsia="Arial Unicode MS" w:cstheme="minorHAnsi"/>
                <w:b/>
                <w:bCs/>
                <w:sz w:val="20"/>
                <w:szCs w:val="20"/>
              </w:rPr>
            </w:pPr>
            <w:r>
              <w:rPr>
                <w:rFonts w:cstheme="minorHAnsi"/>
                <w:b/>
                <w:bCs/>
                <w:sz w:val="20"/>
                <w:szCs w:val="20"/>
              </w:rPr>
              <w:t>Slovenský názov taxónu</w:t>
            </w:r>
          </w:p>
        </w:tc>
        <w:tc>
          <w:tcPr>
            <w:tcW w:w="24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center"/>
            <w:hideMark/>
          </w:tcPr>
          <w:p w14:paraId="45856E75" w14:textId="77777777" w:rsidR="0034322D" w:rsidRDefault="0034322D" w:rsidP="00931169">
            <w:pPr>
              <w:rPr>
                <w:rFonts w:eastAsia="Arial Unicode MS" w:cstheme="minorHAnsi"/>
                <w:b/>
                <w:bCs/>
                <w:sz w:val="20"/>
                <w:szCs w:val="20"/>
              </w:rPr>
            </w:pPr>
            <w:r>
              <w:rPr>
                <w:rFonts w:cstheme="minorHAnsi"/>
                <w:b/>
                <w:bCs/>
                <w:sz w:val="20"/>
                <w:szCs w:val="20"/>
              </w:rPr>
              <w:t>Vedecký názov taxónu</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center"/>
            <w:hideMark/>
          </w:tcPr>
          <w:p w14:paraId="2AEB562C" w14:textId="77777777" w:rsidR="0034322D" w:rsidRDefault="0034322D" w:rsidP="00931169">
            <w:pPr>
              <w:rPr>
                <w:rFonts w:eastAsia="Arial Unicode MS" w:cstheme="minorHAnsi"/>
                <w:b/>
                <w:bCs/>
                <w:sz w:val="20"/>
                <w:szCs w:val="20"/>
              </w:rPr>
            </w:pPr>
            <w:r>
              <w:rPr>
                <w:rFonts w:cstheme="minorHAnsi"/>
                <w:b/>
                <w:bCs/>
                <w:sz w:val="20"/>
                <w:szCs w:val="20"/>
              </w:rPr>
              <w:t>Obvod kmeňa [cm]</w:t>
            </w:r>
          </w:p>
        </w:tc>
        <w:tc>
          <w:tcPr>
            <w:tcW w:w="13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center"/>
            <w:hideMark/>
          </w:tcPr>
          <w:p w14:paraId="21559D65" w14:textId="77777777" w:rsidR="0034322D" w:rsidRDefault="0034322D" w:rsidP="00931169">
            <w:pPr>
              <w:rPr>
                <w:rFonts w:eastAsia="Arial Unicode MS" w:cstheme="minorHAnsi"/>
                <w:b/>
                <w:bCs/>
                <w:sz w:val="20"/>
                <w:szCs w:val="20"/>
              </w:rPr>
            </w:pPr>
            <w:r>
              <w:rPr>
                <w:rFonts w:cstheme="minorHAnsi"/>
                <w:b/>
                <w:bCs/>
                <w:sz w:val="20"/>
                <w:szCs w:val="20"/>
              </w:rPr>
              <w:t>Výška stromu [m]</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center"/>
            <w:hideMark/>
          </w:tcPr>
          <w:p w14:paraId="6C83E323" w14:textId="77777777" w:rsidR="0034322D" w:rsidRDefault="0034322D" w:rsidP="00931169">
            <w:pPr>
              <w:rPr>
                <w:rFonts w:eastAsia="Arial Unicode MS" w:cstheme="minorHAnsi"/>
                <w:b/>
                <w:bCs/>
                <w:sz w:val="20"/>
                <w:szCs w:val="20"/>
              </w:rPr>
            </w:pPr>
            <w:r>
              <w:rPr>
                <w:rFonts w:cstheme="minorHAnsi"/>
                <w:b/>
                <w:bCs/>
                <w:sz w:val="20"/>
                <w:szCs w:val="20"/>
              </w:rPr>
              <w:t>Priemer koruny [m]</w:t>
            </w:r>
          </w:p>
        </w:tc>
        <w:tc>
          <w:tcPr>
            <w:tcW w:w="13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center"/>
            <w:hideMark/>
          </w:tcPr>
          <w:p w14:paraId="1AAD9F71" w14:textId="77777777" w:rsidR="0034322D" w:rsidRDefault="0034322D" w:rsidP="00931169">
            <w:pPr>
              <w:rPr>
                <w:rFonts w:eastAsia="Arial Unicode MS" w:cstheme="minorHAnsi"/>
                <w:b/>
                <w:bCs/>
                <w:sz w:val="20"/>
                <w:szCs w:val="20"/>
              </w:rPr>
            </w:pPr>
            <w:r>
              <w:rPr>
                <w:rFonts w:cstheme="minorHAnsi"/>
                <w:b/>
                <w:bCs/>
                <w:sz w:val="20"/>
                <w:szCs w:val="20"/>
              </w:rPr>
              <w:t>Vek stromu [rok]</w:t>
            </w:r>
          </w:p>
        </w:tc>
      </w:tr>
      <w:tr w:rsidR="0034322D" w14:paraId="0015F79A"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1E5AAA0F" w14:textId="77777777" w:rsidR="0034322D" w:rsidRDefault="0034322D" w:rsidP="00931169">
            <w:pPr>
              <w:rPr>
                <w:rFonts w:eastAsia="Arial Unicode MS" w:cstheme="minorHAnsi"/>
                <w:sz w:val="20"/>
                <w:szCs w:val="20"/>
              </w:rPr>
            </w:pPr>
            <w:r>
              <w:rPr>
                <w:rFonts w:cstheme="minorHAnsi"/>
                <w:sz w:val="20"/>
                <w:szCs w:val="20"/>
              </w:rPr>
              <w:t>1</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73ACE41"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6074E0F"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14A6301" w14:textId="77777777" w:rsidR="0034322D" w:rsidRDefault="0034322D" w:rsidP="00931169">
            <w:pPr>
              <w:rPr>
                <w:rFonts w:eastAsia="Arial Unicode MS" w:cstheme="minorHAnsi"/>
                <w:sz w:val="20"/>
                <w:szCs w:val="20"/>
              </w:rPr>
            </w:pPr>
            <w:r>
              <w:rPr>
                <w:rFonts w:cstheme="minorHAnsi"/>
                <w:sz w:val="20"/>
                <w:szCs w:val="20"/>
              </w:rPr>
              <w:t>360</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DC4D0C4" w14:textId="77777777" w:rsidR="0034322D" w:rsidRDefault="0034322D" w:rsidP="00931169">
            <w:pPr>
              <w:rPr>
                <w:rFonts w:eastAsia="Arial Unicode MS" w:cstheme="minorHAnsi"/>
                <w:sz w:val="20"/>
                <w:szCs w:val="20"/>
              </w:rPr>
            </w:pPr>
            <w:r>
              <w:rPr>
                <w:rFonts w:cstheme="minorHAnsi"/>
                <w:sz w:val="20"/>
                <w:szCs w:val="20"/>
              </w:rPr>
              <w:t>23</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289B9E8" w14:textId="77777777" w:rsidR="0034322D" w:rsidRDefault="0034322D" w:rsidP="00931169">
            <w:pPr>
              <w:rPr>
                <w:rFonts w:eastAsia="Arial Unicode MS" w:cstheme="minorHAnsi"/>
                <w:sz w:val="20"/>
                <w:szCs w:val="20"/>
              </w:rPr>
            </w:pPr>
            <w:r>
              <w:rPr>
                <w:rFonts w:cstheme="minorHAnsi"/>
                <w:sz w:val="20"/>
                <w:szCs w:val="20"/>
              </w:rPr>
              <w:t>14</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8ADD6CB" w14:textId="77777777" w:rsidR="0034322D" w:rsidRDefault="0034322D" w:rsidP="00931169">
            <w:pPr>
              <w:rPr>
                <w:rFonts w:eastAsia="Arial Unicode MS" w:cstheme="minorHAnsi"/>
                <w:sz w:val="20"/>
                <w:szCs w:val="20"/>
              </w:rPr>
            </w:pPr>
            <w:r>
              <w:rPr>
                <w:rFonts w:cstheme="minorHAnsi"/>
                <w:sz w:val="20"/>
                <w:szCs w:val="20"/>
              </w:rPr>
              <w:t>200</w:t>
            </w:r>
          </w:p>
        </w:tc>
      </w:tr>
      <w:tr w:rsidR="0034322D" w14:paraId="39FFD749"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65C877DB" w14:textId="77777777" w:rsidR="0034322D" w:rsidRDefault="0034322D" w:rsidP="00931169">
            <w:pPr>
              <w:rPr>
                <w:rFonts w:eastAsia="Arial Unicode MS" w:cstheme="minorHAnsi"/>
                <w:sz w:val="20"/>
                <w:szCs w:val="20"/>
              </w:rPr>
            </w:pPr>
            <w:r>
              <w:rPr>
                <w:rFonts w:cstheme="minorHAnsi"/>
                <w:sz w:val="20"/>
                <w:szCs w:val="20"/>
              </w:rPr>
              <w:t>2</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56AAED24"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6586AB9"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9032395" w14:textId="77777777" w:rsidR="0034322D" w:rsidRDefault="0034322D" w:rsidP="00931169">
            <w:pPr>
              <w:rPr>
                <w:rFonts w:eastAsia="Arial Unicode MS" w:cstheme="minorHAnsi"/>
                <w:sz w:val="20"/>
                <w:szCs w:val="20"/>
              </w:rPr>
            </w:pPr>
            <w:r>
              <w:rPr>
                <w:rFonts w:cstheme="minorHAnsi"/>
                <w:sz w:val="20"/>
                <w:szCs w:val="20"/>
              </w:rPr>
              <w:t>235</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878E604" w14:textId="77777777" w:rsidR="0034322D" w:rsidRDefault="0034322D" w:rsidP="00931169">
            <w:pPr>
              <w:rPr>
                <w:rFonts w:eastAsia="Arial Unicode MS" w:cstheme="minorHAnsi"/>
                <w:sz w:val="20"/>
                <w:szCs w:val="20"/>
              </w:rPr>
            </w:pPr>
            <w:r>
              <w:rPr>
                <w:rFonts w:cstheme="minorHAnsi"/>
                <w:sz w:val="20"/>
                <w:szCs w:val="20"/>
              </w:rPr>
              <w:t>22</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11D0DF4" w14:textId="77777777" w:rsidR="0034322D" w:rsidRDefault="0034322D" w:rsidP="00931169">
            <w:pPr>
              <w:rPr>
                <w:rFonts w:eastAsia="Arial Unicode MS" w:cstheme="minorHAnsi"/>
                <w:sz w:val="20"/>
                <w:szCs w:val="20"/>
              </w:rPr>
            </w:pPr>
            <w:r>
              <w:rPr>
                <w:rFonts w:cstheme="minorHAnsi"/>
                <w:sz w:val="20"/>
                <w:szCs w:val="20"/>
              </w:rPr>
              <w:t>7</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2AD3610" w14:textId="77777777" w:rsidR="0034322D" w:rsidRDefault="0034322D" w:rsidP="00931169">
            <w:pPr>
              <w:rPr>
                <w:rFonts w:eastAsia="Arial Unicode MS" w:cstheme="minorHAnsi"/>
                <w:sz w:val="20"/>
                <w:szCs w:val="20"/>
              </w:rPr>
            </w:pPr>
            <w:r>
              <w:rPr>
                <w:rFonts w:cstheme="minorHAnsi"/>
                <w:sz w:val="20"/>
                <w:szCs w:val="20"/>
              </w:rPr>
              <w:t>150</w:t>
            </w:r>
          </w:p>
        </w:tc>
      </w:tr>
      <w:tr w:rsidR="0034322D" w14:paraId="7C30C5A2"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26F2CC56" w14:textId="77777777" w:rsidR="0034322D" w:rsidRDefault="0034322D" w:rsidP="00931169">
            <w:pPr>
              <w:rPr>
                <w:rFonts w:eastAsia="Arial Unicode MS" w:cstheme="minorHAnsi"/>
                <w:sz w:val="20"/>
                <w:szCs w:val="20"/>
              </w:rPr>
            </w:pPr>
            <w:r>
              <w:rPr>
                <w:rFonts w:cstheme="minorHAnsi"/>
                <w:sz w:val="20"/>
                <w:szCs w:val="20"/>
              </w:rPr>
              <w:lastRenderedPageBreak/>
              <w:t>3</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B95B74A"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9A566A0"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95EF2AC" w14:textId="77777777" w:rsidR="0034322D" w:rsidRDefault="0034322D" w:rsidP="00931169">
            <w:pPr>
              <w:rPr>
                <w:rFonts w:eastAsia="Arial Unicode MS" w:cstheme="minorHAnsi"/>
                <w:sz w:val="20"/>
                <w:szCs w:val="20"/>
              </w:rPr>
            </w:pPr>
            <w:r>
              <w:rPr>
                <w:rFonts w:cstheme="minorHAnsi"/>
                <w:sz w:val="20"/>
                <w:szCs w:val="20"/>
              </w:rPr>
              <w:t>305</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A90958F" w14:textId="77777777" w:rsidR="0034322D" w:rsidRDefault="0034322D" w:rsidP="00931169">
            <w:pPr>
              <w:rPr>
                <w:rFonts w:eastAsia="Arial Unicode MS" w:cstheme="minorHAnsi"/>
                <w:sz w:val="20"/>
                <w:szCs w:val="20"/>
              </w:rPr>
            </w:pPr>
            <w:r>
              <w:rPr>
                <w:rFonts w:cstheme="minorHAnsi"/>
                <w:sz w:val="20"/>
                <w:szCs w:val="20"/>
              </w:rPr>
              <w:t>21</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7C6906E" w14:textId="77777777" w:rsidR="0034322D" w:rsidRDefault="0034322D" w:rsidP="00931169">
            <w:pPr>
              <w:rPr>
                <w:rFonts w:eastAsia="Arial Unicode MS" w:cstheme="minorHAnsi"/>
                <w:sz w:val="20"/>
                <w:szCs w:val="20"/>
              </w:rPr>
            </w:pPr>
            <w:r>
              <w:rPr>
                <w:rFonts w:cstheme="minorHAnsi"/>
                <w:sz w:val="20"/>
                <w:szCs w:val="20"/>
              </w:rPr>
              <w:t>13</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79F7AA4" w14:textId="77777777" w:rsidR="0034322D" w:rsidRDefault="0034322D" w:rsidP="00931169">
            <w:pPr>
              <w:rPr>
                <w:rFonts w:eastAsia="Arial Unicode MS" w:cstheme="minorHAnsi"/>
                <w:sz w:val="20"/>
                <w:szCs w:val="20"/>
              </w:rPr>
            </w:pPr>
            <w:r>
              <w:rPr>
                <w:rFonts w:cstheme="minorHAnsi"/>
                <w:sz w:val="20"/>
                <w:szCs w:val="20"/>
              </w:rPr>
              <w:t>200</w:t>
            </w:r>
          </w:p>
        </w:tc>
      </w:tr>
      <w:tr w:rsidR="0034322D" w14:paraId="5BA2CA84"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761AD2CE" w14:textId="77777777" w:rsidR="0034322D" w:rsidRDefault="0034322D" w:rsidP="00931169">
            <w:pPr>
              <w:rPr>
                <w:rFonts w:eastAsia="Arial Unicode MS" w:cstheme="minorHAnsi"/>
                <w:sz w:val="20"/>
                <w:szCs w:val="20"/>
              </w:rPr>
            </w:pPr>
            <w:r>
              <w:rPr>
                <w:rFonts w:cstheme="minorHAnsi"/>
                <w:sz w:val="20"/>
                <w:szCs w:val="20"/>
              </w:rPr>
              <w:t>4</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E162BE2"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39E7177"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073BF84" w14:textId="77777777" w:rsidR="0034322D" w:rsidRDefault="0034322D" w:rsidP="00931169">
            <w:pPr>
              <w:rPr>
                <w:rFonts w:eastAsia="Arial Unicode MS" w:cstheme="minorHAnsi"/>
                <w:sz w:val="20"/>
                <w:szCs w:val="20"/>
              </w:rPr>
            </w:pPr>
            <w:r>
              <w:rPr>
                <w:rFonts w:cstheme="minorHAnsi"/>
                <w:sz w:val="20"/>
                <w:szCs w:val="20"/>
              </w:rPr>
              <w:t>310</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53870A43" w14:textId="77777777" w:rsidR="0034322D" w:rsidRDefault="0034322D" w:rsidP="00931169">
            <w:pPr>
              <w:rPr>
                <w:rFonts w:eastAsia="Arial Unicode MS" w:cstheme="minorHAnsi"/>
                <w:sz w:val="20"/>
                <w:szCs w:val="20"/>
              </w:rPr>
            </w:pPr>
            <w:r>
              <w:rPr>
                <w:rFonts w:cstheme="minorHAnsi"/>
                <w:sz w:val="20"/>
                <w:szCs w:val="20"/>
              </w:rPr>
              <w:t>22</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EA187F9" w14:textId="77777777" w:rsidR="0034322D" w:rsidRDefault="0034322D" w:rsidP="00931169">
            <w:pPr>
              <w:rPr>
                <w:rFonts w:eastAsia="Arial Unicode MS" w:cstheme="minorHAnsi"/>
                <w:sz w:val="20"/>
                <w:szCs w:val="20"/>
              </w:rPr>
            </w:pPr>
            <w:r>
              <w:rPr>
                <w:rFonts w:cstheme="minorHAnsi"/>
                <w:sz w:val="20"/>
                <w:szCs w:val="20"/>
              </w:rPr>
              <w:t>16</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5EA6148" w14:textId="77777777" w:rsidR="0034322D" w:rsidRDefault="0034322D" w:rsidP="00931169">
            <w:pPr>
              <w:rPr>
                <w:rFonts w:eastAsia="Arial Unicode MS" w:cstheme="minorHAnsi"/>
                <w:sz w:val="20"/>
                <w:szCs w:val="20"/>
              </w:rPr>
            </w:pPr>
            <w:r>
              <w:rPr>
                <w:rFonts w:cstheme="minorHAnsi"/>
                <w:sz w:val="20"/>
                <w:szCs w:val="20"/>
              </w:rPr>
              <w:t>200</w:t>
            </w:r>
          </w:p>
        </w:tc>
      </w:tr>
      <w:tr w:rsidR="0034322D" w14:paraId="0A1B2173"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0F400F1C" w14:textId="77777777" w:rsidR="0034322D" w:rsidRDefault="0034322D" w:rsidP="00931169">
            <w:pPr>
              <w:rPr>
                <w:rFonts w:eastAsia="Arial Unicode MS" w:cstheme="minorHAnsi"/>
                <w:sz w:val="20"/>
                <w:szCs w:val="20"/>
              </w:rPr>
            </w:pPr>
            <w:r>
              <w:rPr>
                <w:rFonts w:cstheme="minorHAnsi"/>
                <w:sz w:val="20"/>
                <w:szCs w:val="20"/>
              </w:rPr>
              <w:t>5</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79060E4"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8E1DBC0"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BB8352F" w14:textId="77777777" w:rsidR="0034322D" w:rsidRDefault="0034322D" w:rsidP="00931169">
            <w:pPr>
              <w:rPr>
                <w:rFonts w:eastAsia="Arial Unicode MS" w:cstheme="minorHAnsi"/>
                <w:sz w:val="20"/>
                <w:szCs w:val="20"/>
              </w:rPr>
            </w:pPr>
            <w:r>
              <w:rPr>
                <w:rFonts w:cstheme="minorHAnsi"/>
                <w:sz w:val="20"/>
                <w:szCs w:val="20"/>
              </w:rPr>
              <w:t>214</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4DD1D26" w14:textId="77777777" w:rsidR="0034322D" w:rsidRDefault="0034322D" w:rsidP="00931169">
            <w:pPr>
              <w:rPr>
                <w:rFonts w:eastAsia="Arial Unicode MS" w:cstheme="minorHAnsi"/>
                <w:sz w:val="20"/>
                <w:szCs w:val="20"/>
              </w:rPr>
            </w:pPr>
            <w:r>
              <w:rPr>
                <w:rFonts w:cstheme="minorHAnsi"/>
                <w:sz w:val="20"/>
                <w:szCs w:val="20"/>
              </w:rPr>
              <w:t>19</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51B402CF" w14:textId="77777777" w:rsidR="0034322D" w:rsidRDefault="0034322D" w:rsidP="00931169">
            <w:pPr>
              <w:rPr>
                <w:rFonts w:eastAsia="Arial Unicode MS" w:cstheme="minorHAnsi"/>
                <w:sz w:val="20"/>
                <w:szCs w:val="20"/>
              </w:rPr>
            </w:pPr>
            <w:r>
              <w:rPr>
                <w:rFonts w:cstheme="minorHAnsi"/>
                <w:sz w:val="20"/>
                <w:szCs w:val="20"/>
              </w:rPr>
              <w:t>12</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01DCAE66" w14:textId="77777777" w:rsidR="0034322D" w:rsidRDefault="0034322D" w:rsidP="00931169">
            <w:pPr>
              <w:rPr>
                <w:rFonts w:eastAsia="Arial Unicode MS" w:cstheme="minorHAnsi"/>
                <w:sz w:val="20"/>
                <w:szCs w:val="20"/>
              </w:rPr>
            </w:pPr>
            <w:r>
              <w:rPr>
                <w:rFonts w:cstheme="minorHAnsi"/>
                <w:sz w:val="20"/>
                <w:szCs w:val="20"/>
              </w:rPr>
              <w:t>150</w:t>
            </w:r>
          </w:p>
        </w:tc>
      </w:tr>
      <w:tr w:rsidR="0034322D" w14:paraId="44DACB83"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4DDEFA91" w14:textId="77777777" w:rsidR="0034322D" w:rsidRDefault="0034322D" w:rsidP="00931169">
            <w:pPr>
              <w:rPr>
                <w:rFonts w:eastAsia="Arial Unicode MS" w:cstheme="minorHAnsi"/>
                <w:sz w:val="20"/>
                <w:szCs w:val="20"/>
              </w:rPr>
            </w:pPr>
            <w:r>
              <w:rPr>
                <w:rFonts w:cstheme="minorHAnsi"/>
                <w:sz w:val="20"/>
                <w:szCs w:val="20"/>
              </w:rPr>
              <w:t>6</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E3F6993"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1C2264F"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04492EB" w14:textId="77777777" w:rsidR="0034322D" w:rsidRDefault="0034322D" w:rsidP="00931169">
            <w:pPr>
              <w:rPr>
                <w:rFonts w:eastAsia="Arial Unicode MS" w:cstheme="minorHAnsi"/>
                <w:sz w:val="20"/>
                <w:szCs w:val="20"/>
              </w:rPr>
            </w:pPr>
            <w:r>
              <w:rPr>
                <w:rFonts w:cstheme="minorHAnsi"/>
                <w:sz w:val="20"/>
                <w:szCs w:val="20"/>
              </w:rPr>
              <w:t>230</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1C522A2" w14:textId="77777777" w:rsidR="0034322D" w:rsidRDefault="0034322D" w:rsidP="00931169">
            <w:pPr>
              <w:rPr>
                <w:rFonts w:eastAsia="Arial Unicode MS" w:cstheme="minorHAnsi"/>
                <w:sz w:val="20"/>
                <w:szCs w:val="20"/>
              </w:rPr>
            </w:pPr>
            <w:r>
              <w:rPr>
                <w:rFonts w:cstheme="minorHAnsi"/>
                <w:sz w:val="20"/>
                <w:szCs w:val="20"/>
              </w:rPr>
              <w:t>19</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52CE4BA3" w14:textId="77777777" w:rsidR="0034322D" w:rsidRDefault="0034322D" w:rsidP="00931169">
            <w:pPr>
              <w:rPr>
                <w:rFonts w:eastAsia="Arial Unicode MS" w:cstheme="minorHAnsi"/>
                <w:sz w:val="20"/>
                <w:szCs w:val="20"/>
              </w:rPr>
            </w:pPr>
            <w:r>
              <w:rPr>
                <w:rFonts w:cstheme="minorHAnsi"/>
                <w:sz w:val="20"/>
                <w:szCs w:val="20"/>
              </w:rPr>
              <w:t>13</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F387B30" w14:textId="77777777" w:rsidR="0034322D" w:rsidRDefault="0034322D" w:rsidP="00931169">
            <w:pPr>
              <w:rPr>
                <w:rFonts w:eastAsia="Arial Unicode MS" w:cstheme="minorHAnsi"/>
                <w:sz w:val="20"/>
                <w:szCs w:val="20"/>
              </w:rPr>
            </w:pPr>
            <w:r>
              <w:rPr>
                <w:rFonts w:cstheme="minorHAnsi"/>
                <w:sz w:val="20"/>
                <w:szCs w:val="20"/>
              </w:rPr>
              <w:t>150</w:t>
            </w:r>
          </w:p>
        </w:tc>
      </w:tr>
      <w:tr w:rsidR="0034322D" w14:paraId="07EE2874"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18BE29B9" w14:textId="77777777" w:rsidR="0034322D" w:rsidRDefault="0034322D" w:rsidP="00931169">
            <w:pPr>
              <w:rPr>
                <w:rFonts w:eastAsia="Arial Unicode MS" w:cstheme="minorHAnsi"/>
                <w:sz w:val="20"/>
                <w:szCs w:val="20"/>
              </w:rPr>
            </w:pPr>
            <w:r>
              <w:rPr>
                <w:rFonts w:cstheme="minorHAnsi"/>
                <w:sz w:val="20"/>
                <w:szCs w:val="20"/>
              </w:rPr>
              <w:t>7</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52535C79"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30F659F"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0BA7288" w14:textId="77777777" w:rsidR="0034322D" w:rsidRDefault="0034322D" w:rsidP="00931169">
            <w:pPr>
              <w:rPr>
                <w:rFonts w:eastAsia="Arial Unicode MS" w:cstheme="minorHAnsi"/>
                <w:sz w:val="20"/>
                <w:szCs w:val="20"/>
              </w:rPr>
            </w:pPr>
            <w:r>
              <w:rPr>
                <w:rFonts w:cstheme="minorHAnsi"/>
                <w:sz w:val="20"/>
                <w:szCs w:val="20"/>
              </w:rPr>
              <w:t>285</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BC8A937" w14:textId="77777777" w:rsidR="0034322D" w:rsidRDefault="0034322D" w:rsidP="00931169">
            <w:pPr>
              <w:rPr>
                <w:rFonts w:eastAsia="Arial Unicode MS" w:cstheme="minorHAnsi"/>
                <w:sz w:val="20"/>
                <w:szCs w:val="20"/>
              </w:rPr>
            </w:pPr>
            <w:r>
              <w:rPr>
                <w:rFonts w:cstheme="minorHAnsi"/>
                <w:sz w:val="20"/>
                <w:szCs w:val="20"/>
              </w:rPr>
              <w:t>24</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0C108CB5" w14:textId="77777777" w:rsidR="0034322D" w:rsidRDefault="0034322D" w:rsidP="00931169">
            <w:pPr>
              <w:rPr>
                <w:rFonts w:eastAsia="Arial Unicode MS" w:cstheme="minorHAnsi"/>
                <w:sz w:val="20"/>
                <w:szCs w:val="20"/>
              </w:rPr>
            </w:pPr>
            <w:r>
              <w:rPr>
                <w:rFonts w:cstheme="minorHAnsi"/>
                <w:sz w:val="20"/>
                <w:szCs w:val="20"/>
              </w:rPr>
              <w:t>15</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1F2BA9E" w14:textId="77777777" w:rsidR="0034322D" w:rsidRDefault="0034322D" w:rsidP="00931169">
            <w:pPr>
              <w:rPr>
                <w:rFonts w:eastAsia="Arial Unicode MS" w:cstheme="minorHAnsi"/>
                <w:sz w:val="20"/>
                <w:szCs w:val="20"/>
              </w:rPr>
            </w:pPr>
            <w:r>
              <w:rPr>
                <w:rFonts w:cstheme="minorHAnsi"/>
                <w:sz w:val="20"/>
                <w:szCs w:val="20"/>
              </w:rPr>
              <w:t>200</w:t>
            </w:r>
          </w:p>
        </w:tc>
      </w:tr>
      <w:tr w:rsidR="0034322D" w14:paraId="6112AE97"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569290BA" w14:textId="77777777" w:rsidR="0034322D" w:rsidRDefault="0034322D" w:rsidP="00931169">
            <w:pPr>
              <w:rPr>
                <w:rFonts w:eastAsia="Arial Unicode MS" w:cstheme="minorHAnsi"/>
                <w:sz w:val="20"/>
                <w:szCs w:val="20"/>
              </w:rPr>
            </w:pPr>
            <w:r>
              <w:rPr>
                <w:rFonts w:cstheme="minorHAnsi"/>
                <w:sz w:val="20"/>
                <w:szCs w:val="20"/>
              </w:rPr>
              <w:t>8</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FC71E50"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4E2CEBD"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C21DCD0" w14:textId="77777777" w:rsidR="0034322D" w:rsidRDefault="0034322D" w:rsidP="00931169">
            <w:pPr>
              <w:rPr>
                <w:rFonts w:eastAsia="Arial Unicode MS" w:cstheme="minorHAnsi"/>
                <w:sz w:val="20"/>
                <w:szCs w:val="20"/>
              </w:rPr>
            </w:pPr>
            <w:r>
              <w:rPr>
                <w:rFonts w:cstheme="minorHAnsi"/>
                <w:sz w:val="20"/>
                <w:szCs w:val="20"/>
              </w:rPr>
              <w:t>372</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A20DB39" w14:textId="77777777" w:rsidR="0034322D" w:rsidRDefault="0034322D" w:rsidP="00931169">
            <w:pPr>
              <w:rPr>
                <w:rFonts w:eastAsia="Arial Unicode MS" w:cstheme="minorHAnsi"/>
                <w:sz w:val="20"/>
                <w:szCs w:val="20"/>
              </w:rPr>
            </w:pPr>
            <w:r>
              <w:rPr>
                <w:rFonts w:cstheme="minorHAnsi"/>
                <w:sz w:val="20"/>
                <w:szCs w:val="20"/>
              </w:rPr>
              <w:t>25</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986F45F" w14:textId="77777777" w:rsidR="0034322D" w:rsidRDefault="0034322D" w:rsidP="00931169">
            <w:pPr>
              <w:rPr>
                <w:rFonts w:eastAsia="Arial Unicode MS" w:cstheme="minorHAnsi"/>
                <w:sz w:val="20"/>
                <w:szCs w:val="20"/>
              </w:rPr>
            </w:pPr>
            <w:r>
              <w:rPr>
                <w:rFonts w:cstheme="minorHAnsi"/>
                <w:sz w:val="20"/>
                <w:szCs w:val="20"/>
              </w:rPr>
              <w:t>12</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5959B21B" w14:textId="77777777" w:rsidR="0034322D" w:rsidRDefault="0034322D" w:rsidP="00931169">
            <w:pPr>
              <w:rPr>
                <w:rFonts w:eastAsia="Arial Unicode MS" w:cstheme="minorHAnsi"/>
                <w:sz w:val="20"/>
                <w:szCs w:val="20"/>
              </w:rPr>
            </w:pPr>
            <w:r>
              <w:rPr>
                <w:rFonts w:cstheme="minorHAnsi"/>
                <w:sz w:val="20"/>
                <w:szCs w:val="20"/>
              </w:rPr>
              <w:t>250</w:t>
            </w:r>
          </w:p>
        </w:tc>
      </w:tr>
      <w:tr w:rsidR="0034322D" w14:paraId="7C85A610" w14:textId="77777777" w:rsidTr="0034322D">
        <w:trPr>
          <w:trHeight w:val="255"/>
        </w:trPr>
        <w:tc>
          <w:tcPr>
            <w:tcW w:w="660" w:type="dxa"/>
            <w:tcBorders>
              <w:top w:val="single" w:sz="4" w:space="0" w:color="auto"/>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24C0CF91" w14:textId="77777777" w:rsidR="0034322D" w:rsidRDefault="0034322D" w:rsidP="00931169">
            <w:pPr>
              <w:rPr>
                <w:rFonts w:eastAsia="Arial Unicode MS" w:cstheme="minorHAnsi"/>
                <w:sz w:val="20"/>
                <w:szCs w:val="20"/>
              </w:rPr>
            </w:pPr>
            <w:r>
              <w:rPr>
                <w:rFonts w:cstheme="minorHAnsi"/>
                <w:sz w:val="20"/>
                <w:szCs w:val="20"/>
              </w:rPr>
              <w:t>9</w:t>
            </w:r>
          </w:p>
        </w:tc>
        <w:tc>
          <w:tcPr>
            <w:tcW w:w="18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13E7B90F"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3BB31D96"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6182D29D" w14:textId="77777777" w:rsidR="0034322D" w:rsidRDefault="0034322D" w:rsidP="00931169">
            <w:pPr>
              <w:rPr>
                <w:rFonts w:eastAsia="Arial Unicode MS" w:cstheme="minorHAnsi"/>
                <w:sz w:val="20"/>
                <w:szCs w:val="20"/>
              </w:rPr>
            </w:pPr>
            <w:r>
              <w:rPr>
                <w:rFonts w:cstheme="minorHAnsi"/>
                <w:sz w:val="20"/>
                <w:szCs w:val="20"/>
              </w:rPr>
              <w:t>220</w:t>
            </w:r>
          </w:p>
        </w:tc>
        <w:tc>
          <w:tcPr>
            <w:tcW w:w="13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72D6CA0B" w14:textId="77777777" w:rsidR="0034322D" w:rsidRDefault="0034322D" w:rsidP="00931169">
            <w:pPr>
              <w:rPr>
                <w:rFonts w:eastAsia="Arial Unicode MS" w:cstheme="minorHAnsi"/>
                <w:sz w:val="20"/>
                <w:szCs w:val="20"/>
              </w:rPr>
            </w:pPr>
            <w:r>
              <w:rPr>
                <w:rFonts w:cstheme="minorHAnsi"/>
                <w:sz w:val="20"/>
                <w:szCs w:val="20"/>
              </w:rPr>
              <w:t>20</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3511EF40" w14:textId="77777777" w:rsidR="0034322D" w:rsidRDefault="0034322D" w:rsidP="00931169">
            <w:pPr>
              <w:rPr>
                <w:rFonts w:eastAsia="Arial Unicode MS" w:cstheme="minorHAnsi"/>
                <w:sz w:val="20"/>
                <w:szCs w:val="20"/>
              </w:rPr>
            </w:pPr>
            <w:r>
              <w:rPr>
                <w:rFonts w:cstheme="minorHAnsi"/>
                <w:sz w:val="20"/>
                <w:szCs w:val="20"/>
              </w:rPr>
              <w:t>13</w:t>
            </w:r>
          </w:p>
        </w:tc>
        <w:tc>
          <w:tcPr>
            <w:tcW w:w="13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0C14296B" w14:textId="77777777" w:rsidR="0034322D" w:rsidRDefault="0034322D" w:rsidP="00931169">
            <w:pPr>
              <w:rPr>
                <w:rFonts w:eastAsia="Arial Unicode MS" w:cstheme="minorHAnsi"/>
                <w:sz w:val="20"/>
                <w:szCs w:val="20"/>
              </w:rPr>
            </w:pPr>
            <w:r>
              <w:rPr>
                <w:rFonts w:cstheme="minorHAnsi"/>
                <w:sz w:val="20"/>
                <w:szCs w:val="20"/>
              </w:rPr>
              <w:t>150</w:t>
            </w:r>
          </w:p>
        </w:tc>
      </w:tr>
      <w:tr w:rsidR="0034322D" w14:paraId="571AA2D0" w14:textId="77777777" w:rsidTr="0034322D">
        <w:trPr>
          <w:trHeight w:val="255"/>
        </w:trPr>
        <w:tc>
          <w:tcPr>
            <w:tcW w:w="660" w:type="dxa"/>
            <w:tcBorders>
              <w:top w:val="single" w:sz="4" w:space="0" w:color="auto"/>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2E40BCDC" w14:textId="77777777" w:rsidR="0034322D" w:rsidRDefault="0034322D" w:rsidP="00931169">
            <w:pPr>
              <w:rPr>
                <w:rFonts w:eastAsia="Arial Unicode MS" w:cstheme="minorHAnsi"/>
                <w:sz w:val="20"/>
                <w:szCs w:val="20"/>
              </w:rPr>
            </w:pPr>
            <w:r>
              <w:rPr>
                <w:rFonts w:cstheme="minorHAnsi"/>
                <w:sz w:val="20"/>
                <w:szCs w:val="20"/>
              </w:rPr>
              <w:t>10</w:t>
            </w:r>
          </w:p>
        </w:tc>
        <w:tc>
          <w:tcPr>
            <w:tcW w:w="18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0499FFF2"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22FC86FC"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4CD3417F" w14:textId="77777777" w:rsidR="0034322D" w:rsidRDefault="0034322D" w:rsidP="00931169">
            <w:pPr>
              <w:rPr>
                <w:rFonts w:eastAsia="Arial Unicode MS" w:cstheme="minorHAnsi"/>
                <w:sz w:val="20"/>
                <w:szCs w:val="20"/>
              </w:rPr>
            </w:pPr>
            <w:r>
              <w:rPr>
                <w:rFonts w:cstheme="minorHAnsi"/>
                <w:sz w:val="20"/>
                <w:szCs w:val="20"/>
              </w:rPr>
              <w:t>384</w:t>
            </w:r>
          </w:p>
        </w:tc>
        <w:tc>
          <w:tcPr>
            <w:tcW w:w="13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5F8477B5" w14:textId="77777777" w:rsidR="0034322D" w:rsidRDefault="0034322D" w:rsidP="00931169">
            <w:pPr>
              <w:rPr>
                <w:rFonts w:eastAsia="Arial Unicode MS" w:cstheme="minorHAnsi"/>
                <w:sz w:val="20"/>
                <w:szCs w:val="20"/>
              </w:rPr>
            </w:pPr>
            <w:r>
              <w:rPr>
                <w:rFonts w:cstheme="minorHAnsi"/>
                <w:sz w:val="20"/>
                <w:szCs w:val="20"/>
              </w:rPr>
              <w:t>25</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77F13B09" w14:textId="77777777" w:rsidR="0034322D" w:rsidRDefault="0034322D" w:rsidP="00931169">
            <w:pPr>
              <w:rPr>
                <w:rFonts w:eastAsia="Arial Unicode MS" w:cstheme="minorHAnsi"/>
                <w:sz w:val="20"/>
                <w:szCs w:val="20"/>
              </w:rPr>
            </w:pPr>
            <w:r>
              <w:rPr>
                <w:rFonts w:cstheme="minorHAnsi"/>
                <w:sz w:val="20"/>
                <w:szCs w:val="20"/>
              </w:rPr>
              <w:t>19</w:t>
            </w:r>
          </w:p>
        </w:tc>
        <w:tc>
          <w:tcPr>
            <w:tcW w:w="13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7C72B1C4" w14:textId="77777777" w:rsidR="0034322D" w:rsidRDefault="0034322D" w:rsidP="00931169">
            <w:pPr>
              <w:rPr>
                <w:rFonts w:eastAsia="Arial Unicode MS" w:cstheme="minorHAnsi"/>
                <w:sz w:val="20"/>
                <w:szCs w:val="20"/>
              </w:rPr>
            </w:pPr>
            <w:r>
              <w:rPr>
                <w:rFonts w:cstheme="minorHAnsi"/>
                <w:sz w:val="20"/>
                <w:szCs w:val="20"/>
              </w:rPr>
              <w:t>250</w:t>
            </w:r>
          </w:p>
        </w:tc>
      </w:tr>
      <w:tr w:rsidR="0034322D" w14:paraId="62AEA714" w14:textId="77777777" w:rsidTr="0034322D">
        <w:trPr>
          <w:trHeight w:val="255"/>
        </w:trPr>
        <w:tc>
          <w:tcPr>
            <w:tcW w:w="660" w:type="dxa"/>
            <w:tcBorders>
              <w:top w:val="single" w:sz="4" w:space="0" w:color="auto"/>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33E4F415" w14:textId="77777777" w:rsidR="0034322D" w:rsidRDefault="0034322D" w:rsidP="00931169">
            <w:pPr>
              <w:rPr>
                <w:rFonts w:eastAsia="Arial Unicode MS" w:cstheme="minorHAnsi"/>
                <w:sz w:val="20"/>
                <w:szCs w:val="20"/>
              </w:rPr>
            </w:pPr>
            <w:r>
              <w:rPr>
                <w:rFonts w:cstheme="minorHAnsi"/>
                <w:sz w:val="20"/>
                <w:szCs w:val="20"/>
              </w:rPr>
              <w:t>11</w:t>
            </w:r>
          </w:p>
        </w:tc>
        <w:tc>
          <w:tcPr>
            <w:tcW w:w="18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7174A065"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223A2992"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2C5988A7" w14:textId="77777777" w:rsidR="0034322D" w:rsidRDefault="0034322D" w:rsidP="00931169">
            <w:pPr>
              <w:rPr>
                <w:rFonts w:eastAsia="Arial Unicode MS" w:cstheme="minorHAnsi"/>
                <w:sz w:val="20"/>
                <w:szCs w:val="20"/>
              </w:rPr>
            </w:pPr>
            <w:r>
              <w:rPr>
                <w:rFonts w:cstheme="minorHAnsi"/>
                <w:sz w:val="20"/>
                <w:szCs w:val="20"/>
              </w:rPr>
              <w:t>250</w:t>
            </w:r>
          </w:p>
        </w:tc>
        <w:tc>
          <w:tcPr>
            <w:tcW w:w="138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01DC3481" w14:textId="77777777" w:rsidR="0034322D" w:rsidRDefault="0034322D" w:rsidP="00931169">
            <w:pPr>
              <w:rPr>
                <w:rFonts w:eastAsia="Arial Unicode MS" w:cstheme="minorHAnsi"/>
                <w:sz w:val="20"/>
                <w:szCs w:val="20"/>
              </w:rPr>
            </w:pPr>
            <w:r>
              <w:rPr>
                <w:rFonts w:cstheme="minorHAnsi"/>
                <w:sz w:val="20"/>
                <w:szCs w:val="20"/>
              </w:rPr>
              <w:t>22</w:t>
            </w:r>
          </w:p>
        </w:tc>
        <w:tc>
          <w:tcPr>
            <w:tcW w:w="9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77D6F76D" w14:textId="77777777" w:rsidR="0034322D" w:rsidRDefault="0034322D" w:rsidP="00931169">
            <w:pPr>
              <w:rPr>
                <w:rFonts w:eastAsia="Arial Unicode MS" w:cstheme="minorHAnsi"/>
                <w:sz w:val="20"/>
                <w:szCs w:val="20"/>
              </w:rPr>
            </w:pPr>
            <w:r>
              <w:rPr>
                <w:rFonts w:cstheme="minorHAnsi"/>
                <w:sz w:val="20"/>
                <w:szCs w:val="20"/>
              </w:rPr>
              <w:t>12</w:t>
            </w:r>
          </w:p>
        </w:tc>
        <w:tc>
          <w:tcPr>
            <w:tcW w:w="1360" w:type="dxa"/>
            <w:tcBorders>
              <w:top w:val="single" w:sz="4" w:space="0" w:color="auto"/>
              <w:left w:val="nil"/>
              <w:bottom w:val="single" w:sz="4" w:space="0" w:color="auto"/>
              <w:right w:val="single" w:sz="4" w:space="0" w:color="auto"/>
            </w:tcBorders>
            <w:tcMar>
              <w:top w:w="16" w:type="dxa"/>
              <w:left w:w="16" w:type="dxa"/>
              <w:bottom w:w="0" w:type="dxa"/>
              <w:right w:w="16" w:type="dxa"/>
            </w:tcMar>
            <w:vAlign w:val="bottom"/>
            <w:hideMark/>
          </w:tcPr>
          <w:p w14:paraId="0CDF0425" w14:textId="77777777" w:rsidR="0034322D" w:rsidRDefault="0034322D" w:rsidP="00931169">
            <w:pPr>
              <w:rPr>
                <w:rFonts w:eastAsia="Arial Unicode MS" w:cstheme="minorHAnsi"/>
                <w:sz w:val="20"/>
                <w:szCs w:val="20"/>
              </w:rPr>
            </w:pPr>
            <w:r>
              <w:rPr>
                <w:rFonts w:cstheme="minorHAnsi"/>
                <w:sz w:val="20"/>
                <w:szCs w:val="20"/>
              </w:rPr>
              <w:t>150</w:t>
            </w:r>
          </w:p>
        </w:tc>
      </w:tr>
      <w:tr w:rsidR="0034322D" w14:paraId="043CBE2A"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614C877A" w14:textId="77777777" w:rsidR="0034322D" w:rsidRDefault="0034322D" w:rsidP="00931169">
            <w:pPr>
              <w:rPr>
                <w:rFonts w:eastAsia="Arial Unicode MS" w:cstheme="minorHAnsi"/>
                <w:sz w:val="20"/>
                <w:szCs w:val="20"/>
              </w:rPr>
            </w:pPr>
            <w:r>
              <w:rPr>
                <w:rFonts w:cstheme="minorHAnsi"/>
                <w:sz w:val="20"/>
                <w:szCs w:val="20"/>
              </w:rPr>
              <w:t>12</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FF62BA9"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1F5D227"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E8C0141" w14:textId="77777777" w:rsidR="0034322D" w:rsidRDefault="0034322D" w:rsidP="00931169">
            <w:pPr>
              <w:rPr>
                <w:rFonts w:eastAsia="Arial Unicode MS" w:cstheme="minorHAnsi"/>
                <w:sz w:val="20"/>
                <w:szCs w:val="20"/>
              </w:rPr>
            </w:pPr>
            <w:r>
              <w:rPr>
                <w:rFonts w:cstheme="minorHAnsi"/>
                <w:sz w:val="20"/>
                <w:szCs w:val="20"/>
              </w:rPr>
              <w:t>190</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C18E159" w14:textId="77777777" w:rsidR="0034322D" w:rsidRDefault="0034322D" w:rsidP="00931169">
            <w:pPr>
              <w:rPr>
                <w:rFonts w:eastAsia="Arial Unicode MS" w:cstheme="minorHAnsi"/>
                <w:sz w:val="20"/>
                <w:szCs w:val="20"/>
              </w:rPr>
            </w:pPr>
            <w:r>
              <w:rPr>
                <w:rFonts w:cstheme="minorHAnsi"/>
                <w:sz w:val="20"/>
                <w:szCs w:val="20"/>
              </w:rPr>
              <w:t>19</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0189D8CB" w14:textId="77777777" w:rsidR="0034322D" w:rsidRDefault="0034322D" w:rsidP="00931169">
            <w:pPr>
              <w:rPr>
                <w:rFonts w:eastAsia="Arial Unicode MS" w:cstheme="minorHAnsi"/>
                <w:sz w:val="20"/>
                <w:szCs w:val="20"/>
              </w:rPr>
            </w:pPr>
            <w:r>
              <w:rPr>
                <w:rFonts w:cstheme="minorHAnsi"/>
                <w:sz w:val="20"/>
                <w:szCs w:val="20"/>
              </w:rPr>
              <w:t>12</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04EA5D6" w14:textId="77777777" w:rsidR="0034322D" w:rsidRDefault="0034322D" w:rsidP="00931169">
            <w:pPr>
              <w:rPr>
                <w:rFonts w:eastAsia="Arial Unicode MS" w:cstheme="minorHAnsi"/>
                <w:sz w:val="20"/>
                <w:szCs w:val="20"/>
              </w:rPr>
            </w:pPr>
            <w:r>
              <w:rPr>
                <w:rFonts w:cstheme="minorHAnsi"/>
                <w:sz w:val="20"/>
                <w:szCs w:val="20"/>
              </w:rPr>
              <w:t>100</w:t>
            </w:r>
          </w:p>
        </w:tc>
      </w:tr>
      <w:tr w:rsidR="0034322D" w14:paraId="4BCF63D8"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295811CF" w14:textId="77777777" w:rsidR="0034322D" w:rsidRDefault="0034322D" w:rsidP="00931169">
            <w:pPr>
              <w:rPr>
                <w:rFonts w:eastAsia="Arial Unicode MS" w:cstheme="minorHAnsi"/>
                <w:sz w:val="20"/>
                <w:szCs w:val="20"/>
              </w:rPr>
            </w:pPr>
            <w:r>
              <w:rPr>
                <w:rFonts w:cstheme="minorHAnsi"/>
                <w:sz w:val="20"/>
                <w:szCs w:val="20"/>
              </w:rPr>
              <w:t>13</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2B00B67"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6B23E68"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F10DEA8" w14:textId="77777777" w:rsidR="0034322D" w:rsidRDefault="0034322D" w:rsidP="00931169">
            <w:pPr>
              <w:rPr>
                <w:rFonts w:eastAsia="Arial Unicode MS" w:cstheme="minorHAnsi"/>
                <w:sz w:val="20"/>
                <w:szCs w:val="20"/>
              </w:rPr>
            </w:pPr>
            <w:r>
              <w:rPr>
                <w:rFonts w:cstheme="minorHAnsi"/>
                <w:sz w:val="20"/>
                <w:szCs w:val="20"/>
              </w:rPr>
              <w:t>309</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53A9E12" w14:textId="77777777" w:rsidR="0034322D" w:rsidRDefault="0034322D" w:rsidP="00931169">
            <w:pPr>
              <w:rPr>
                <w:rFonts w:eastAsia="Arial Unicode MS" w:cstheme="minorHAnsi"/>
                <w:sz w:val="20"/>
                <w:szCs w:val="20"/>
              </w:rPr>
            </w:pPr>
            <w:r>
              <w:rPr>
                <w:rFonts w:cstheme="minorHAnsi"/>
                <w:sz w:val="20"/>
                <w:szCs w:val="20"/>
              </w:rPr>
              <w:t>21</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4CF023A" w14:textId="77777777" w:rsidR="0034322D" w:rsidRDefault="0034322D" w:rsidP="00931169">
            <w:pPr>
              <w:rPr>
                <w:rFonts w:eastAsia="Arial Unicode MS" w:cstheme="minorHAnsi"/>
                <w:sz w:val="20"/>
                <w:szCs w:val="20"/>
              </w:rPr>
            </w:pPr>
            <w:r>
              <w:rPr>
                <w:rFonts w:cstheme="minorHAnsi"/>
                <w:sz w:val="20"/>
                <w:szCs w:val="20"/>
              </w:rPr>
              <w:t>14</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4953998" w14:textId="77777777" w:rsidR="0034322D" w:rsidRDefault="0034322D" w:rsidP="00931169">
            <w:pPr>
              <w:rPr>
                <w:rFonts w:eastAsia="Arial Unicode MS" w:cstheme="minorHAnsi"/>
                <w:sz w:val="20"/>
                <w:szCs w:val="20"/>
              </w:rPr>
            </w:pPr>
            <w:r>
              <w:rPr>
                <w:rFonts w:cstheme="minorHAnsi"/>
                <w:sz w:val="20"/>
                <w:szCs w:val="20"/>
              </w:rPr>
              <w:t>200</w:t>
            </w:r>
          </w:p>
        </w:tc>
      </w:tr>
      <w:tr w:rsidR="0034322D" w14:paraId="136EF991"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6E363753" w14:textId="77777777" w:rsidR="0034322D" w:rsidRDefault="0034322D" w:rsidP="00931169">
            <w:pPr>
              <w:rPr>
                <w:rFonts w:eastAsia="Arial Unicode MS" w:cstheme="minorHAnsi"/>
                <w:sz w:val="20"/>
                <w:szCs w:val="20"/>
              </w:rPr>
            </w:pPr>
            <w:r>
              <w:rPr>
                <w:rFonts w:cstheme="minorHAnsi"/>
                <w:sz w:val="20"/>
                <w:szCs w:val="20"/>
              </w:rPr>
              <w:t>14</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0F54D89"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DAC4747"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53745B5" w14:textId="77777777" w:rsidR="0034322D" w:rsidRDefault="0034322D" w:rsidP="00931169">
            <w:pPr>
              <w:rPr>
                <w:rFonts w:eastAsia="Arial Unicode MS" w:cstheme="minorHAnsi"/>
                <w:sz w:val="20"/>
                <w:szCs w:val="20"/>
              </w:rPr>
            </w:pPr>
            <w:r>
              <w:rPr>
                <w:rFonts w:cstheme="minorHAnsi"/>
                <w:sz w:val="20"/>
                <w:szCs w:val="20"/>
              </w:rPr>
              <w:t>297</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47A2592" w14:textId="77777777" w:rsidR="0034322D" w:rsidRDefault="0034322D" w:rsidP="00931169">
            <w:pPr>
              <w:rPr>
                <w:rFonts w:eastAsia="Arial Unicode MS" w:cstheme="minorHAnsi"/>
                <w:sz w:val="20"/>
                <w:szCs w:val="20"/>
              </w:rPr>
            </w:pPr>
            <w:r>
              <w:rPr>
                <w:rFonts w:cstheme="minorHAnsi"/>
                <w:sz w:val="20"/>
                <w:szCs w:val="20"/>
              </w:rPr>
              <w:t>21</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D000C56" w14:textId="77777777" w:rsidR="0034322D" w:rsidRDefault="0034322D" w:rsidP="00931169">
            <w:pPr>
              <w:rPr>
                <w:rFonts w:eastAsia="Arial Unicode MS" w:cstheme="minorHAnsi"/>
                <w:sz w:val="20"/>
                <w:szCs w:val="20"/>
              </w:rPr>
            </w:pPr>
            <w:r>
              <w:rPr>
                <w:rFonts w:cstheme="minorHAnsi"/>
                <w:sz w:val="20"/>
                <w:szCs w:val="20"/>
              </w:rPr>
              <w:t>12</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5E5FEDA" w14:textId="77777777" w:rsidR="0034322D" w:rsidRDefault="0034322D" w:rsidP="00931169">
            <w:pPr>
              <w:rPr>
                <w:rFonts w:eastAsia="Arial Unicode MS" w:cstheme="minorHAnsi"/>
                <w:sz w:val="20"/>
                <w:szCs w:val="20"/>
              </w:rPr>
            </w:pPr>
            <w:r>
              <w:rPr>
                <w:rFonts w:cstheme="minorHAnsi"/>
                <w:sz w:val="20"/>
                <w:szCs w:val="20"/>
              </w:rPr>
              <w:t>200</w:t>
            </w:r>
          </w:p>
        </w:tc>
      </w:tr>
      <w:tr w:rsidR="0034322D" w14:paraId="68827D89"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2368F9A2" w14:textId="77777777" w:rsidR="0034322D" w:rsidRDefault="0034322D" w:rsidP="00931169">
            <w:pPr>
              <w:rPr>
                <w:rFonts w:eastAsia="Arial Unicode MS" w:cstheme="minorHAnsi"/>
                <w:sz w:val="20"/>
                <w:szCs w:val="20"/>
              </w:rPr>
            </w:pPr>
            <w:r>
              <w:rPr>
                <w:rFonts w:cstheme="minorHAnsi"/>
                <w:sz w:val="20"/>
                <w:szCs w:val="20"/>
              </w:rPr>
              <w:t>15</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0D3D7A0C"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0A7FC8B3"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3432031" w14:textId="77777777" w:rsidR="0034322D" w:rsidRDefault="0034322D" w:rsidP="00931169">
            <w:pPr>
              <w:rPr>
                <w:rFonts w:eastAsia="Arial Unicode MS" w:cstheme="minorHAnsi"/>
                <w:sz w:val="20"/>
                <w:szCs w:val="20"/>
              </w:rPr>
            </w:pPr>
            <w:r>
              <w:rPr>
                <w:rFonts w:cstheme="minorHAnsi"/>
                <w:sz w:val="20"/>
                <w:szCs w:val="20"/>
              </w:rPr>
              <w:t>386</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136D53D" w14:textId="77777777" w:rsidR="0034322D" w:rsidRDefault="0034322D" w:rsidP="00931169">
            <w:pPr>
              <w:rPr>
                <w:rFonts w:eastAsia="Arial Unicode MS" w:cstheme="minorHAnsi"/>
                <w:sz w:val="20"/>
                <w:szCs w:val="20"/>
              </w:rPr>
            </w:pPr>
            <w:r>
              <w:rPr>
                <w:rFonts w:cstheme="minorHAnsi"/>
                <w:sz w:val="20"/>
                <w:szCs w:val="20"/>
              </w:rPr>
              <w:t>24</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F9F4C0B" w14:textId="77777777" w:rsidR="0034322D" w:rsidRDefault="0034322D" w:rsidP="00931169">
            <w:pPr>
              <w:rPr>
                <w:rFonts w:eastAsia="Arial Unicode MS" w:cstheme="minorHAnsi"/>
                <w:sz w:val="20"/>
                <w:szCs w:val="20"/>
              </w:rPr>
            </w:pPr>
            <w:r>
              <w:rPr>
                <w:rFonts w:cstheme="minorHAnsi"/>
                <w:sz w:val="20"/>
                <w:szCs w:val="20"/>
              </w:rPr>
              <w:t>14</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D351565" w14:textId="77777777" w:rsidR="0034322D" w:rsidRDefault="0034322D" w:rsidP="00931169">
            <w:pPr>
              <w:rPr>
                <w:rFonts w:eastAsia="Arial Unicode MS" w:cstheme="minorHAnsi"/>
                <w:sz w:val="20"/>
                <w:szCs w:val="20"/>
              </w:rPr>
            </w:pPr>
            <w:r>
              <w:rPr>
                <w:rFonts w:cstheme="minorHAnsi"/>
                <w:sz w:val="20"/>
                <w:szCs w:val="20"/>
              </w:rPr>
              <w:t>250</w:t>
            </w:r>
          </w:p>
        </w:tc>
      </w:tr>
      <w:tr w:rsidR="0034322D" w14:paraId="073BD12D"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7116D34C" w14:textId="77777777" w:rsidR="0034322D" w:rsidRDefault="0034322D" w:rsidP="00931169">
            <w:pPr>
              <w:rPr>
                <w:rFonts w:eastAsia="Arial Unicode MS" w:cstheme="minorHAnsi"/>
                <w:sz w:val="20"/>
                <w:szCs w:val="20"/>
              </w:rPr>
            </w:pPr>
            <w:r>
              <w:rPr>
                <w:rFonts w:cstheme="minorHAnsi"/>
                <w:sz w:val="20"/>
                <w:szCs w:val="20"/>
              </w:rPr>
              <w:t>16</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3B50558"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29AC8D4"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71727E9" w14:textId="77777777" w:rsidR="0034322D" w:rsidRDefault="0034322D" w:rsidP="00931169">
            <w:pPr>
              <w:rPr>
                <w:rFonts w:eastAsia="Arial Unicode MS" w:cstheme="minorHAnsi"/>
                <w:sz w:val="20"/>
                <w:szCs w:val="20"/>
              </w:rPr>
            </w:pPr>
            <w:r>
              <w:rPr>
                <w:rFonts w:cstheme="minorHAnsi"/>
                <w:sz w:val="20"/>
                <w:szCs w:val="20"/>
              </w:rPr>
              <w:t>123</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E62E6A4" w14:textId="77777777" w:rsidR="0034322D" w:rsidRDefault="0034322D" w:rsidP="00931169">
            <w:pPr>
              <w:rPr>
                <w:rFonts w:eastAsia="Arial Unicode MS" w:cstheme="minorHAnsi"/>
                <w:sz w:val="20"/>
                <w:szCs w:val="20"/>
              </w:rPr>
            </w:pPr>
            <w:r>
              <w:rPr>
                <w:rFonts w:cstheme="minorHAnsi"/>
                <w:sz w:val="20"/>
                <w:szCs w:val="20"/>
              </w:rPr>
              <w:t>19</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33708FA" w14:textId="77777777" w:rsidR="0034322D" w:rsidRDefault="0034322D" w:rsidP="00931169">
            <w:pPr>
              <w:rPr>
                <w:rFonts w:eastAsia="Arial Unicode MS" w:cstheme="minorHAnsi"/>
                <w:sz w:val="20"/>
                <w:szCs w:val="20"/>
              </w:rPr>
            </w:pPr>
            <w:r>
              <w:rPr>
                <w:rFonts w:cstheme="minorHAnsi"/>
                <w:sz w:val="20"/>
                <w:szCs w:val="20"/>
              </w:rPr>
              <w:t>9</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1605223" w14:textId="77777777" w:rsidR="0034322D" w:rsidRDefault="0034322D" w:rsidP="00931169">
            <w:pPr>
              <w:rPr>
                <w:rFonts w:eastAsia="Arial Unicode MS" w:cstheme="minorHAnsi"/>
                <w:sz w:val="20"/>
                <w:szCs w:val="20"/>
              </w:rPr>
            </w:pPr>
            <w:r>
              <w:rPr>
                <w:rFonts w:cstheme="minorHAnsi"/>
                <w:sz w:val="20"/>
                <w:szCs w:val="20"/>
              </w:rPr>
              <w:t>100</w:t>
            </w:r>
          </w:p>
        </w:tc>
      </w:tr>
      <w:tr w:rsidR="0034322D" w14:paraId="630CAE80"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1CD45144" w14:textId="77777777" w:rsidR="0034322D" w:rsidRDefault="0034322D" w:rsidP="00931169">
            <w:pPr>
              <w:rPr>
                <w:rFonts w:eastAsia="Arial Unicode MS" w:cstheme="minorHAnsi"/>
                <w:sz w:val="20"/>
                <w:szCs w:val="20"/>
              </w:rPr>
            </w:pPr>
            <w:r>
              <w:rPr>
                <w:rFonts w:cstheme="minorHAnsi"/>
                <w:sz w:val="20"/>
                <w:szCs w:val="20"/>
              </w:rPr>
              <w:t>17</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83E4DBC"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938E955"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075C3906" w14:textId="77777777" w:rsidR="0034322D" w:rsidRDefault="0034322D" w:rsidP="00931169">
            <w:pPr>
              <w:rPr>
                <w:rFonts w:eastAsia="Arial Unicode MS" w:cstheme="minorHAnsi"/>
                <w:sz w:val="20"/>
                <w:szCs w:val="20"/>
              </w:rPr>
            </w:pPr>
            <w:r>
              <w:rPr>
                <w:rFonts w:cstheme="minorHAnsi"/>
                <w:sz w:val="20"/>
                <w:szCs w:val="20"/>
              </w:rPr>
              <w:t>194</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804582B" w14:textId="77777777" w:rsidR="0034322D" w:rsidRDefault="0034322D" w:rsidP="00931169">
            <w:pPr>
              <w:rPr>
                <w:rFonts w:eastAsia="Arial Unicode MS" w:cstheme="minorHAnsi"/>
                <w:sz w:val="20"/>
                <w:szCs w:val="20"/>
              </w:rPr>
            </w:pPr>
            <w:r>
              <w:rPr>
                <w:rFonts w:cstheme="minorHAnsi"/>
                <w:sz w:val="20"/>
                <w:szCs w:val="20"/>
              </w:rPr>
              <w:t>23</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59B76447" w14:textId="77777777" w:rsidR="0034322D" w:rsidRDefault="0034322D" w:rsidP="00931169">
            <w:pPr>
              <w:rPr>
                <w:rFonts w:eastAsia="Arial Unicode MS" w:cstheme="minorHAnsi"/>
                <w:sz w:val="20"/>
                <w:szCs w:val="20"/>
              </w:rPr>
            </w:pPr>
            <w:r>
              <w:rPr>
                <w:rFonts w:cstheme="minorHAnsi"/>
                <w:sz w:val="20"/>
                <w:szCs w:val="20"/>
              </w:rPr>
              <w:t>11</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B8EDEF8" w14:textId="77777777" w:rsidR="0034322D" w:rsidRDefault="0034322D" w:rsidP="00931169">
            <w:pPr>
              <w:rPr>
                <w:rFonts w:eastAsia="Arial Unicode MS" w:cstheme="minorHAnsi"/>
                <w:sz w:val="20"/>
                <w:szCs w:val="20"/>
              </w:rPr>
            </w:pPr>
            <w:r>
              <w:rPr>
                <w:rFonts w:cstheme="minorHAnsi"/>
                <w:sz w:val="20"/>
                <w:szCs w:val="20"/>
              </w:rPr>
              <w:t>100</w:t>
            </w:r>
          </w:p>
        </w:tc>
      </w:tr>
      <w:tr w:rsidR="0034322D" w14:paraId="4C699336"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788F5F9B" w14:textId="77777777" w:rsidR="0034322D" w:rsidRDefault="0034322D" w:rsidP="00931169">
            <w:pPr>
              <w:rPr>
                <w:rFonts w:eastAsia="Arial Unicode MS" w:cstheme="minorHAnsi"/>
                <w:sz w:val="20"/>
                <w:szCs w:val="20"/>
              </w:rPr>
            </w:pPr>
            <w:r>
              <w:rPr>
                <w:rFonts w:cstheme="minorHAnsi"/>
                <w:sz w:val="20"/>
                <w:szCs w:val="20"/>
              </w:rPr>
              <w:t>18</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F53A7DC"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75B61CA"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7C34512" w14:textId="77777777" w:rsidR="0034322D" w:rsidRDefault="0034322D" w:rsidP="00931169">
            <w:pPr>
              <w:rPr>
                <w:rFonts w:eastAsia="Arial Unicode MS" w:cstheme="minorHAnsi"/>
                <w:sz w:val="20"/>
                <w:szCs w:val="20"/>
              </w:rPr>
            </w:pPr>
            <w:r>
              <w:rPr>
                <w:rFonts w:cstheme="minorHAnsi"/>
                <w:sz w:val="20"/>
                <w:szCs w:val="20"/>
              </w:rPr>
              <w:t>162</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93D9058" w14:textId="77777777" w:rsidR="0034322D" w:rsidRDefault="0034322D" w:rsidP="00931169">
            <w:pPr>
              <w:rPr>
                <w:rFonts w:eastAsia="Arial Unicode MS" w:cstheme="minorHAnsi"/>
                <w:sz w:val="20"/>
                <w:szCs w:val="20"/>
              </w:rPr>
            </w:pPr>
            <w:r>
              <w:rPr>
                <w:rFonts w:cstheme="minorHAnsi"/>
                <w:sz w:val="20"/>
                <w:szCs w:val="20"/>
              </w:rPr>
              <w:t>22</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39D73A6A" w14:textId="77777777" w:rsidR="0034322D" w:rsidRDefault="0034322D" w:rsidP="00931169">
            <w:pPr>
              <w:rPr>
                <w:rFonts w:eastAsia="Arial Unicode MS" w:cstheme="minorHAnsi"/>
                <w:sz w:val="20"/>
                <w:szCs w:val="20"/>
              </w:rPr>
            </w:pPr>
            <w:r>
              <w:rPr>
                <w:rFonts w:cstheme="minorHAnsi"/>
                <w:sz w:val="20"/>
                <w:szCs w:val="20"/>
              </w:rPr>
              <w:t>10</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10E8C210" w14:textId="77777777" w:rsidR="0034322D" w:rsidRDefault="0034322D" w:rsidP="00931169">
            <w:pPr>
              <w:rPr>
                <w:rFonts w:eastAsia="Arial Unicode MS" w:cstheme="minorHAnsi"/>
                <w:sz w:val="20"/>
                <w:szCs w:val="20"/>
              </w:rPr>
            </w:pPr>
            <w:r>
              <w:rPr>
                <w:rFonts w:cstheme="minorHAnsi"/>
                <w:sz w:val="20"/>
                <w:szCs w:val="20"/>
              </w:rPr>
              <w:t>100</w:t>
            </w:r>
          </w:p>
        </w:tc>
      </w:tr>
      <w:tr w:rsidR="0034322D" w14:paraId="115A5A0F" w14:textId="77777777" w:rsidTr="0034322D">
        <w:trPr>
          <w:trHeight w:val="255"/>
        </w:trPr>
        <w:tc>
          <w:tcPr>
            <w:tcW w:w="660" w:type="dxa"/>
            <w:tcBorders>
              <w:top w:val="nil"/>
              <w:left w:val="single" w:sz="4" w:space="0" w:color="auto"/>
              <w:bottom w:val="single" w:sz="4" w:space="0" w:color="auto"/>
              <w:right w:val="single" w:sz="4" w:space="0" w:color="auto"/>
            </w:tcBorders>
            <w:tcMar>
              <w:top w:w="16" w:type="dxa"/>
              <w:left w:w="16" w:type="dxa"/>
              <w:bottom w:w="0" w:type="dxa"/>
              <w:right w:w="16" w:type="dxa"/>
            </w:tcMar>
            <w:vAlign w:val="bottom"/>
            <w:hideMark/>
          </w:tcPr>
          <w:p w14:paraId="09416FB0" w14:textId="77777777" w:rsidR="0034322D" w:rsidRDefault="0034322D" w:rsidP="00931169">
            <w:pPr>
              <w:rPr>
                <w:rFonts w:eastAsia="Arial Unicode MS" w:cstheme="minorHAnsi"/>
                <w:sz w:val="20"/>
                <w:szCs w:val="20"/>
              </w:rPr>
            </w:pPr>
            <w:r>
              <w:rPr>
                <w:rFonts w:cstheme="minorHAnsi"/>
                <w:sz w:val="20"/>
                <w:szCs w:val="20"/>
              </w:rPr>
              <w:t>19</w:t>
            </w:r>
          </w:p>
        </w:tc>
        <w:tc>
          <w:tcPr>
            <w:tcW w:w="18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E666A16" w14:textId="77777777" w:rsidR="0034322D" w:rsidRDefault="0034322D" w:rsidP="00931169">
            <w:pPr>
              <w:rPr>
                <w:rFonts w:eastAsia="Arial Unicode MS" w:cstheme="minorHAnsi"/>
                <w:sz w:val="20"/>
                <w:szCs w:val="20"/>
              </w:rPr>
            </w:pPr>
            <w:r>
              <w:rPr>
                <w:rFonts w:cstheme="minorHAnsi"/>
                <w:sz w:val="20"/>
                <w:szCs w:val="20"/>
              </w:rPr>
              <w:t>lipa veľkolistá</w:t>
            </w:r>
          </w:p>
        </w:tc>
        <w:tc>
          <w:tcPr>
            <w:tcW w:w="24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2A009BD8" w14:textId="77777777" w:rsidR="0034322D" w:rsidRDefault="0034322D" w:rsidP="00931169">
            <w:pPr>
              <w:rPr>
                <w:rFonts w:eastAsia="Arial Unicode MS" w:cstheme="minorHAnsi"/>
                <w:i/>
                <w:iCs/>
                <w:sz w:val="20"/>
                <w:szCs w:val="20"/>
              </w:rPr>
            </w:pPr>
            <w:r>
              <w:rPr>
                <w:rFonts w:cstheme="minorHAnsi"/>
                <w:i/>
                <w:iCs/>
                <w:sz w:val="20"/>
                <w:szCs w:val="20"/>
              </w:rPr>
              <w:t>Tilia platyphylos Scop.</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74677CBD" w14:textId="77777777" w:rsidR="0034322D" w:rsidRDefault="0034322D" w:rsidP="00931169">
            <w:pPr>
              <w:rPr>
                <w:rFonts w:eastAsia="Arial Unicode MS" w:cstheme="minorHAnsi"/>
                <w:sz w:val="20"/>
                <w:szCs w:val="20"/>
              </w:rPr>
            </w:pPr>
            <w:r>
              <w:rPr>
                <w:rFonts w:cstheme="minorHAnsi"/>
                <w:sz w:val="20"/>
                <w:szCs w:val="20"/>
              </w:rPr>
              <w:t>294</w:t>
            </w:r>
          </w:p>
        </w:tc>
        <w:tc>
          <w:tcPr>
            <w:tcW w:w="138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4129659B" w14:textId="77777777" w:rsidR="0034322D" w:rsidRDefault="0034322D" w:rsidP="00931169">
            <w:pPr>
              <w:rPr>
                <w:rFonts w:eastAsia="Arial Unicode MS" w:cstheme="minorHAnsi"/>
                <w:sz w:val="20"/>
                <w:szCs w:val="20"/>
              </w:rPr>
            </w:pPr>
            <w:r>
              <w:rPr>
                <w:rFonts w:cstheme="minorHAnsi"/>
                <w:sz w:val="20"/>
                <w:szCs w:val="20"/>
              </w:rPr>
              <w:t>23</w:t>
            </w:r>
          </w:p>
        </w:tc>
        <w:tc>
          <w:tcPr>
            <w:tcW w:w="9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C2BCA64" w14:textId="77777777" w:rsidR="0034322D" w:rsidRDefault="0034322D" w:rsidP="00931169">
            <w:pPr>
              <w:rPr>
                <w:rFonts w:eastAsia="Arial Unicode MS" w:cstheme="minorHAnsi"/>
                <w:sz w:val="20"/>
                <w:szCs w:val="20"/>
              </w:rPr>
            </w:pPr>
            <w:r>
              <w:rPr>
                <w:rFonts w:cstheme="minorHAnsi"/>
                <w:sz w:val="20"/>
                <w:szCs w:val="20"/>
              </w:rPr>
              <w:t>12</w:t>
            </w:r>
          </w:p>
        </w:tc>
        <w:tc>
          <w:tcPr>
            <w:tcW w:w="1360" w:type="dxa"/>
            <w:tcBorders>
              <w:top w:val="nil"/>
              <w:left w:val="nil"/>
              <w:bottom w:val="single" w:sz="4" w:space="0" w:color="auto"/>
              <w:right w:val="single" w:sz="4" w:space="0" w:color="auto"/>
            </w:tcBorders>
            <w:tcMar>
              <w:top w:w="16" w:type="dxa"/>
              <w:left w:w="16" w:type="dxa"/>
              <w:bottom w:w="0" w:type="dxa"/>
              <w:right w:w="16" w:type="dxa"/>
            </w:tcMar>
            <w:vAlign w:val="bottom"/>
            <w:hideMark/>
          </w:tcPr>
          <w:p w14:paraId="67004B6C" w14:textId="77777777" w:rsidR="0034322D" w:rsidRDefault="0034322D" w:rsidP="00931169">
            <w:pPr>
              <w:rPr>
                <w:rFonts w:eastAsia="Arial Unicode MS" w:cstheme="minorHAnsi"/>
                <w:sz w:val="20"/>
                <w:szCs w:val="20"/>
              </w:rPr>
            </w:pPr>
            <w:r>
              <w:rPr>
                <w:rFonts w:cstheme="minorHAnsi"/>
                <w:sz w:val="20"/>
                <w:szCs w:val="20"/>
              </w:rPr>
              <w:t>200</w:t>
            </w:r>
          </w:p>
        </w:tc>
      </w:tr>
    </w:tbl>
    <w:p w14:paraId="523DB389" w14:textId="77777777" w:rsidR="0034322D" w:rsidRDefault="0034322D" w:rsidP="00931169">
      <w:pPr>
        <w:rPr>
          <w:rFonts w:cstheme="minorHAnsi"/>
          <w:color w:val="FF0000"/>
          <w:sz w:val="22"/>
        </w:rPr>
      </w:pPr>
    </w:p>
    <w:p w14:paraId="241D708E" w14:textId="77777777" w:rsidR="0034322D" w:rsidRDefault="0034322D" w:rsidP="00931169">
      <w:pPr>
        <w:rPr>
          <w:rFonts w:cstheme="minorHAnsi"/>
        </w:rPr>
      </w:pPr>
      <w:r>
        <w:rPr>
          <w:rFonts w:cstheme="minorHAnsi"/>
        </w:rPr>
        <w:t xml:space="preserve">Riešený zámer priamo nezasahuje žiaden chránený strom. </w:t>
      </w:r>
    </w:p>
    <w:p w14:paraId="217A1184" w14:textId="77777777" w:rsidR="001E0F0B" w:rsidRDefault="001E0F0B" w:rsidP="00931169">
      <w:pPr>
        <w:rPr>
          <w:rFonts w:cstheme="minorHAnsi"/>
          <w:b/>
        </w:rPr>
      </w:pPr>
    </w:p>
    <w:p w14:paraId="1873ACA3" w14:textId="22D6B212" w:rsidR="0034322D" w:rsidRDefault="0034322D" w:rsidP="00931169">
      <w:pPr>
        <w:rPr>
          <w:rFonts w:cstheme="minorHAnsi"/>
          <w:b/>
        </w:rPr>
      </w:pPr>
      <w:r>
        <w:rPr>
          <w:rFonts w:cstheme="minorHAnsi"/>
          <w:b/>
        </w:rPr>
        <w:t>Biosférické rezervácie</w:t>
      </w:r>
    </w:p>
    <w:p w14:paraId="28B2B3C5" w14:textId="77777777" w:rsidR="0034322D" w:rsidRDefault="0034322D" w:rsidP="00931169">
      <w:pPr>
        <w:ind w:firstLine="708"/>
        <w:rPr>
          <w:rFonts w:cstheme="minorHAnsi"/>
        </w:rPr>
      </w:pPr>
      <w:r>
        <w:rPr>
          <w:rFonts w:cstheme="minorHAnsi"/>
        </w:rPr>
        <w:t xml:space="preserve">Biosférické rezervácie (BR) sú územia suchozemských, pobrežných, či morských ekosystémov, alebo ich kombináciou, ktoré sú medzinárodne uznané v rámci Programu UNESCO Človek a biosféra (MAB). </w:t>
      </w:r>
    </w:p>
    <w:p w14:paraId="6AA75C23" w14:textId="77777777" w:rsidR="0034322D" w:rsidRDefault="0034322D" w:rsidP="00931169">
      <w:pPr>
        <w:rPr>
          <w:rFonts w:cstheme="minorHAnsi"/>
        </w:rPr>
      </w:pPr>
      <w:r>
        <w:rPr>
          <w:rFonts w:cstheme="minorHAnsi"/>
        </w:rPr>
        <w:t>Na území Slovenska boli vyhlásené BR Tatry, BR Poľana, BR Slovenský kras a BR Východné Karpaty (www.unesco.org, 2016). Riešené územie nezasahuje žiadne z uvedených chránených území.</w:t>
      </w:r>
    </w:p>
    <w:p w14:paraId="60FA59D3" w14:textId="77777777" w:rsidR="001E0F0B" w:rsidRDefault="001E0F0B" w:rsidP="00931169">
      <w:pPr>
        <w:keepNext/>
        <w:rPr>
          <w:rFonts w:cstheme="minorHAnsi"/>
          <w:b/>
        </w:rPr>
      </w:pPr>
    </w:p>
    <w:p w14:paraId="3186A72C" w14:textId="62FEB889" w:rsidR="0034322D" w:rsidRDefault="0034322D" w:rsidP="00931169">
      <w:pPr>
        <w:keepNext/>
        <w:rPr>
          <w:rFonts w:cstheme="minorHAnsi"/>
          <w:b/>
        </w:rPr>
      </w:pPr>
      <w:r>
        <w:rPr>
          <w:rFonts w:cstheme="minorHAnsi"/>
          <w:b/>
        </w:rPr>
        <w:t>Ramsarské lokality</w:t>
      </w:r>
    </w:p>
    <w:p w14:paraId="15C81183" w14:textId="77777777" w:rsidR="0034322D" w:rsidRDefault="0034322D" w:rsidP="00931169">
      <w:pPr>
        <w:keepNext/>
        <w:ind w:firstLine="708"/>
        <w:rPr>
          <w:rFonts w:cstheme="minorHAnsi"/>
        </w:rPr>
      </w:pPr>
      <w:r>
        <w:rPr>
          <w:rFonts w:cstheme="minorHAnsi"/>
        </w:rPr>
        <w:t xml:space="preserve">V území ani širšom okolí sa nenachádza lokalita zapísané sú do svetového Zoznamu mokradí medzinárodného významu v zmysle Ramsarského dohovoru (Dohovor o mokradiach majúcich medzinárodný význam najmä ako biotopy vodného vtáctva z r. 1971). </w:t>
      </w:r>
    </w:p>
    <w:p w14:paraId="787DD157" w14:textId="77777777" w:rsidR="001E0F0B" w:rsidRDefault="001E0F0B" w:rsidP="00931169">
      <w:pPr>
        <w:rPr>
          <w:rFonts w:cstheme="minorHAnsi"/>
          <w:b/>
        </w:rPr>
      </w:pPr>
    </w:p>
    <w:p w14:paraId="37548FDA" w14:textId="7F54EFBB" w:rsidR="0034322D" w:rsidRDefault="0034322D" w:rsidP="00931169">
      <w:pPr>
        <w:rPr>
          <w:rFonts w:cstheme="minorHAnsi"/>
          <w:b/>
        </w:rPr>
      </w:pPr>
      <w:r>
        <w:rPr>
          <w:rFonts w:cstheme="minorHAnsi"/>
          <w:b/>
        </w:rPr>
        <w:t>Natura 2000</w:t>
      </w:r>
    </w:p>
    <w:p w14:paraId="421F800D" w14:textId="77777777" w:rsidR="0034322D" w:rsidRDefault="0034322D" w:rsidP="00931169">
      <w:pPr>
        <w:ind w:firstLine="708"/>
        <w:rPr>
          <w:rFonts w:cstheme="minorHAnsi"/>
        </w:rPr>
      </w:pPr>
      <w:r>
        <w:rPr>
          <w:rStyle w:val="Siln"/>
          <w:rFonts w:cstheme="minorHAnsi"/>
          <w:b w:val="0"/>
        </w:rPr>
        <w:t xml:space="preserve">Natura 2000 je názov sústavy chránených území členských krajín Európskej únie. </w:t>
      </w:r>
      <w:r>
        <w:rPr>
          <w:rStyle w:val="Siln"/>
          <w:rFonts w:cstheme="minorHAnsi"/>
        </w:rPr>
        <w:t>H</w:t>
      </w:r>
      <w:r>
        <w:rPr>
          <w:rFonts w:cstheme="minorHAnsi"/>
        </w:rPr>
        <w:t>lavným cieľom vytvorenia Natura 2000 je zachovanie prírodného dedičstva, ktoré je významné nielen pre príslušný členský štát, ale najmä pre EÚ ako celok.</w:t>
      </w:r>
    </w:p>
    <w:p w14:paraId="4D80551A" w14:textId="77777777" w:rsidR="0034322D" w:rsidRDefault="0034322D" w:rsidP="00931169">
      <w:pPr>
        <w:rPr>
          <w:rFonts w:cstheme="minorHAnsi"/>
        </w:rPr>
      </w:pPr>
      <w:r>
        <w:rPr>
          <w:rFonts w:cstheme="minorHAnsi"/>
        </w:rPr>
        <w:t>Táto sústava chránených území má zabezpečiť ochranu najvzácnejších a najviac ohrozených druhov voľne rastúcich rastlín, voľne žijúcich živočíchov a prírodných biotopov vyskytujúcich sa na území štátov Európskej únie a prostredníctvom ochrany týchto druhov a biotopov zabezpečiť zachovanie biologickej rôznorodosti v celej Európskej únii.</w:t>
      </w:r>
    </w:p>
    <w:tbl>
      <w:tblPr>
        <w:tblW w:w="936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9360"/>
      </w:tblGrid>
      <w:tr w:rsidR="0034322D" w14:paraId="72E22178" w14:textId="77777777" w:rsidTr="0034322D">
        <w:trPr>
          <w:trHeight w:val="2404"/>
        </w:trPr>
        <w:tc>
          <w:tcPr>
            <w:tcW w:w="9356" w:type="dxa"/>
            <w:tcBorders>
              <w:top w:val="single" w:sz="4" w:space="0" w:color="auto"/>
              <w:left w:val="single" w:sz="4" w:space="0" w:color="auto"/>
              <w:bottom w:val="single" w:sz="4" w:space="0" w:color="auto"/>
              <w:right w:val="single" w:sz="4" w:space="0" w:color="auto"/>
            </w:tcBorders>
            <w:vAlign w:val="center"/>
            <w:hideMark/>
          </w:tcPr>
          <w:p w14:paraId="4F4DB33E" w14:textId="2EFE8B2F" w:rsidR="0034322D" w:rsidRDefault="0034322D" w:rsidP="00931169">
            <w:pPr>
              <w:pStyle w:val="BATextvtabulce"/>
              <w:jc w:val="both"/>
              <w:rPr>
                <w:rFonts w:asciiTheme="minorHAnsi" w:hAnsiTheme="minorHAnsi" w:cstheme="minorHAnsi"/>
                <w:lang w:val="sk-SK"/>
              </w:rPr>
            </w:pPr>
            <w:r>
              <w:rPr>
                <w:rFonts w:cstheme="minorHAnsi"/>
                <w:b/>
                <w:u w:val="single"/>
                <w:lang w:val="cs-CZ"/>
              </w:rPr>
              <w:lastRenderedPageBreak/>
              <w:br w:type="page"/>
            </w:r>
            <w:r>
              <w:rPr>
                <w:rFonts w:asciiTheme="minorHAnsi" w:hAnsiTheme="minorHAnsi" w:cstheme="minorHAnsi"/>
                <w:noProof/>
                <w:lang w:val="sk-SK" w:eastAsia="sk-SK"/>
              </w:rPr>
              <w:drawing>
                <wp:inline distT="0" distB="0" distL="0" distR="0" wp14:anchorId="5AD4709D" wp14:editId="61EF28D6">
                  <wp:extent cx="5759450" cy="4258310"/>
                  <wp:effectExtent l="0" t="0" r="0" b="8890"/>
                  <wp:docPr id="16" name="Obrázo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9450" cy="4258310"/>
                          </a:xfrm>
                          <a:prstGeom prst="rect">
                            <a:avLst/>
                          </a:prstGeom>
                          <a:noFill/>
                          <a:ln>
                            <a:noFill/>
                          </a:ln>
                        </pic:spPr>
                      </pic:pic>
                    </a:graphicData>
                  </a:graphic>
                </wp:inline>
              </w:drawing>
            </w:r>
          </w:p>
        </w:tc>
      </w:tr>
      <w:tr w:rsidR="0034322D" w14:paraId="5280A87A" w14:textId="77777777" w:rsidTr="0034322D">
        <w:tc>
          <w:tcPr>
            <w:tcW w:w="9356" w:type="dxa"/>
            <w:tcBorders>
              <w:top w:val="single" w:sz="4" w:space="0" w:color="auto"/>
              <w:left w:val="single" w:sz="4" w:space="0" w:color="auto"/>
              <w:bottom w:val="single" w:sz="4" w:space="0" w:color="auto"/>
              <w:right w:val="single" w:sz="4" w:space="0" w:color="auto"/>
            </w:tcBorders>
            <w:hideMark/>
          </w:tcPr>
          <w:p w14:paraId="682AF187" w14:textId="77777777" w:rsidR="0034322D" w:rsidRDefault="0034322D" w:rsidP="00931169">
            <w:pPr>
              <w:pStyle w:val="Popis"/>
              <w:jc w:val="both"/>
              <w:rPr>
                <w:rFonts w:asciiTheme="minorHAnsi" w:hAnsiTheme="minorHAnsi" w:cstheme="minorHAnsi"/>
                <w:lang w:val="cs-CZ"/>
              </w:rPr>
            </w:pPr>
            <w:bookmarkStart w:id="158" w:name="_Toc479159051"/>
            <w:r>
              <w:rPr>
                <w:rFonts w:asciiTheme="minorHAnsi" w:hAnsiTheme="minorHAnsi" w:cstheme="minorHAnsi"/>
              </w:rPr>
              <w:t xml:space="preserve">Obr. </w:t>
            </w:r>
            <w:r>
              <w:rPr>
                <w:rFonts w:asciiTheme="minorHAnsi" w:hAnsiTheme="minorHAnsi" w:cstheme="minorHAnsi"/>
                <w:noProof/>
                <w:lang w:eastAsia="sk-SK"/>
              </w:rPr>
              <w:t xml:space="preserve">Mapa Územia európskeho významu (ružovou) </w:t>
            </w:r>
            <w:bookmarkEnd w:id="158"/>
            <w:r>
              <w:rPr>
                <w:rFonts w:asciiTheme="minorHAnsi" w:hAnsiTheme="minorHAnsi" w:cstheme="minorHAnsi"/>
                <w:noProof/>
                <w:lang w:eastAsia="sk-SK"/>
              </w:rPr>
              <w:t>ÚEV Kysuca</w:t>
            </w:r>
          </w:p>
        </w:tc>
      </w:tr>
    </w:tbl>
    <w:p w14:paraId="2CCC2165" w14:textId="77777777" w:rsidR="0034322D" w:rsidRDefault="0034322D" w:rsidP="00931169">
      <w:pPr>
        <w:rPr>
          <w:rStyle w:val="Siln"/>
          <w:rFonts w:cstheme="minorHAnsi"/>
          <w:b w:val="0"/>
          <w:color w:val="FF0000"/>
          <w:sz w:val="22"/>
        </w:rPr>
      </w:pPr>
    </w:p>
    <w:p w14:paraId="2E29E7B3" w14:textId="77777777" w:rsidR="0034322D" w:rsidRDefault="0034322D" w:rsidP="00931169">
      <w:r>
        <w:rPr>
          <w:rStyle w:val="Siln"/>
          <w:rFonts w:cstheme="minorHAnsi"/>
          <w:b w:val="0"/>
        </w:rPr>
        <w:t>Základom</w:t>
      </w:r>
      <w:r>
        <w:rPr>
          <w:rFonts w:cstheme="minorHAnsi"/>
        </w:rPr>
        <w:t xml:space="preserve"> pre vytvorenie sústavy Natura 2000 sú </w:t>
      </w:r>
      <w:r>
        <w:rPr>
          <w:rStyle w:val="Siln"/>
          <w:rFonts w:cstheme="minorHAnsi"/>
          <w:b w:val="0"/>
        </w:rPr>
        <w:t>dve právne normy</w:t>
      </w:r>
      <w:r>
        <w:rPr>
          <w:rFonts w:cstheme="minorHAnsi"/>
        </w:rPr>
        <w:t xml:space="preserve"> EÚ:</w:t>
      </w:r>
    </w:p>
    <w:p w14:paraId="18AA86DC" w14:textId="77777777" w:rsidR="0034322D" w:rsidRDefault="0034322D" w:rsidP="00931169">
      <w:pPr>
        <w:pStyle w:val="BAOdrky"/>
        <w:numPr>
          <w:ilvl w:val="0"/>
          <w:numId w:val="51"/>
        </w:numPr>
        <w:ind w:left="927"/>
        <w:rPr>
          <w:rFonts w:asciiTheme="minorHAnsi" w:hAnsiTheme="minorHAnsi" w:cstheme="minorHAnsi"/>
        </w:rPr>
      </w:pPr>
      <w:r>
        <w:rPr>
          <w:rFonts w:asciiTheme="minorHAnsi" w:hAnsiTheme="minorHAnsi" w:cstheme="minorHAnsi"/>
          <w:bCs/>
        </w:rPr>
        <w:t>smernica</w:t>
      </w:r>
      <w:r>
        <w:rPr>
          <w:rFonts w:asciiTheme="minorHAnsi" w:hAnsiTheme="minorHAnsi" w:cstheme="minorHAnsi"/>
        </w:rPr>
        <w:t xml:space="preserve"> Rady Európskych spoločenstiev č. 79/409/EHS </w:t>
      </w:r>
      <w:r>
        <w:rPr>
          <w:rFonts w:asciiTheme="minorHAnsi" w:hAnsiTheme="minorHAnsi" w:cstheme="minorHAnsi"/>
          <w:bCs/>
        </w:rPr>
        <w:t>o ochrane voľne žijúcich vtákov</w:t>
      </w:r>
      <w:r>
        <w:rPr>
          <w:rFonts w:asciiTheme="minorHAnsi" w:hAnsiTheme="minorHAnsi" w:cstheme="minorHAnsi"/>
        </w:rPr>
        <w:t xml:space="preserve"> (známa tiež ako smernica o vtákoch) v znení smernice Európskeho parlamentu a rady 2009/147/ES o ochrane voľne žijúceho vtáctva;</w:t>
      </w:r>
    </w:p>
    <w:p w14:paraId="61046EAD" w14:textId="77777777" w:rsidR="0034322D" w:rsidRDefault="0034322D" w:rsidP="00931169">
      <w:pPr>
        <w:pStyle w:val="BAOdrky"/>
        <w:numPr>
          <w:ilvl w:val="0"/>
          <w:numId w:val="51"/>
        </w:numPr>
        <w:ind w:left="927"/>
        <w:rPr>
          <w:rFonts w:asciiTheme="minorHAnsi" w:hAnsiTheme="minorHAnsi" w:cstheme="minorHAnsi"/>
        </w:rPr>
      </w:pPr>
      <w:r>
        <w:rPr>
          <w:rFonts w:asciiTheme="minorHAnsi" w:hAnsiTheme="minorHAnsi" w:cstheme="minorHAnsi"/>
          <w:bCs/>
        </w:rPr>
        <w:t>smernica</w:t>
      </w:r>
      <w:r>
        <w:rPr>
          <w:rFonts w:asciiTheme="minorHAnsi" w:hAnsiTheme="minorHAnsi" w:cstheme="minorHAnsi"/>
        </w:rPr>
        <w:t xml:space="preserve"> Rady Európskych spoločenstiev č. 92/43/EHS </w:t>
      </w:r>
      <w:r>
        <w:rPr>
          <w:rFonts w:asciiTheme="minorHAnsi" w:hAnsiTheme="minorHAnsi" w:cstheme="minorHAnsi"/>
          <w:bCs/>
        </w:rPr>
        <w:t>o ochrane biotopov</w:t>
      </w:r>
      <w:r>
        <w:rPr>
          <w:rFonts w:asciiTheme="minorHAnsi" w:hAnsiTheme="minorHAnsi" w:cstheme="minorHAnsi"/>
        </w:rPr>
        <w:t>, voľne žijúcich živočíchov a voľne rastúcich rastlín (známa tiež ako smernica o biotopoch).</w:t>
      </w:r>
    </w:p>
    <w:p w14:paraId="0216CB01" w14:textId="77777777" w:rsidR="0034322D" w:rsidRDefault="0034322D" w:rsidP="00931169">
      <w:pPr>
        <w:rPr>
          <w:rFonts w:cstheme="minorHAnsi"/>
        </w:rPr>
      </w:pPr>
      <w:r>
        <w:rPr>
          <w:rFonts w:cstheme="minorHAnsi"/>
        </w:rPr>
        <w:t xml:space="preserve">Sústavu NATURA 2000 tvoria 2 typy území: </w:t>
      </w:r>
    </w:p>
    <w:p w14:paraId="3F7684E9" w14:textId="77777777" w:rsidR="0034322D" w:rsidRDefault="0034322D" w:rsidP="00931169">
      <w:pPr>
        <w:pStyle w:val="BAOdrky"/>
        <w:numPr>
          <w:ilvl w:val="0"/>
          <w:numId w:val="51"/>
        </w:numPr>
        <w:ind w:left="927"/>
        <w:rPr>
          <w:rFonts w:asciiTheme="minorHAnsi" w:hAnsiTheme="minorHAnsi" w:cstheme="minorHAnsi"/>
        </w:rPr>
      </w:pPr>
      <w:r>
        <w:rPr>
          <w:rFonts w:asciiTheme="minorHAnsi" w:hAnsiTheme="minorHAnsi" w:cstheme="minorHAnsi"/>
        </w:rPr>
        <w:t>osobitne chránené územia (Special Protection Areas, SPA) - vyhlasované na základe smernice o vtákoch - v národnej legislatíve: chránené vtáčie územia;</w:t>
      </w:r>
    </w:p>
    <w:p w14:paraId="40D5A42E" w14:textId="77777777" w:rsidR="0034322D" w:rsidRDefault="0034322D" w:rsidP="00931169">
      <w:pPr>
        <w:pStyle w:val="BAOdrky"/>
        <w:numPr>
          <w:ilvl w:val="0"/>
          <w:numId w:val="51"/>
        </w:numPr>
        <w:ind w:left="927"/>
        <w:rPr>
          <w:rFonts w:asciiTheme="minorHAnsi" w:hAnsiTheme="minorHAnsi" w:cstheme="minorHAnsi"/>
        </w:rPr>
      </w:pPr>
      <w:r>
        <w:rPr>
          <w:rFonts w:asciiTheme="minorHAnsi" w:hAnsiTheme="minorHAnsi" w:cstheme="minorHAnsi"/>
        </w:rPr>
        <w:t>osobitné územia ochrany (Special Areas of Conservation, SAC) - vyhlasované na základe smernice o biotopoch - v národnej legislatíve: územia európskeho významu - pred vyhlásením, po vyhlásení je územie zaradené v príslušnej národnej kategórii chránených území.</w:t>
      </w:r>
    </w:p>
    <w:p w14:paraId="5F0858C4" w14:textId="77777777" w:rsidR="0034322D" w:rsidRDefault="0034322D" w:rsidP="00931169">
      <w:pPr>
        <w:ind w:firstLine="708"/>
        <w:rPr>
          <w:rFonts w:cstheme="minorHAnsi"/>
        </w:rPr>
      </w:pPr>
      <w:r>
        <w:rPr>
          <w:rFonts w:cstheme="minorHAnsi"/>
        </w:rPr>
        <w:lastRenderedPageBreak/>
        <w:t xml:space="preserve">Súčasné vedenie žel. trate tvorí severozápadnú hranicu ÚEV Kysuca od Krásna nad Kysucou až po zast. Oščadnica na úseku dlhom cca 3 km, no priamo navrhované územie nezasahuje. </w:t>
      </w:r>
    </w:p>
    <w:p w14:paraId="3D77BBAC" w14:textId="77777777" w:rsidR="001E0F0B" w:rsidRDefault="001E0F0B" w:rsidP="00931169">
      <w:pPr>
        <w:rPr>
          <w:rFonts w:cstheme="minorHAnsi"/>
          <w:u w:val="single"/>
        </w:rPr>
      </w:pPr>
    </w:p>
    <w:p w14:paraId="5E425229" w14:textId="0DD4F2EA" w:rsidR="0034322D" w:rsidRDefault="0034322D" w:rsidP="00931169">
      <w:pPr>
        <w:rPr>
          <w:rFonts w:cstheme="minorHAnsi"/>
          <w:u w:val="single"/>
        </w:rPr>
      </w:pPr>
      <w:r>
        <w:rPr>
          <w:rFonts w:cstheme="minorHAnsi"/>
          <w:u w:val="single"/>
        </w:rPr>
        <w:t>ÚEV Kysuca</w:t>
      </w:r>
    </w:p>
    <w:p w14:paraId="3156CB82" w14:textId="77777777" w:rsidR="0034322D" w:rsidRDefault="0034322D" w:rsidP="00931169">
      <w:pPr>
        <w:ind w:firstLine="708"/>
        <w:rPr>
          <w:rFonts w:cstheme="minorHAnsi"/>
        </w:rPr>
      </w:pPr>
      <w:r>
        <w:rPr>
          <w:rFonts w:cstheme="minorHAnsi"/>
        </w:rPr>
        <w:t>Odôvodnenie návrhu ochrany: Územie je navrhované z dôvodu ochrany biotopu európskeho významu Jaseňovo – jelšové podhorské lužné lesy (91E0), ktorý je zároveň prioritným biotopom s výskytom chráneného druhu národného významu perovníkom pštrosím (Matteuccia struthiopteris) a biotopu európskeho významu Horské vodné toky a ich sprievodná vegetácia. Dôvodom ochrany je aj výskyt druhu živočíchov európskeho významu – pĺž severný (Cobitis taenia).</w:t>
      </w:r>
    </w:p>
    <w:p w14:paraId="5F8AE4FD" w14:textId="77777777" w:rsidR="001E0F0B" w:rsidRDefault="001E0F0B" w:rsidP="00931169">
      <w:pPr>
        <w:rPr>
          <w:rFonts w:cstheme="minorHAnsi"/>
          <w:b/>
        </w:rPr>
      </w:pPr>
    </w:p>
    <w:p w14:paraId="69CA012E" w14:textId="356785F5" w:rsidR="0034322D" w:rsidRDefault="0034322D" w:rsidP="00931169">
      <w:pPr>
        <w:rPr>
          <w:rFonts w:cstheme="minorHAnsi"/>
          <w:b/>
        </w:rPr>
      </w:pPr>
      <w:r>
        <w:rPr>
          <w:rFonts w:cstheme="minorHAnsi"/>
          <w:b/>
        </w:rPr>
        <w:t>Chránené územia za hranicami SR</w:t>
      </w:r>
    </w:p>
    <w:p w14:paraId="059C4271" w14:textId="77777777" w:rsidR="0034322D" w:rsidRDefault="0034322D" w:rsidP="00931169">
      <w:pPr>
        <w:rPr>
          <w:rFonts w:cstheme="minorHAnsi"/>
        </w:rPr>
      </w:pPr>
      <w:r>
        <w:rPr>
          <w:rFonts w:cstheme="minorHAnsi"/>
        </w:rPr>
        <w:t>Na území Českej republiky sa v širšom okolí stavby nachádzajú tieto chránené územia:</w:t>
      </w:r>
    </w:p>
    <w:p w14:paraId="56AD9EC6" w14:textId="77777777" w:rsidR="0034322D" w:rsidRDefault="0034322D" w:rsidP="00931169">
      <w:pPr>
        <w:pStyle w:val="Odsekzoznamu"/>
        <w:numPr>
          <w:ilvl w:val="0"/>
          <w:numId w:val="57"/>
        </w:numPr>
        <w:suppressAutoHyphens/>
        <w:spacing w:after="0" w:line="288" w:lineRule="auto"/>
        <w:ind w:left="714" w:hanging="357"/>
        <w:contextualSpacing w:val="0"/>
        <w:jc w:val="both"/>
        <w:rPr>
          <w:rFonts w:cstheme="minorHAnsi"/>
        </w:rPr>
      </w:pPr>
      <w:r>
        <w:rPr>
          <w:rFonts w:cstheme="minorHAnsi"/>
        </w:rPr>
        <w:t>CHKO Beskydy - 1,7 km severozápadne,</w:t>
      </w:r>
    </w:p>
    <w:p w14:paraId="5DB0F4D5" w14:textId="77777777" w:rsidR="0034322D" w:rsidRDefault="0034322D" w:rsidP="00931169">
      <w:pPr>
        <w:pStyle w:val="Odsekzoznamu"/>
        <w:numPr>
          <w:ilvl w:val="0"/>
          <w:numId w:val="57"/>
        </w:numPr>
        <w:suppressAutoHyphens/>
        <w:spacing w:after="0" w:line="288" w:lineRule="auto"/>
        <w:ind w:left="714" w:hanging="357"/>
        <w:contextualSpacing w:val="0"/>
        <w:jc w:val="both"/>
        <w:rPr>
          <w:rFonts w:cstheme="minorHAnsi"/>
        </w:rPr>
      </w:pPr>
      <w:r>
        <w:rPr>
          <w:rFonts w:cstheme="minorHAnsi"/>
        </w:rPr>
        <w:t>Európsky významná lokalita Beskydy - 1,8 km západne,</w:t>
      </w:r>
    </w:p>
    <w:p w14:paraId="68AD8696" w14:textId="77777777" w:rsidR="0034322D" w:rsidRDefault="0034322D" w:rsidP="00931169">
      <w:pPr>
        <w:pStyle w:val="Odsekzoznamu"/>
        <w:numPr>
          <w:ilvl w:val="0"/>
          <w:numId w:val="57"/>
        </w:numPr>
        <w:suppressAutoHyphens/>
        <w:spacing w:after="0" w:line="288" w:lineRule="auto"/>
        <w:ind w:left="714" w:hanging="357"/>
        <w:contextualSpacing w:val="0"/>
        <w:jc w:val="both"/>
        <w:rPr>
          <w:rFonts w:cstheme="minorHAnsi"/>
        </w:rPr>
      </w:pPr>
      <w:r>
        <w:rPr>
          <w:rFonts w:cstheme="minorHAnsi"/>
        </w:rPr>
        <w:t>Vtáčia oblasť Beskydy - 4,8 km severozápadne,</w:t>
      </w:r>
    </w:p>
    <w:p w14:paraId="64112851" w14:textId="77777777" w:rsidR="0034322D" w:rsidRDefault="0034322D" w:rsidP="00931169">
      <w:pPr>
        <w:pStyle w:val="Odsekzoznamu"/>
        <w:numPr>
          <w:ilvl w:val="0"/>
          <w:numId w:val="57"/>
        </w:numPr>
        <w:suppressAutoHyphens/>
        <w:spacing w:after="0" w:line="288" w:lineRule="auto"/>
        <w:ind w:left="714" w:hanging="357"/>
        <w:contextualSpacing w:val="0"/>
        <w:jc w:val="both"/>
        <w:rPr>
          <w:rFonts w:cstheme="minorHAnsi"/>
        </w:rPr>
      </w:pPr>
      <w:r>
        <w:rPr>
          <w:rFonts w:cstheme="minorHAnsi"/>
        </w:rPr>
        <w:t>PR Vřesová stráň - 1,7 km severozápadne,</w:t>
      </w:r>
    </w:p>
    <w:p w14:paraId="0144A6FD" w14:textId="77777777" w:rsidR="0034322D" w:rsidRDefault="0034322D" w:rsidP="00931169">
      <w:pPr>
        <w:pStyle w:val="Odsekzoznamu"/>
        <w:numPr>
          <w:ilvl w:val="0"/>
          <w:numId w:val="57"/>
        </w:numPr>
        <w:suppressAutoHyphens/>
        <w:spacing w:after="0" w:line="288" w:lineRule="auto"/>
        <w:ind w:left="714" w:hanging="357"/>
        <w:contextualSpacing w:val="0"/>
        <w:jc w:val="both"/>
        <w:rPr>
          <w:rFonts w:cstheme="minorHAnsi"/>
        </w:rPr>
      </w:pPr>
      <w:r>
        <w:rPr>
          <w:rFonts w:cstheme="minorHAnsi"/>
        </w:rPr>
        <w:t>PP Motyčanka - 2,5 km severozápadne,</w:t>
      </w:r>
    </w:p>
    <w:p w14:paraId="41C6D92E" w14:textId="77777777" w:rsidR="0034322D" w:rsidRDefault="0034322D" w:rsidP="00931169">
      <w:pPr>
        <w:rPr>
          <w:rFonts w:cstheme="minorHAnsi"/>
        </w:rPr>
      </w:pPr>
    </w:p>
    <w:p w14:paraId="04868611" w14:textId="77777777" w:rsidR="0034322D" w:rsidRDefault="0034322D" w:rsidP="00931169">
      <w:pPr>
        <w:rPr>
          <w:rFonts w:cstheme="minorHAnsi"/>
        </w:rPr>
      </w:pPr>
      <w:r>
        <w:rPr>
          <w:rFonts w:cstheme="minorHAnsi"/>
        </w:rPr>
        <w:t>Plánovaná žel. trať uvedenými územiami priamo neprechádza.</w:t>
      </w:r>
    </w:p>
    <w:p w14:paraId="37D1FCA3" w14:textId="36CB712F" w:rsidR="0034322D" w:rsidRPr="00F4315B" w:rsidRDefault="00F4315B" w:rsidP="00931169">
      <w:pPr>
        <w:pStyle w:val="Nadpis2"/>
        <w:rPr>
          <w:rFonts w:cstheme="minorHAnsi"/>
          <w:color w:val="00B050"/>
          <w:sz w:val="28"/>
          <w:szCs w:val="28"/>
        </w:rPr>
      </w:pPr>
      <w:bookmarkStart w:id="159" w:name="_Toc24661462"/>
      <w:bookmarkStart w:id="160" w:name="_Toc88652949"/>
      <w:r>
        <w:rPr>
          <w:rFonts w:cstheme="minorHAnsi"/>
          <w:color w:val="00B050"/>
          <w:sz w:val="28"/>
          <w:szCs w:val="28"/>
        </w:rPr>
        <w:t xml:space="preserve">5.1 </w:t>
      </w:r>
      <w:bookmarkStart w:id="161" w:name="_Toc536095753"/>
      <w:bookmarkStart w:id="162" w:name="_Toc24660450"/>
      <w:r w:rsidR="0034322D" w:rsidRPr="00F4315B">
        <w:rPr>
          <w:rFonts w:cstheme="minorHAnsi"/>
          <w:color w:val="00B050"/>
          <w:sz w:val="28"/>
          <w:szCs w:val="28"/>
        </w:rPr>
        <w:t>Kvalitatívna analýza dopadov na životné prostredie</w:t>
      </w:r>
      <w:bookmarkEnd w:id="159"/>
      <w:bookmarkEnd w:id="160"/>
      <w:bookmarkEnd w:id="161"/>
      <w:bookmarkEnd w:id="162"/>
    </w:p>
    <w:p w14:paraId="0DD5D77A" w14:textId="77777777" w:rsidR="0034322D" w:rsidRDefault="0034322D" w:rsidP="00931169">
      <w:pPr>
        <w:ind w:firstLine="708"/>
        <w:rPr>
          <w:rFonts w:cstheme="minorHAnsi"/>
        </w:rPr>
      </w:pPr>
      <w:r>
        <w:rPr>
          <w:rFonts w:cstheme="minorHAnsi"/>
        </w:rPr>
        <w:t>Vybrané alternatívy, ktoré sú predmetom bližšieho hodnotenia, sú determinované geomofrológiou terénu a cieľovými parametrami navrhovaných žel. tratí (rôzne rýchlosti – rôzne oblúky a prevýšenia trate), ktoré určili smerové vedenie jednotlivých variantov.</w:t>
      </w:r>
    </w:p>
    <w:p w14:paraId="3735006A" w14:textId="06E2E447" w:rsidR="0034322D" w:rsidRDefault="0034322D" w:rsidP="00931169">
      <w:pPr>
        <w:ind w:firstLine="708"/>
        <w:rPr>
          <w:rFonts w:cstheme="minorHAnsi"/>
        </w:rPr>
      </w:pPr>
      <w:r w:rsidRPr="007E13FA">
        <w:rPr>
          <w:rFonts w:cstheme="minorHAnsi"/>
        </w:rPr>
        <w:t>Niektoré vplyvy boli vyhodnocované samostatne pre jednotlivé etapy, nakoľko rozsah odlišností variantov je pre každú etapu jedinečný. Zatiaľ</w:t>
      </w:r>
      <w:r w:rsidR="001E0F0B" w:rsidRPr="007E13FA">
        <w:rPr>
          <w:rFonts w:cstheme="minorHAnsi"/>
        </w:rPr>
        <w:t xml:space="preserve"> </w:t>
      </w:r>
      <w:r w:rsidRPr="007E13FA">
        <w:rPr>
          <w:rFonts w:cstheme="minorHAnsi"/>
        </w:rPr>
        <w:t xml:space="preserve">čo v prípade 1. etapy sa jednotlivé varianty a ich vplyvy na prírodné zložky zásadne odlišujú (tunel vs. povrchové riešenie), vplyvy pre 2. etapu </w:t>
      </w:r>
      <w:r w:rsidR="007E13FA" w:rsidRPr="007E13FA">
        <w:rPr>
          <w:rFonts w:cstheme="minorHAnsi"/>
        </w:rPr>
        <w:t xml:space="preserve"> a 3. etapu </w:t>
      </w:r>
      <w:r w:rsidRPr="007E13FA">
        <w:rPr>
          <w:rFonts w:cstheme="minorHAnsi"/>
        </w:rPr>
        <w:t>sa v zásade v jednotlivých variantov nelíšia.</w:t>
      </w:r>
      <w:r>
        <w:rPr>
          <w:rFonts w:cstheme="minorHAnsi"/>
        </w:rPr>
        <w:t xml:space="preserve">  </w:t>
      </w:r>
    </w:p>
    <w:p w14:paraId="76A70DEE" w14:textId="77777777" w:rsidR="001E0F0B" w:rsidRDefault="001E0F0B" w:rsidP="00931169">
      <w:pPr>
        <w:rPr>
          <w:rFonts w:cstheme="minorHAnsi"/>
        </w:rPr>
      </w:pPr>
    </w:p>
    <w:p w14:paraId="075DC6D7" w14:textId="3EC918E7" w:rsidR="0034322D" w:rsidRDefault="0034322D" w:rsidP="00931169">
      <w:pPr>
        <w:rPr>
          <w:rFonts w:cstheme="minorHAnsi"/>
        </w:rPr>
      </w:pPr>
      <w:r>
        <w:rPr>
          <w:rFonts w:cstheme="minorHAnsi"/>
        </w:rPr>
        <w:t>Do výsledného hodnotenia boli prevzaté 3 alternatívy</w:t>
      </w:r>
      <w:r w:rsidR="007E13FA">
        <w:rPr>
          <w:rFonts w:cstheme="minorHAnsi"/>
        </w:rPr>
        <w:t xml:space="preserve"> (varianty)</w:t>
      </w:r>
      <w:r>
        <w:rPr>
          <w:rFonts w:cstheme="minorHAnsi"/>
        </w:rPr>
        <w:t xml:space="preserve">, ktoré je možné zjednodušene charakterizovať nasledovne: </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46"/>
        <w:gridCol w:w="5948"/>
      </w:tblGrid>
      <w:tr w:rsidR="0034322D" w14:paraId="6D3E4DB9" w14:textId="77777777" w:rsidTr="0034322D">
        <w:tc>
          <w:tcPr>
            <w:tcW w:w="1946" w:type="dxa"/>
            <w:tcBorders>
              <w:top w:val="single" w:sz="4" w:space="0" w:color="000000"/>
              <w:left w:val="single" w:sz="4" w:space="0" w:color="000000"/>
              <w:bottom w:val="single" w:sz="4" w:space="0" w:color="000000"/>
              <w:right w:val="single" w:sz="4" w:space="0" w:color="000000"/>
            </w:tcBorders>
            <w:vAlign w:val="center"/>
            <w:hideMark/>
          </w:tcPr>
          <w:p w14:paraId="33A1E1E6" w14:textId="229E3BE5" w:rsidR="0034322D" w:rsidRDefault="007E13FA" w:rsidP="00931169">
            <w:pPr>
              <w:rPr>
                <w:rFonts w:eastAsia="Calibri" w:cstheme="minorHAnsi"/>
                <w:b/>
                <w:sz w:val="20"/>
                <w:szCs w:val="20"/>
              </w:rPr>
            </w:pPr>
            <w:r>
              <w:rPr>
                <w:rFonts w:eastAsia="Calibri" w:cstheme="minorHAnsi"/>
                <w:b/>
                <w:sz w:val="20"/>
                <w:szCs w:val="20"/>
              </w:rPr>
              <w:t>Označenie</w:t>
            </w:r>
          </w:p>
        </w:tc>
        <w:tc>
          <w:tcPr>
            <w:tcW w:w="5948" w:type="dxa"/>
            <w:tcBorders>
              <w:top w:val="single" w:sz="4" w:space="0" w:color="000000"/>
              <w:left w:val="single" w:sz="4" w:space="0" w:color="000000"/>
              <w:bottom w:val="single" w:sz="4" w:space="0" w:color="000000"/>
              <w:right w:val="single" w:sz="4" w:space="0" w:color="000000"/>
            </w:tcBorders>
            <w:vAlign w:val="center"/>
            <w:hideMark/>
          </w:tcPr>
          <w:p w14:paraId="64640C72" w14:textId="77777777" w:rsidR="0034322D" w:rsidRDefault="0034322D" w:rsidP="00931169">
            <w:pPr>
              <w:rPr>
                <w:rFonts w:eastAsia="Calibri" w:cstheme="minorHAnsi"/>
                <w:b/>
                <w:sz w:val="20"/>
                <w:szCs w:val="20"/>
              </w:rPr>
            </w:pPr>
            <w:r>
              <w:rPr>
                <w:rFonts w:eastAsia="Calibri" w:cstheme="minorHAnsi"/>
                <w:b/>
                <w:sz w:val="20"/>
                <w:szCs w:val="20"/>
              </w:rPr>
              <w:t>Popis</w:t>
            </w:r>
          </w:p>
        </w:tc>
      </w:tr>
      <w:tr w:rsidR="0034322D" w14:paraId="3D1FCE0F" w14:textId="77777777" w:rsidTr="0034322D">
        <w:tc>
          <w:tcPr>
            <w:tcW w:w="1946" w:type="dxa"/>
            <w:tcBorders>
              <w:top w:val="single" w:sz="4" w:space="0" w:color="000000"/>
              <w:left w:val="single" w:sz="4" w:space="0" w:color="000000"/>
              <w:bottom w:val="single" w:sz="4" w:space="0" w:color="000000"/>
              <w:right w:val="single" w:sz="4" w:space="0" w:color="000000"/>
            </w:tcBorders>
            <w:vAlign w:val="center"/>
            <w:hideMark/>
          </w:tcPr>
          <w:p w14:paraId="0A38AA05" w14:textId="2CA8E791" w:rsidR="0034322D" w:rsidRDefault="0034322D" w:rsidP="00931169">
            <w:pPr>
              <w:rPr>
                <w:rFonts w:eastAsia="Calibri" w:cstheme="minorHAnsi"/>
                <w:sz w:val="20"/>
                <w:szCs w:val="20"/>
              </w:rPr>
            </w:pPr>
            <w:r>
              <w:rPr>
                <w:rFonts w:eastAsia="Calibri" w:cstheme="minorHAnsi"/>
                <w:sz w:val="20"/>
                <w:szCs w:val="20"/>
              </w:rPr>
              <w:t xml:space="preserve">Variant </w:t>
            </w:r>
            <w:r w:rsidR="001E0F0B">
              <w:rPr>
                <w:rFonts w:eastAsia="Calibri" w:cstheme="minorHAnsi"/>
                <w:sz w:val="20"/>
                <w:szCs w:val="20"/>
              </w:rPr>
              <w:t>A</w:t>
            </w:r>
          </w:p>
        </w:tc>
        <w:tc>
          <w:tcPr>
            <w:tcW w:w="5948" w:type="dxa"/>
            <w:tcBorders>
              <w:top w:val="single" w:sz="4" w:space="0" w:color="000000"/>
              <w:left w:val="single" w:sz="4" w:space="0" w:color="000000"/>
              <w:bottom w:val="single" w:sz="4" w:space="0" w:color="000000"/>
              <w:right w:val="single" w:sz="4" w:space="0" w:color="000000"/>
            </w:tcBorders>
            <w:vAlign w:val="center"/>
            <w:hideMark/>
          </w:tcPr>
          <w:p w14:paraId="3ADF4660" w14:textId="000CDF3B" w:rsidR="0034322D" w:rsidRPr="001E0F0B" w:rsidRDefault="001E0F0B" w:rsidP="00931169">
            <w:pPr>
              <w:rPr>
                <w:rFonts w:eastAsia="Calibri" w:cstheme="minorHAnsi"/>
                <w:b/>
                <w:bCs/>
                <w:sz w:val="20"/>
                <w:szCs w:val="20"/>
              </w:rPr>
            </w:pPr>
            <w:r w:rsidRPr="001E0F0B">
              <w:rPr>
                <w:rFonts w:eastAsia="Calibri" w:cstheme="minorHAnsi"/>
                <w:b/>
                <w:bCs/>
                <w:sz w:val="20"/>
                <w:szCs w:val="20"/>
              </w:rPr>
              <w:t>ZÁKLADNÁ MODERNIZÁCIA</w:t>
            </w:r>
          </w:p>
          <w:p w14:paraId="229BB26F" w14:textId="212BB5B9" w:rsidR="0034322D" w:rsidRDefault="0034322D" w:rsidP="00931169">
            <w:pPr>
              <w:rPr>
                <w:rFonts w:eastAsia="Calibri" w:cstheme="minorHAnsi"/>
                <w:sz w:val="20"/>
                <w:szCs w:val="20"/>
              </w:rPr>
            </w:pPr>
            <w:r>
              <w:rPr>
                <w:rFonts w:eastAsia="Calibri" w:cstheme="minorHAnsi"/>
                <w:sz w:val="20"/>
                <w:szCs w:val="20"/>
              </w:rPr>
              <w:t xml:space="preserve">V I. etape je </w:t>
            </w:r>
            <w:r w:rsidR="001E0F0B">
              <w:rPr>
                <w:rFonts w:eastAsia="Calibri" w:cstheme="minorHAnsi"/>
                <w:sz w:val="20"/>
                <w:szCs w:val="20"/>
              </w:rPr>
              <w:t>modernizácia riešená v existujúcom žel. telese.</w:t>
            </w:r>
          </w:p>
          <w:p w14:paraId="4A1912D5" w14:textId="77777777" w:rsidR="0034322D" w:rsidRDefault="0034322D" w:rsidP="00931169">
            <w:pPr>
              <w:rPr>
                <w:rFonts w:eastAsia="Calibri" w:cstheme="minorHAnsi"/>
                <w:sz w:val="20"/>
                <w:szCs w:val="20"/>
              </w:rPr>
            </w:pPr>
            <w:r>
              <w:rPr>
                <w:rFonts w:eastAsia="Calibri" w:cstheme="minorHAnsi"/>
                <w:sz w:val="20"/>
                <w:szCs w:val="20"/>
              </w:rPr>
              <w:t xml:space="preserve">V II. etape je modernizácia riešená v rámci exist. koľajiska. </w:t>
            </w:r>
          </w:p>
          <w:p w14:paraId="3EF44C4C" w14:textId="0F997B7B" w:rsidR="0034322D" w:rsidRDefault="0034322D" w:rsidP="00931169">
            <w:pPr>
              <w:rPr>
                <w:rFonts w:eastAsia="Calibri" w:cstheme="minorHAnsi"/>
                <w:sz w:val="20"/>
                <w:szCs w:val="20"/>
              </w:rPr>
            </w:pPr>
            <w:r>
              <w:rPr>
                <w:rFonts w:eastAsia="Calibri" w:cstheme="minorHAnsi"/>
                <w:sz w:val="20"/>
                <w:szCs w:val="20"/>
              </w:rPr>
              <w:t xml:space="preserve">V III. etape </w:t>
            </w:r>
            <w:r w:rsidR="001E0F0B">
              <w:rPr>
                <w:rFonts w:eastAsia="Calibri" w:cstheme="minorHAnsi"/>
                <w:sz w:val="20"/>
                <w:szCs w:val="20"/>
              </w:rPr>
              <w:t>zmenou smerových oblúkov dochádza k zásahu do svahov a budovaniu zárezov a nových technických objektov.</w:t>
            </w:r>
          </w:p>
        </w:tc>
      </w:tr>
      <w:tr w:rsidR="0034322D" w14:paraId="0D099D01" w14:textId="77777777" w:rsidTr="0034322D">
        <w:tc>
          <w:tcPr>
            <w:tcW w:w="1946" w:type="dxa"/>
            <w:tcBorders>
              <w:top w:val="single" w:sz="4" w:space="0" w:color="000000"/>
              <w:left w:val="single" w:sz="4" w:space="0" w:color="000000"/>
              <w:bottom w:val="single" w:sz="4" w:space="0" w:color="000000"/>
              <w:right w:val="single" w:sz="4" w:space="0" w:color="000000"/>
            </w:tcBorders>
            <w:vAlign w:val="center"/>
            <w:hideMark/>
          </w:tcPr>
          <w:p w14:paraId="0830F61C" w14:textId="283249F8" w:rsidR="0034322D" w:rsidRDefault="0034322D" w:rsidP="00931169">
            <w:pPr>
              <w:rPr>
                <w:rFonts w:eastAsia="Calibri" w:cstheme="minorHAnsi"/>
                <w:sz w:val="20"/>
                <w:szCs w:val="20"/>
              </w:rPr>
            </w:pPr>
            <w:r>
              <w:rPr>
                <w:rFonts w:eastAsia="Calibri" w:cstheme="minorHAnsi"/>
                <w:sz w:val="20"/>
                <w:szCs w:val="20"/>
              </w:rPr>
              <w:t xml:space="preserve">Variant </w:t>
            </w:r>
            <w:r w:rsidR="001E0F0B">
              <w:rPr>
                <w:rFonts w:eastAsia="Calibri" w:cstheme="minorHAnsi"/>
                <w:sz w:val="20"/>
                <w:szCs w:val="20"/>
              </w:rPr>
              <w:t>B</w:t>
            </w:r>
          </w:p>
        </w:tc>
        <w:tc>
          <w:tcPr>
            <w:tcW w:w="5948" w:type="dxa"/>
            <w:tcBorders>
              <w:top w:val="single" w:sz="4" w:space="0" w:color="000000"/>
              <w:left w:val="single" w:sz="4" w:space="0" w:color="000000"/>
              <w:bottom w:val="single" w:sz="4" w:space="0" w:color="000000"/>
              <w:right w:val="single" w:sz="4" w:space="0" w:color="000000"/>
            </w:tcBorders>
            <w:vAlign w:val="center"/>
            <w:hideMark/>
          </w:tcPr>
          <w:p w14:paraId="595E4FC9" w14:textId="418ABA96" w:rsidR="0034322D" w:rsidRPr="001E0F0B" w:rsidRDefault="0034322D" w:rsidP="00931169">
            <w:pPr>
              <w:rPr>
                <w:rFonts w:eastAsia="Calibri" w:cstheme="minorHAnsi"/>
                <w:b/>
                <w:bCs/>
                <w:sz w:val="20"/>
                <w:szCs w:val="20"/>
              </w:rPr>
            </w:pPr>
            <w:r w:rsidRPr="001E0F0B">
              <w:rPr>
                <w:rFonts w:eastAsia="Calibri" w:cstheme="minorHAnsi"/>
                <w:b/>
                <w:bCs/>
                <w:sz w:val="20"/>
                <w:szCs w:val="20"/>
              </w:rPr>
              <w:t>Modernizácia trate so zvýšením rýchlosti na 120-1</w:t>
            </w:r>
            <w:r w:rsidR="00DA0B84">
              <w:rPr>
                <w:rFonts w:eastAsia="Calibri" w:cstheme="minorHAnsi"/>
                <w:b/>
                <w:bCs/>
                <w:sz w:val="20"/>
                <w:szCs w:val="20"/>
              </w:rPr>
              <w:t>6</w:t>
            </w:r>
            <w:r w:rsidRPr="001E0F0B">
              <w:rPr>
                <w:rFonts w:eastAsia="Calibri" w:cstheme="minorHAnsi"/>
                <w:b/>
                <w:bCs/>
                <w:sz w:val="20"/>
                <w:szCs w:val="20"/>
              </w:rPr>
              <w:t>0 km/h.</w:t>
            </w:r>
          </w:p>
          <w:p w14:paraId="1227B407" w14:textId="77777777" w:rsidR="0034322D" w:rsidRDefault="0034322D" w:rsidP="00931169">
            <w:pPr>
              <w:rPr>
                <w:rFonts w:eastAsia="Calibri" w:cstheme="minorHAnsi"/>
                <w:sz w:val="20"/>
                <w:szCs w:val="20"/>
              </w:rPr>
            </w:pPr>
            <w:r>
              <w:rPr>
                <w:rFonts w:eastAsia="Calibri" w:cstheme="minorHAnsi"/>
                <w:sz w:val="20"/>
                <w:szCs w:val="20"/>
              </w:rPr>
              <w:t>V I. etape je plánovaná realizácia tunela dĺ. 4157m.</w:t>
            </w:r>
          </w:p>
          <w:p w14:paraId="18323A80" w14:textId="77777777" w:rsidR="0034322D" w:rsidRDefault="0034322D" w:rsidP="00931169">
            <w:pPr>
              <w:rPr>
                <w:rFonts w:eastAsia="Calibri" w:cstheme="minorHAnsi"/>
                <w:sz w:val="20"/>
                <w:szCs w:val="20"/>
              </w:rPr>
            </w:pPr>
            <w:r>
              <w:rPr>
                <w:rFonts w:eastAsia="Calibri" w:cstheme="minorHAnsi"/>
                <w:sz w:val="20"/>
                <w:szCs w:val="20"/>
              </w:rPr>
              <w:t xml:space="preserve">V II. etape je modernizácia riešená v rámci exist. koľajiska. </w:t>
            </w:r>
          </w:p>
          <w:p w14:paraId="093F93D6" w14:textId="77777777" w:rsidR="0034322D" w:rsidRDefault="0034322D" w:rsidP="00931169">
            <w:pPr>
              <w:rPr>
                <w:rFonts w:eastAsia="Calibri" w:cstheme="minorHAnsi"/>
                <w:sz w:val="20"/>
                <w:szCs w:val="20"/>
              </w:rPr>
            </w:pPr>
            <w:r>
              <w:rPr>
                <w:rFonts w:eastAsia="Calibri" w:cstheme="minorHAnsi"/>
                <w:sz w:val="20"/>
                <w:szCs w:val="20"/>
              </w:rPr>
              <w:lastRenderedPageBreak/>
              <w:t>V III. etape zmenou smerových oblúkov dochádza k významnému zásahu do svahov a budovaniu zárezov a nových technických objektov.</w:t>
            </w:r>
          </w:p>
          <w:p w14:paraId="59FAFEB0" w14:textId="099737AD" w:rsidR="000302FA" w:rsidRDefault="000302FA" w:rsidP="00931169">
            <w:pPr>
              <w:rPr>
                <w:rFonts w:eastAsia="Calibri" w:cstheme="minorHAnsi"/>
                <w:sz w:val="20"/>
                <w:szCs w:val="20"/>
              </w:rPr>
            </w:pPr>
          </w:p>
        </w:tc>
      </w:tr>
      <w:tr w:rsidR="0034322D" w14:paraId="34E6CB12" w14:textId="77777777" w:rsidTr="0034322D">
        <w:tc>
          <w:tcPr>
            <w:tcW w:w="1946" w:type="dxa"/>
            <w:tcBorders>
              <w:top w:val="single" w:sz="4" w:space="0" w:color="000000"/>
              <w:left w:val="single" w:sz="4" w:space="0" w:color="000000"/>
              <w:bottom w:val="single" w:sz="4" w:space="0" w:color="000000"/>
              <w:right w:val="single" w:sz="4" w:space="0" w:color="000000"/>
            </w:tcBorders>
            <w:vAlign w:val="center"/>
            <w:hideMark/>
          </w:tcPr>
          <w:p w14:paraId="44D8D487" w14:textId="0F30EA5F" w:rsidR="0034322D" w:rsidRDefault="0034322D" w:rsidP="00931169">
            <w:pPr>
              <w:rPr>
                <w:rFonts w:eastAsia="Calibri" w:cstheme="minorHAnsi"/>
                <w:sz w:val="20"/>
                <w:szCs w:val="20"/>
              </w:rPr>
            </w:pPr>
            <w:r>
              <w:rPr>
                <w:rFonts w:eastAsia="Calibri" w:cstheme="minorHAnsi"/>
                <w:sz w:val="20"/>
                <w:szCs w:val="20"/>
              </w:rPr>
              <w:lastRenderedPageBreak/>
              <w:t xml:space="preserve">Variant </w:t>
            </w:r>
            <w:r w:rsidR="001E0F0B">
              <w:rPr>
                <w:rFonts w:eastAsia="Calibri" w:cstheme="minorHAnsi"/>
                <w:sz w:val="20"/>
                <w:szCs w:val="20"/>
              </w:rPr>
              <w:t>C</w:t>
            </w:r>
          </w:p>
        </w:tc>
        <w:tc>
          <w:tcPr>
            <w:tcW w:w="5948" w:type="dxa"/>
            <w:tcBorders>
              <w:top w:val="single" w:sz="4" w:space="0" w:color="000000"/>
              <w:left w:val="single" w:sz="4" w:space="0" w:color="000000"/>
              <w:bottom w:val="single" w:sz="4" w:space="0" w:color="000000"/>
              <w:right w:val="single" w:sz="4" w:space="0" w:color="000000"/>
            </w:tcBorders>
            <w:vAlign w:val="center"/>
            <w:hideMark/>
          </w:tcPr>
          <w:p w14:paraId="11C103DD" w14:textId="353073EE" w:rsidR="001E0F0B" w:rsidRPr="001E0F0B" w:rsidRDefault="001E0F0B" w:rsidP="00931169">
            <w:pPr>
              <w:rPr>
                <w:rFonts w:eastAsia="Calibri" w:cstheme="minorHAnsi"/>
                <w:b/>
                <w:bCs/>
                <w:sz w:val="20"/>
                <w:szCs w:val="20"/>
              </w:rPr>
            </w:pPr>
            <w:r w:rsidRPr="001E0F0B">
              <w:rPr>
                <w:rFonts w:eastAsia="Calibri" w:cstheme="minorHAnsi"/>
                <w:b/>
                <w:bCs/>
                <w:sz w:val="20"/>
                <w:szCs w:val="20"/>
              </w:rPr>
              <w:t>OPTIMALIZÁCIA trate</w:t>
            </w:r>
            <w:r>
              <w:rPr>
                <w:rFonts w:eastAsia="Calibri" w:cstheme="minorHAnsi"/>
                <w:b/>
                <w:bCs/>
                <w:sz w:val="20"/>
                <w:szCs w:val="20"/>
              </w:rPr>
              <w:t xml:space="preserve"> (kombinovaný variant)</w:t>
            </w:r>
          </w:p>
          <w:p w14:paraId="4D5E1C7A" w14:textId="011B2641" w:rsidR="0034322D" w:rsidRDefault="0034322D" w:rsidP="00931169">
            <w:pPr>
              <w:rPr>
                <w:rFonts w:eastAsia="Calibri" w:cstheme="minorHAnsi"/>
                <w:sz w:val="20"/>
                <w:szCs w:val="20"/>
              </w:rPr>
            </w:pPr>
            <w:r>
              <w:rPr>
                <w:rFonts w:eastAsia="Calibri" w:cstheme="minorHAnsi"/>
                <w:sz w:val="20"/>
                <w:szCs w:val="20"/>
              </w:rPr>
              <w:t>V I.</w:t>
            </w:r>
            <w:r w:rsidR="000302FA">
              <w:rPr>
                <w:rFonts w:eastAsia="Calibri" w:cstheme="minorHAnsi"/>
                <w:sz w:val="20"/>
                <w:szCs w:val="20"/>
              </w:rPr>
              <w:t xml:space="preserve"> </w:t>
            </w:r>
            <w:r w:rsidR="002343B4">
              <w:rPr>
                <w:rFonts w:eastAsia="Calibri" w:cstheme="minorHAnsi"/>
                <w:sz w:val="20"/>
                <w:szCs w:val="20"/>
              </w:rPr>
              <w:t xml:space="preserve">a II. </w:t>
            </w:r>
            <w:r>
              <w:rPr>
                <w:rFonts w:eastAsia="Calibri" w:cstheme="minorHAnsi"/>
                <w:sz w:val="20"/>
                <w:szCs w:val="20"/>
              </w:rPr>
              <w:t xml:space="preserve">etape je trať vedená existujúcim </w:t>
            </w:r>
            <w:r w:rsidR="002343B4">
              <w:rPr>
                <w:rFonts w:eastAsia="Calibri" w:cstheme="minorHAnsi"/>
                <w:sz w:val="20"/>
                <w:szCs w:val="20"/>
              </w:rPr>
              <w:t>žel. telese</w:t>
            </w:r>
            <w:r w:rsidR="000302FA">
              <w:rPr>
                <w:rFonts w:eastAsia="Calibri" w:cstheme="minorHAnsi"/>
                <w:sz w:val="20"/>
                <w:szCs w:val="20"/>
              </w:rPr>
              <w:t xml:space="preserve"> a existujúce koľajiska.</w:t>
            </w:r>
            <w:r>
              <w:rPr>
                <w:rFonts w:eastAsia="Calibri" w:cstheme="minorHAnsi"/>
                <w:sz w:val="20"/>
                <w:szCs w:val="20"/>
              </w:rPr>
              <w:t xml:space="preserve">  </w:t>
            </w:r>
          </w:p>
          <w:p w14:paraId="2497A999" w14:textId="77777777" w:rsidR="0034322D" w:rsidRDefault="0034322D" w:rsidP="00931169">
            <w:pPr>
              <w:rPr>
                <w:rFonts w:eastAsia="Calibri" w:cstheme="minorHAnsi"/>
                <w:sz w:val="20"/>
                <w:szCs w:val="20"/>
              </w:rPr>
            </w:pPr>
            <w:r>
              <w:rPr>
                <w:rFonts w:eastAsia="Calibri" w:cstheme="minorHAnsi"/>
                <w:sz w:val="20"/>
                <w:szCs w:val="20"/>
              </w:rPr>
              <w:t>Etapa III. je totožná s</w:t>
            </w:r>
            <w:r w:rsidR="001E0F0B">
              <w:rPr>
                <w:rFonts w:eastAsia="Calibri" w:cstheme="minorHAnsi"/>
                <w:sz w:val="20"/>
                <w:szCs w:val="20"/>
              </w:rPr>
              <w:t> variantom B</w:t>
            </w:r>
            <w:r>
              <w:rPr>
                <w:rFonts w:eastAsia="Calibri" w:cstheme="minorHAnsi"/>
                <w:sz w:val="20"/>
                <w:szCs w:val="20"/>
              </w:rPr>
              <w:t>.</w:t>
            </w:r>
          </w:p>
          <w:p w14:paraId="2E776191" w14:textId="0AC78DCD" w:rsidR="000302FA" w:rsidRDefault="000302FA" w:rsidP="00931169">
            <w:pPr>
              <w:rPr>
                <w:rFonts w:eastAsia="Calibri" w:cstheme="minorHAnsi"/>
                <w:sz w:val="20"/>
                <w:szCs w:val="20"/>
              </w:rPr>
            </w:pPr>
          </w:p>
        </w:tc>
      </w:tr>
    </w:tbl>
    <w:p w14:paraId="150951C0" w14:textId="77777777" w:rsidR="0034322D" w:rsidRDefault="0034322D" w:rsidP="00931169">
      <w:pPr>
        <w:rPr>
          <w:rFonts w:cstheme="minorHAnsi"/>
          <w:sz w:val="22"/>
        </w:rPr>
      </w:pPr>
    </w:p>
    <w:p w14:paraId="2191EEEB" w14:textId="77777777" w:rsidR="0034322D" w:rsidRDefault="0034322D" w:rsidP="00931169">
      <w:pPr>
        <w:rPr>
          <w:rFonts w:cstheme="minorHAnsi"/>
        </w:rPr>
      </w:pPr>
      <w:r>
        <w:rPr>
          <w:rFonts w:cstheme="minorHAnsi"/>
        </w:rPr>
        <w:t>Identifikované vplyvy na životné prostredie sú popísané v nasledujúcich kapitolách.</w:t>
      </w:r>
    </w:p>
    <w:p w14:paraId="768781BD" w14:textId="4A673E0E" w:rsidR="0034322D" w:rsidRPr="00F4315B" w:rsidRDefault="00F4315B" w:rsidP="00931169">
      <w:pPr>
        <w:pStyle w:val="Nadpis2"/>
        <w:rPr>
          <w:rFonts w:cstheme="minorHAnsi"/>
          <w:color w:val="00B050"/>
          <w:sz w:val="28"/>
          <w:szCs w:val="28"/>
        </w:rPr>
      </w:pPr>
      <w:bookmarkStart w:id="163" w:name="_Toc536095754"/>
      <w:bookmarkStart w:id="164" w:name="_Toc24660451"/>
      <w:bookmarkStart w:id="165" w:name="_Toc24661463"/>
      <w:bookmarkStart w:id="166" w:name="_Toc88652950"/>
      <w:r>
        <w:rPr>
          <w:rFonts w:cstheme="minorHAnsi"/>
          <w:color w:val="00B050"/>
          <w:sz w:val="28"/>
          <w:szCs w:val="28"/>
        </w:rPr>
        <w:t xml:space="preserve">5.2 </w:t>
      </w:r>
      <w:r w:rsidR="0034322D" w:rsidRPr="00F4315B">
        <w:rPr>
          <w:rFonts w:cstheme="minorHAnsi"/>
          <w:color w:val="00B050"/>
          <w:sz w:val="28"/>
          <w:szCs w:val="28"/>
        </w:rPr>
        <w:t>Vplyvy na chránené časti prírody</w:t>
      </w:r>
      <w:bookmarkEnd w:id="163"/>
      <w:bookmarkEnd w:id="164"/>
      <w:bookmarkEnd w:id="165"/>
      <w:bookmarkEnd w:id="166"/>
    </w:p>
    <w:p w14:paraId="47891DBB" w14:textId="77777777" w:rsidR="0034322D" w:rsidRPr="00F4315B" w:rsidRDefault="0034322D" w:rsidP="00931169">
      <w:pPr>
        <w:pStyle w:val="Nadpis2"/>
        <w:rPr>
          <w:rFonts w:cstheme="minorHAnsi"/>
        </w:rPr>
      </w:pPr>
      <w:bookmarkStart w:id="167" w:name="_Toc536095755"/>
      <w:bookmarkStart w:id="168" w:name="_Toc24660452"/>
      <w:bookmarkStart w:id="169" w:name="_Toc24661464"/>
      <w:bookmarkStart w:id="170" w:name="_Toc88652951"/>
      <w:r w:rsidRPr="00F4315B">
        <w:rPr>
          <w:rFonts w:cstheme="minorHAnsi"/>
        </w:rPr>
        <w:t>Vplyvy na lokality NATURA 2000</w:t>
      </w:r>
      <w:bookmarkEnd w:id="167"/>
      <w:bookmarkEnd w:id="168"/>
      <w:bookmarkEnd w:id="169"/>
      <w:bookmarkEnd w:id="170"/>
    </w:p>
    <w:p w14:paraId="72466253" w14:textId="77777777" w:rsidR="0034322D" w:rsidRDefault="0034322D" w:rsidP="00931169">
      <w:pPr>
        <w:rPr>
          <w:rFonts w:cstheme="minorHAnsi"/>
          <w:u w:val="single"/>
        </w:rPr>
      </w:pPr>
      <w:r>
        <w:rPr>
          <w:rFonts w:cstheme="minorHAnsi"/>
          <w:u w:val="single"/>
        </w:rPr>
        <w:t>Chránené vtáčie územia</w:t>
      </w:r>
    </w:p>
    <w:p w14:paraId="113710BA" w14:textId="77777777" w:rsidR="0034322D" w:rsidRDefault="0034322D" w:rsidP="00931169">
      <w:pPr>
        <w:rPr>
          <w:rFonts w:cstheme="minorHAnsi"/>
        </w:rPr>
      </w:pPr>
      <w:r>
        <w:rPr>
          <w:rFonts w:cstheme="minorHAnsi"/>
        </w:rPr>
        <w:t xml:space="preserve">Navrhované železničné trate nezasahujú v žiadnej alternatíve chránené vtáčie územie. </w:t>
      </w:r>
    </w:p>
    <w:p w14:paraId="7346164C" w14:textId="77777777" w:rsidR="007E13FA" w:rsidRDefault="007E13FA" w:rsidP="00931169">
      <w:pPr>
        <w:rPr>
          <w:rStyle w:val="Siln"/>
          <w:rFonts w:cstheme="minorHAnsi"/>
          <w:b w:val="0"/>
          <w:u w:val="single"/>
        </w:rPr>
      </w:pPr>
    </w:p>
    <w:p w14:paraId="08896BBE" w14:textId="1C0E7FB5" w:rsidR="0034322D" w:rsidRDefault="0034322D" w:rsidP="00931169">
      <w:pPr>
        <w:rPr>
          <w:rStyle w:val="Siln"/>
          <w:b w:val="0"/>
          <w:u w:val="single"/>
        </w:rPr>
      </w:pPr>
      <w:r>
        <w:rPr>
          <w:rStyle w:val="Siln"/>
          <w:rFonts w:cstheme="minorHAnsi"/>
          <w:b w:val="0"/>
          <w:u w:val="single"/>
        </w:rPr>
        <w:t>Územie európskeho významu</w:t>
      </w:r>
    </w:p>
    <w:p w14:paraId="1AF70608" w14:textId="77777777" w:rsidR="0034322D" w:rsidRDefault="0034322D" w:rsidP="00931169">
      <w:r>
        <w:rPr>
          <w:rFonts w:cstheme="minorHAnsi"/>
        </w:rPr>
        <w:t>K zásahu do územia európskeho významu dochádza v I. etape vo všetkých navrhovaných variantoch.</w:t>
      </w:r>
    </w:p>
    <w:p w14:paraId="11AF289E" w14:textId="7F2D4448" w:rsidR="0034322D" w:rsidRDefault="0034322D" w:rsidP="00931169">
      <w:pPr>
        <w:rPr>
          <w:rFonts w:cstheme="minorHAnsi"/>
        </w:rPr>
      </w:pPr>
      <w:r>
        <w:rPr>
          <w:rFonts w:cstheme="minorHAnsi"/>
        </w:rPr>
        <w:t xml:space="preserve">Variant </w:t>
      </w:r>
      <w:r w:rsidR="007E13FA">
        <w:rPr>
          <w:rFonts w:cstheme="minorHAnsi"/>
        </w:rPr>
        <w:t>A</w:t>
      </w:r>
    </w:p>
    <w:p w14:paraId="1A9C3E1A" w14:textId="6E7F5D85" w:rsidR="007E13FA" w:rsidRPr="007E13FA" w:rsidRDefault="007E13FA"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prestavba trate v existujúcom telese bude prebiehať v bezprostrednej blízkosti ÚEV Kysuca, čo predstavuje riziko zhoršenia kvality biotopov a ohrozenie predmetu ochrany</w:t>
      </w:r>
    </w:p>
    <w:p w14:paraId="07B5E25C" w14:textId="6E890BF2" w:rsidR="0034322D" w:rsidRDefault="0034322D"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 xml:space="preserve">nový prestupný terminál TIOP Krásno nad Kysucou spôsobí zásah do toku rieky Kysuca v dĺžke cca 150-200m v nžkm 270,3. </w:t>
      </w:r>
    </w:p>
    <w:p w14:paraId="67B9964C" w14:textId="77777777" w:rsidR="0034322D" w:rsidRDefault="0034322D" w:rsidP="00931169">
      <w:pPr>
        <w:pStyle w:val="Odsekzoznamu"/>
        <w:numPr>
          <w:ilvl w:val="0"/>
          <w:numId w:val="56"/>
        </w:numPr>
        <w:suppressAutoHyphens/>
        <w:spacing w:after="120" w:line="256" w:lineRule="auto"/>
        <w:ind w:left="714" w:hanging="357"/>
        <w:contextualSpacing w:val="0"/>
        <w:jc w:val="both"/>
        <w:rPr>
          <w:rFonts w:cstheme="minorHAnsi"/>
        </w:rPr>
      </w:pPr>
      <w:r>
        <w:rPr>
          <w:rFonts w:cstheme="minorHAnsi"/>
        </w:rPr>
        <w:t xml:space="preserve">nový most cez rieku Kysuca pri jej sútoku Bystricou vyvolá zásah do toku v najhodnotnejšom území ÚEV Kysuce </w:t>
      </w:r>
    </w:p>
    <w:p w14:paraId="55C7C843" w14:textId="7EA14856" w:rsidR="0034322D" w:rsidRDefault="0034322D" w:rsidP="00931169">
      <w:pPr>
        <w:rPr>
          <w:rFonts w:cstheme="minorHAnsi"/>
        </w:rPr>
      </w:pPr>
      <w:r>
        <w:rPr>
          <w:rFonts w:cstheme="minorHAnsi"/>
        </w:rPr>
        <w:t xml:space="preserve">Variant </w:t>
      </w:r>
      <w:r w:rsidR="007E13FA">
        <w:rPr>
          <w:rFonts w:cstheme="minorHAnsi"/>
        </w:rPr>
        <w:t>B</w:t>
      </w:r>
    </w:p>
    <w:p w14:paraId="55D2E2DC" w14:textId="35308647" w:rsidR="007E13FA" w:rsidRPr="007E13FA" w:rsidRDefault="007E13FA"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 xml:space="preserve">nový prestupný terminál TIOP Krásno nad Kysucou spôsobí zásah do toku rieky Kysuca v dĺžke cca 150-200m v nžkm 270,3. </w:t>
      </w:r>
    </w:p>
    <w:p w14:paraId="6C5A8655" w14:textId="1CA3DFF1" w:rsidR="0034322D" w:rsidRDefault="0034322D"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 xml:space="preserve">nové smerové vedenie žel. trate zárez (nžkm 270,5) spôsobí zásah do toku rieky Kysuca v dĺžke cca 300m. </w:t>
      </w:r>
    </w:p>
    <w:p w14:paraId="67E05C78" w14:textId="77777777" w:rsidR="0034322D" w:rsidRDefault="0034322D" w:rsidP="00931169">
      <w:pPr>
        <w:pStyle w:val="Odsekzoznamu"/>
        <w:numPr>
          <w:ilvl w:val="0"/>
          <w:numId w:val="56"/>
        </w:numPr>
        <w:suppressAutoHyphens/>
        <w:spacing w:after="120" w:line="256" w:lineRule="auto"/>
        <w:ind w:left="714" w:hanging="357"/>
        <w:contextualSpacing w:val="0"/>
        <w:jc w:val="both"/>
        <w:rPr>
          <w:rFonts w:cstheme="minorHAnsi"/>
        </w:rPr>
      </w:pPr>
      <w:r>
        <w:rPr>
          <w:rFonts w:cstheme="minorHAnsi"/>
        </w:rPr>
        <w:t xml:space="preserve">nový most cez rieku Kysuca pri jej sútoku Bystricou vyvolá zásah do toku v najhodnotnejšom území ÚEV Kysuce </w:t>
      </w:r>
    </w:p>
    <w:p w14:paraId="25484F85" w14:textId="7F63245D" w:rsidR="0034322D" w:rsidRDefault="0034322D" w:rsidP="00931169">
      <w:pPr>
        <w:rPr>
          <w:rFonts w:cstheme="minorHAnsi"/>
        </w:rPr>
      </w:pPr>
      <w:r>
        <w:rPr>
          <w:rFonts w:cstheme="minorHAnsi"/>
        </w:rPr>
        <w:t xml:space="preserve">Variant </w:t>
      </w:r>
      <w:r w:rsidR="007E13FA">
        <w:rPr>
          <w:rFonts w:cstheme="minorHAnsi"/>
        </w:rPr>
        <w:t>C</w:t>
      </w:r>
    </w:p>
    <w:p w14:paraId="73D0522A" w14:textId="131E3996" w:rsidR="000302FA" w:rsidRPr="000302FA" w:rsidRDefault="000302FA"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prestavba trate v existujúcom telese bude prebiehať v bezprostrednej blízkosti ÚEV Kysuca, čo predstavuje riziko zhoršenia kvality biotopov a ohrozenie predmetu ochrany</w:t>
      </w:r>
    </w:p>
    <w:p w14:paraId="621F78AE" w14:textId="7E53E6F5" w:rsidR="0034322D" w:rsidRDefault="0034322D"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 xml:space="preserve">nový prestupný terminál TIOP Krásno nad Kysucou spôsobí zásah do toku rieky Kysuca v dĺžke cca 150-200m v nžkm 270,3. </w:t>
      </w:r>
    </w:p>
    <w:p w14:paraId="6C65A378" w14:textId="77777777" w:rsidR="0034322D" w:rsidRDefault="0034322D"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 xml:space="preserve">nový most cez rieku Kysuca pri jej sútoku Bystricou vyvolá zásah do toku v najhodnotnejšom území ÚEV Kysuce </w:t>
      </w:r>
    </w:p>
    <w:p w14:paraId="4E238CB1" w14:textId="77777777" w:rsidR="0034322D" w:rsidRDefault="0034322D" w:rsidP="00931169">
      <w:pPr>
        <w:rPr>
          <w:rFonts w:cstheme="minorHAnsi"/>
        </w:rPr>
      </w:pPr>
    </w:p>
    <w:p w14:paraId="362AD025" w14:textId="77777777" w:rsidR="00DA0B84" w:rsidRDefault="00DA0B84" w:rsidP="00931169">
      <w:pPr>
        <w:rPr>
          <w:rFonts w:cstheme="minorHAnsi"/>
          <w:u w:val="single"/>
        </w:rPr>
      </w:pPr>
    </w:p>
    <w:p w14:paraId="7B42D2B5" w14:textId="77777777" w:rsidR="00DA0B84" w:rsidRDefault="00DA0B84" w:rsidP="00931169">
      <w:pPr>
        <w:rPr>
          <w:rFonts w:cstheme="minorHAnsi"/>
          <w:u w:val="single"/>
        </w:rPr>
      </w:pPr>
    </w:p>
    <w:p w14:paraId="44D92F2D" w14:textId="237FDCB5" w:rsidR="0034322D" w:rsidRDefault="0034322D" w:rsidP="00931169">
      <w:pPr>
        <w:rPr>
          <w:rFonts w:cstheme="minorHAnsi"/>
          <w:u w:val="single"/>
        </w:rPr>
      </w:pPr>
      <w:r>
        <w:rPr>
          <w:rFonts w:cstheme="minorHAnsi"/>
          <w:u w:val="single"/>
        </w:rPr>
        <w:t>Navrhované opatrenia:</w:t>
      </w:r>
    </w:p>
    <w:p w14:paraId="5AF3B91F" w14:textId="77777777" w:rsidR="0034322D" w:rsidRDefault="0034322D"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nakoľko sa premostenie nachádza v najhodnotnejšom území ÚEV Bystrica, je potrebné polohu premostenia a technické podmienky prerokovať so štátnou ochranou prírody</w:t>
      </w:r>
    </w:p>
    <w:p w14:paraId="5311CA0E" w14:textId="77777777" w:rsidR="0034322D" w:rsidRDefault="0034322D"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vykonať primerané vyhodnotenie vplyvov na integritu území Natura 2000</w:t>
      </w:r>
    </w:p>
    <w:p w14:paraId="6C815539" w14:textId="77777777" w:rsidR="0034322D" w:rsidRDefault="0034322D" w:rsidP="00931169">
      <w:pPr>
        <w:pStyle w:val="Odsekzoznamu"/>
        <w:numPr>
          <w:ilvl w:val="0"/>
          <w:numId w:val="56"/>
        </w:numPr>
        <w:suppressAutoHyphens/>
        <w:spacing w:after="0" w:line="256" w:lineRule="auto"/>
        <w:ind w:left="714" w:hanging="357"/>
        <w:contextualSpacing w:val="0"/>
        <w:jc w:val="both"/>
        <w:rPr>
          <w:rFonts w:cstheme="minorHAnsi"/>
        </w:rPr>
      </w:pPr>
      <w:r>
        <w:rPr>
          <w:rFonts w:cstheme="minorHAnsi"/>
        </w:rPr>
        <w:t>minimalizovať zásah do ÚEV Kysuce</w:t>
      </w:r>
    </w:p>
    <w:p w14:paraId="38AF5941" w14:textId="77777777" w:rsidR="0034322D" w:rsidRDefault="0034322D" w:rsidP="00931169">
      <w:pPr>
        <w:spacing w:after="120"/>
        <w:rPr>
          <w:rFonts w:cstheme="minorHAnsi"/>
          <w:color w:val="FF0000"/>
        </w:rPr>
      </w:pPr>
    </w:p>
    <w:p w14:paraId="39FFDBAB" w14:textId="37F3CCEC" w:rsidR="0034322D" w:rsidRDefault="0034322D" w:rsidP="00931169">
      <w:pPr>
        <w:spacing w:after="120"/>
        <w:rPr>
          <w:rFonts w:cstheme="minorHAnsi"/>
          <w:b/>
        </w:rPr>
      </w:pPr>
      <w:r>
        <w:rPr>
          <w:rFonts w:cstheme="minorHAnsi"/>
          <w:b/>
        </w:rPr>
        <w:t>Najvýznamnejší negatívny dopad sa predpokladá v prípade realizácie variantu</w:t>
      </w:r>
      <w:r w:rsidR="007E13FA">
        <w:rPr>
          <w:rFonts w:cstheme="minorHAnsi"/>
          <w:b/>
        </w:rPr>
        <w:t xml:space="preserve"> B</w:t>
      </w:r>
      <w:r>
        <w:rPr>
          <w:rFonts w:cstheme="minorHAnsi"/>
          <w:b/>
        </w:rPr>
        <w:t xml:space="preserve"> modernizácie na 120-1</w:t>
      </w:r>
      <w:r w:rsidR="00DA0B84">
        <w:rPr>
          <w:rFonts w:cstheme="minorHAnsi"/>
          <w:b/>
        </w:rPr>
        <w:t>6</w:t>
      </w:r>
      <w:r>
        <w:rPr>
          <w:rFonts w:cstheme="minorHAnsi"/>
          <w:b/>
        </w:rPr>
        <w:t xml:space="preserve">0 km/h, nakoľko predstavuje najväčší rozsah zásahu vrátane výstavby premostenia v najcitlivejšom úseku chráneného územia. </w:t>
      </w:r>
    </w:p>
    <w:p w14:paraId="279B0CC9" w14:textId="77777777" w:rsidR="0034322D" w:rsidRDefault="0034322D" w:rsidP="00931169">
      <w:pPr>
        <w:spacing w:after="120"/>
        <w:rPr>
          <w:rFonts w:cstheme="minorHAnsi"/>
          <w:color w:val="FF0000"/>
        </w:rPr>
      </w:pPr>
    </w:p>
    <w:p w14:paraId="02463073" w14:textId="77777777" w:rsidR="0034322D" w:rsidRPr="00F4315B" w:rsidRDefault="0034322D" w:rsidP="00931169">
      <w:pPr>
        <w:pStyle w:val="Nadpis2"/>
        <w:rPr>
          <w:rFonts w:cstheme="minorHAnsi"/>
        </w:rPr>
      </w:pPr>
      <w:bookmarkStart w:id="171" w:name="_Toc536095756"/>
      <w:bookmarkStart w:id="172" w:name="_Toc24660453"/>
      <w:bookmarkStart w:id="173" w:name="_Toc24661465"/>
      <w:bookmarkStart w:id="174" w:name="_Toc88652952"/>
      <w:r w:rsidRPr="00F4315B">
        <w:rPr>
          <w:rFonts w:cstheme="minorHAnsi"/>
        </w:rPr>
        <w:t>Vplyvy na chránené územia</w:t>
      </w:r>
      <w:bookmarkEnd w:id="171"/>
      <w:bookmarkEnd w:id="172"/>
      <w:bookmarkEnd w:id="173"/>
      <w:bookmarkEnd w:id="174"/>
    </w:p>
    <w:p w14:paraId="59BD4C72" w14:textId="77777777" w:rsidR="0034322D" w:rsidRDefault="0034322D" w:rsidP="00931169">
      <w:pPr>
        <w:spacing w:after="120"/>
        <w:ind w:firstLine="708"/>
        <w:rPr>
          <w:rFonts w:cstheme="minorHAnsi"/>
        </w:rPr>
      </w:pPr>
      <w:r>
        <w:rPr>
          <w:rFonts w:cstheme="minorHAnsi"/>
        </w:rPr>
        <w:t>V rámci územnej ochrany rozlišujeme veľkoplošné a maloplošné chránené územia. K veľkoplošným chráneným územiam sú zaradené územia spravidla s výmerou vyše 1000 ha, ktoré sú kategorizované ako národné parky alebo chránené krajinné oblasti (s povolenou hospodárskou činnosťou). Maloplošné chránené územia majú podrobnejšiu kategorizáciu, spravidla sa jedná o menšie územia s výskytom významných foriem reliéfu, skupín bioty, chránených druhov a pod., pre ktoré sú stanovované  vyššie stupne ochrany (zo škály 1, najnižší stupeň ochrany - 5, najvyšší stupeň ochrany).</w:t>
      </w:r>
    </w:p>
    <w:p w14:paraId="4E2A92BF" w14:textId="77777777" w:rsidR="0034322D" w:rsidRDefault="0034322D" w:rsidP="00931169">
      <w:pPr>
        <w:spacing w:after="120"/>
        <w:ind w:firstLine="708"/>
        <w:rPr>
          <w:rFonts w:cstheme="minorHAnsi"/>
          <w:b/>
        </w:rPr>
      </w:pPr>
      <w:r>
        <w:rPr>
          <w:rFonts w:cstheme="minorHAnsi"/>
          <w:b/>
        </w:rPr>
        <w:t>Modernizovaná železničná trať neprichádza do kontaktu s maloplošným ani veľkoplošných chráneným územím ani jeho ochranným pásmom, nepredpokladáme negatívny dopad na tieto územia.</w:t>
      </w:r>
    </w:p>
    <w:p w14:paraId="524C985B" w14:textId="31D2A4E7" w:rsidR="0034322D" w:rsidRDefault="0034322D" w:rsidP="00931169">
      <w:pPr>
        <w:spacing w:after="120"/>
        <w:ind w:firstLine="708"/>
        <w:rPr>
          <w:rFonts w:cstheme="minorHAnsi"/>
        </w:rPr>
      </w:pPr>
      <w:r>
        <w:rPr>
          <w:rFonts w:cstheme="minorHAnsi"/>
        </w:rPr>
        <w:t xml:space="preserve">Nepriamym vplyvom na uvedené územie je pôsobenie žel. trate ako migračnej bariéry pre migrujúce cicavce. Realizácia tunela v prípade variantu </w:t>
      </w:r>
      <w:r w:rsidR="007E13FA">
        <w:rPr>
          <w:rFonts w:cstheme="minorHAnsi"/>
        </w:rPr>
        <w:t>B</w:t>
      </w:r>
      <w:r>
        <w:rPr>
          <w:rFonts w:cstheme="minorHAnsi"/>
        </w:rPr>
        <w:t xml:space="preserve"> by mala za následok pozitívny dopad na bezkolízny prechod zveri cez žel. trať. </w:t>
      </w:r>
    </w:p>
    <w:p w14:paraId="5F7DB545" w14:textId="77777777" w:rsidR="0034322D" w:rsidRDefault="0034322D" w:rsidP="00931169">
      <w:pPr>
        <w:rPr>
          <w:rFonts w:cstheme="minorHAnsi"/>
        </w:rPr>
      </w:pPr>
      <w:r>
        <w:rPr>
          <w:rFonts w:cstheme="minorHAnsi"/>
          <w:u w:val="single"/>
        </w:rPr>
        <w:t>Navrhované opatrenia:</w:t>
      </w:r>
      <w:r>
        <w:rPr>
          <w:rFonts w:cstheme="minorHAnsi"/>
        </w:rPr>
        <w:t xml:space="preserve"> vyhodnotenie migračných koridorov širšieho územia a overenie návrhu opatrení </w:t>
      </w:r>
    </w:p>
    <w:p w14:paraId="74A00C94" w14:textId="77777777" w:rsidR="0034322D" w:rsidRDefault="0034322D" w:rsidP="00931169">
      <w:pPr>
        <w:pStyle w:val="Nadpis2"/>
        <w:rPr>
          <w:rFonts w:cstheme="minorHAnsi"/>
        </w:rPr>
      </w:pPr>
      <w:bookmarkStart w:id="175" w:name="_Toc536095757"/>
      <w:bookmarkStart w:id="176" w:name="_Toc24660454"/>
      <w:bookmarkStart w:id="177" w:name="_Toc24661466"/>
      <w:bookmarkStart w:id="178" w:name="_Toc88652953"/>
      <w:r w:rsidRPr="00F4315B">
        <w:rPr>
          <w:rFonts w:cstheme="minorHAnsi"/>
        </w:rPr>
        <w:t>Vplyvy na Ramsarské lokality</w:t>
      </w:r>
      <w:bookmarkEnd w:id="175"/>
      <w:bookmarkEnd w:id="176"/>
      <w:bookmarkEnd w:id="177"/>
      <w:bookmarkEnd w:id="178"/>
    </w:p>
    <w:p w14:paraId="3B0F74EA" w14:textId="77777777" w:rsidR="0034322D" w:rsidRDefault="0034322D" w:rsidP="00931169">
      <w:pPr>
        <w:ind w:firstLine="708"/>
        <w:rPr>
          <w:rFonts w:cstheme="minorHAnsi"/>
        </w:rPr>
      </w:pPr>
      <w:r>
        <w:rPr>
          <w:rFonts w:cstheme="minorHAnsi"/>
        </w:rPr>
        <w:t xml:space="preserve">Plánovaný projekt železničného uzla nezasahuje žiadne z ramsarských lokalít a nedôjde k vplyvom na tieto územia.  </w:t>
      </w:r>
    </w:p>
    <w:p w14:paraId="5B050541" w14:textId="77777777" w:rsidR="0034322D" w:rsidRDefault="0034322D" w:rsidP="00931169">
      <w:pPr>
        <w:pStyle w:val="Nadpis2"/>
        <w:rPr>
          <w:rFonts w:cstheme="minorHAnsi"/>
        </w:rPr>
      </w:pPr>
      <w:bookmarkStart w:id="179" w:name="_Toc536095758"/>
      <w:bookmarkStart w:id="180" w:name="_Toc24660455"/>
      <w:bookmarkStart w:id="181" w:name="_Toc24661467"/>
      <w:bookmarkStart w:id="182" w:name="_Toc88652954"/>
      <w:r w:rsidRPr="00F4315B">
        <w:rPr>
          <w:rFonts w:cstheme="minorHAnsi"/>
        </w:rPr>
        <w:t>Vplyvy na Biosférické rezervácie</w:t>
      </w:r>
      <w:bookmarkEnd w:id="179"/>
      <w:bookmarkEnd w:id="180"/>
      <w:bookmarkEnd w:id="181"/>
      <w:bookmarkEnd w:id="182"/>
    </w:p>
    <w:p w14:paraId="6AA77D0E" w14:textId="77777777" w:rsidR="0034322D" w:rsidRDefault="0034322D" w:rsidP="00931169">
      <w:pPr>
        <w:ind w:firstLine="708"/>
        <w:rPr>
          <w:rFonts w:cstheme="minorHAnsi"/>
        </w:rPr>
      </w:pPr>
      <w:r>
        <w:rPr>
          <w:rFonts w:cstheme="minorHAnsi"/>
        </w:rPr>
        <w:t xml:space="preserve">Plánovaný projekt železničného uzla nezasahuje žiadne z uvedených chránených území a nedôjde k vplyvom na tieto územia.  </w:t>
      </w:r>
    </w:p>
    <w:p w14:paraId="36757840" w14:textId="6E7F6615" w:rsidR="0034322D" w:rsidRPr="00F4315B" w:rsidRDefault="00F4315B" w:rsidP="00931169">
      <w:pPr>
        <w:pStyle w:val="Nadpis2"/>
        <w:rPr>
          <w:rFonts w:cstheme="minorHAnsi"/>
          <w:color w:val="00B050"/>
          <w:sz w:val="28"/>
          <w:szCs w:val="28"/>
        </w:rPr>
      </w:pPr>
      <w:bookmarkStart w:id="183" w:name="_Toc24660456"/>
      <w:bookmarkStart w:id="184" w:name="_Toc24661468"/>
      <w:bookmarkStart w:id="185" w:name="_Toc88652955"/>
      <w:bookmarkStart w:id="186" w:name="_Toc536095759"/>
      <w:r>
        <w:rPr>
          <w:rFonts w:cstheme="minorHAnsi"/>
          <w:color w:val="00B050"/>
          <w:sz w:val="28"/>
          <w:szCs w:val="28"/>
        </w:rPr>
        <w:lastRenderedPageBreak/>
        <w:t xml:space="preserve">5.3 </w:t>
      </w:r>
      <w:r w:rsidR="0034322D" w:rsidRPr="00F4315B">
        <w:rPr>
          <w:rFonts w:cstheme="minorHAnsi"/>
          <w:color w:val="00B050"/>
          <w:sz w:val="28"/>
          <w:szCs w:val="28"/>
        </w:rPr>
        <w:t>Vplyvy na faunu a flóru</w:t>
      </w:r>
      <w:bookmarkEnd w:id="183"/>
      <w:bookmarkEnd w:id="184"/>
      <w:bookmarkEnd w:id="185"/>
    </w:p>
    <w:p w14:paraId="5392F3E2" w14:textId="77777777" w:rsidR="0034322D" w:rsidRDefault="0034322D" w:rsidP="00931169">
      <w:pPr>
        <w:ind w:firstLine="708"/>
        <w:rPr>
          <w:lang w:eastAsia="ar-SA"/>
        </w:rPr>
      </w:pPr>
      <w:r>
        <w:rPr>
          <w:lang w:eastAsia="ar-SA"/>
        </w:rPr>
        <w:t xml:space="preserve">Plánované varianty žel. tratí sú vedené údolím riek v zalesnených pohoriach Javorníkov, Beskýd a Turzovskej vrchoviny. </w:t>
      </w:r>
    </w:p>
    <w:p w14:paraId="47A30DA0" w14:textId="77777777" w:rsidR="0034322D" w:rsidRDefault="0034322D" w:rsidP="00931169">
      <w:pPr>
        <w:ind w:firstLine="708"/>
        <w:rPr>
          <w:lang w:eastAsia="ar-SA"/>
        </w:rPr>
      </w:pPr>
      <w:r>
        <w:rPr>
          <w:lang w:eastAsia="ar-SA"/>
        </w:rPr>
        <w:t>Najvýznamnejším vplyvom budovania líniových dopravných stavieb v predmetnom území je pôsobenie železničnej trate ako líniovej bariéry, ktorá má negatívny dopad na možnosti migrácie  veľkých cicavcov.</w:t>
      </w:r>
    </w:p>
    <w:p w14:paraId="554E9BE0" w14:textId="77777777" w:rsidR="0034322D" w:rsidRDefault="0034322D" w:rsidP="00931169">
      <w:pPr>
        <w:ind w:firstLine="708"/>
        <w:rPr>
          <w:lang w:eastAsia="ar-SA"/>
        </w:rPr>
      </w:pPr>
      <w:r>
        <w:rPr>
          <w:lang w:eastAsia="ar-SA"/>
        </w:rPr>
        <w:t>Funkčnosť terestrického biokoridoru v dotknutom území ovplyvňuje populácie šeliem a veľkých cicavcov na pomerne veľkom území. Aby nebol prerušený kontakt dielčích populácií veľkých šeliem na okraji areálu výskytu (CHKO Beskydy) a hlavnou centrálnou populáciou (stredné Slovensko), musí byť zabezpečené dostatočné a funkčné spriechodnenie úseku železničného koridoru prechádzajúceho nezastavaným územím, čo sa dá riešiť výberom vhodnej varianty trasovania a taktiež návrhom opatrení na zníženie negatívnych vplyvov.</w:t>
      </w:r>
    </w:p>
    <w:p w14:paraId="43BEB7AB" w14:textId="77777777" w:rsidR="0034322D" w:rsidRDefault="0034322D" w:rsidP="00931169">
      <w:pPr>
        <w:ind w:firstLine="708"/>
        <w:rPr>
          <w:lang w:eastAsia="ar-SA"/>
        </w:rPr>
      </w:pPr>
      <w:r>
        <w:rPr>
          <w:lang w:eastAsia="ar-SA"/>
        </w:rPr>
        <w:t>Pozornosť je venovaná hlavne stredným a veľkým cicavcom. Z hľadiska celo-spoločenských záujmov existuje záujem o ochranu pôvodných druhov. Nepôvodné druhy do prírody boli implantované za skupinovým záujmom zvýšiť sortiment poľovnej zvere, ich ďalšie rozširovanie je nežiaduce. Cieľové druhy pre ktorých ochranu má byť efektívna funkcia sú:</w:t>
      </w:r>
    </w:p>
    <w:p w14:paraId="0698E60E" w14:textId="77777777" w:rsidR="0034322D" w:rsidRDefault="0034322D" w:rsidP="00931169">
      <w:pPr>
        <w:rPr>
          <w:lang w:eastAsia="ar-SA"/>
        </w:rPr>
      </w:pPr>
      <w:r>
        <w:rPr>
          <w:lang w:eastAsia="ar-SA"/>
        </w:rPr>
        <w:t>Medveď hnedý (Ursus arctos), jazvec lesný (Meles meles), vydra riečna (Lutra lutra), líška hrdzavá (Vulpes vulpes), vlk dravý (Canis lupus), rys ostrovid (Lynx lynx), mačka divá (Felis silvestris), diviak lesný (Sus scrofa), srnec hôrny (Capreolus capreolus), jeleň obyčajný (Cervus elaphus) a los mokraďový (Alces alces), ktorý sa v území vyskytuje veľmi vzácne.</w:t>
      </w:r>
    </w:p>
    <w:p w14:paraId="1B693FB9" w14:textId="77777777" w:rsidR="00921A5D" w:rsidRDefault="00921A5D" w:rsidP="00931169">
      <w:pPr>
        <w:rPr>
          <w:b/>
          <w:lang w:eastAsia="ar-SA"/>
        </w:rPr>
      </w:pPr>
    </w:p>
    <w:p w14:paraId="32BE4CC7" w14:textId="3AD05469" w:rsidR="0034322D" w:rsidRDefault="0034322D" w:rsidP="00931169">
      <w:pPr>
        <w:ind w:firstLine="708"/>
        <w:rPr>
          <w:b/>
          <w:lang w:eastAsia="ar-SA"/>
        </w:rPr>
      </w:pPr>
      <w:r>
        <w:rPr>
          <w:b/>
          <w:lang w:eastAsia="ar-SA"/>
        </w:rPr>
        <w:t xml:space="preserve">Z pohľadu vplyvov na migračné koridory predstavuje realizácia variantu </w:t>
      </w:r>
      <w:r w:rsidR="00921A5D">
        <w:rPr>
          <w:b/>
          <w:lang w:eastAsia="ar-SA"/>
        </w:rPr>
        <w:t>B</w:t>
      </w:r>
      <w:r>
        <w:rPr>
          <w:b/>
          <w:lang w:eastAsia="ar-SA"/>
        </w:rPr>
        <w:t xml:space="preserve"> jednoznačný pozitívny dopad, nakoľko železničná trať bude v dĺžke niekoľkých km preložená do tunela, čím bude umožnený bezkolízny prechod zveri. </w:t>
      </w:r>
    </w:p>
    <w:p w14:paraId="654317CF" w14:textId="77777777" w:rsidR="00921A5D" w:rsidRDefault="00921A5D" w:rsidP="00931169">
      <w:pPr>
        <w:ind w:firstLine="708"/>
        <w:rPr>
          <w:b/>
          <w:lang w:eastAsia="ar-SA"/>
        </w:rPr>
      </w:pPr>
    </w:p>
    <w:p w14:paraId="49942FC8" w14:textId="5CB37BE7" w:rsidR="0034322D" w:rsidRDefault="0034322D" w:rsidP="00931169">
      <w:pPr>
        <w:rPr>
          <w:rStyle w:val="tlPopisArial9ptChar"/>
        </w:rPr>
      </w:pPr>
      <w:r>
        <w:rPr>
          <w:rStyle w:val="tlPopisArial9ptChar"/>
        </w:rPr>
        <w:t>Tab.</w:t>
      </w:r>
      <w:r w:rsidR="00DA0B84">
        <w:rPr>
          <w:rStyle w:val="tlPopisArial9ptChar"/>
        </w:rPr>
        <w:t>18</w:t>
      </w:r>
      <w:r>
        <w:rPr>
          <w:rStyle w:val="tlPopisArial9ptChar"/>
        </w:rPr>
        <w:t xml:space="preserve"> Prehľad stredných a veľkých cicavcov v záujmovom území a ich migračné správanie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4"/>
        <w:gridCol w:w="5508"/>
      </w:tblGrid>
      <w:tr w:rsidR="0034322D" w14:paraId="7A91625D" w14:textId="77777777" w:rsidTr="0034322D">
        <w:trPr>
          <w:trHeight w:val="397"/>
          <w:tblHeader/>
        </w:trPr>
        <w:tc>
          <w:tcPr>
            <w:tcW w:w="3708" w:type="dxa"/>
            <w:tcBorders>
              <w:top w:val="single" w:sz="4" w:space="0" w:color="auto"/>
              <w:left w:val="single" w:sz="4" w:space="0" w:color="auto"/>
              <w:bottom w:val="single" w:sz="4" w:space="0" w:color="auto"/>
              <w:right w:val="single" w:sz="4" w:space="0" w:color="auto"/>
            </w:tcBorders>
            <w:vAlign w:val="center"/>
            <w:hideMark/>
          </w:tcPr>
          <w:p w14:paraId="54F9DC0E" w14:textId="77777777" w:rsidR="0034322D" w:rsidRDefault="0034322D" w:rsidP="00931169">
            <w:pPr>
              <w:rPr>
                <w:sz w:val="20"/>
                <w:szCs w:val="20"/>
              </w:rPr>
            </w:pPr>
            <w:r>
              <w:rPr>
                <w:b/>
                <w:bCs/>
                <w:sz w:val="20"/>
                <w:szCs w:val="20"/>
              </w:rPr>
              <w:t>Druh</w:t>
            </w:r>
          </w:p>
        </w:tc>
        <w:tc>
          <w:tcPr>
            <w:tcW w:w="5760" w:type="dxa"/>
            <w:tcBorders>
              <w:top w:val="single" w:sz="4" w:space="0" w:color="auto"/>
              <w:left w:val="single" w:sz="4" w:space="0" w:color="auto"/>
              <w:bottom w:val="single" w:sz="4" w:space="0" w:color="auto"/>
              <w:right w:val="single" w:sz="4" w:space="0" w:color="auto"/>
            </w:tcBorders>
            <w:vAlign w:val="center"/>
            <w:hideMark/>
          </w:tcPr>
          <w:p w14:paraId="107BDB1B" w14:textId="77777777" w:rsidR="0034322D" w:rsidRDefault="0034322D" w:rsidP="00931169">
            <w:pPr>
              <w:rPr>
                <w:b/>
                <w:sz w:val="20"/>
                <w:szCs w:val="20"/>
              </w:rPr>
            </w:pPr>
            <w:r>
              <w:rPr>
                <w:b/>
                <w:bCs/>
                <w:sz w:val="20"/>
                <w:szCs w:val="20"/>
              </w:rPr>
              <w:t>Migrácie</w:t>
            </w:r>
          </w:p>
        </w:tc>
      </w:tr>
      <w:tr w:rsidR="0034322D" w14:paraId="2641811C"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36777588" w14:textId="77777777" w:rsidR="0034322D" w:rsidRDefault="0034322D" w:rsidP="00931169">
            <w:pPr>
              <w:rPr>
                <w:sz w:val="20"/>
                <w:szCs w:val="20"/>
              </w:rPr>
            </w:pPr>
            <w:r>
              <w:rPr>
                <w:sz w:val="20"/>
                <w:szCs w:val="20"/>
              </w:rPr>
              <w:t>medveď hnedý (</w:t>
            </w:r>
            <w:r>
              <w:rPr>
                <w:i/>
                <w:iCs/>
                <w:sz w:val="20"/>
                <w:szCs w:val="20"/>
              </w:rPr>
              <w:t>Ursus arctos</w:t>
            </w:r>
            <w:r>
              <w:rPr>
                <w:sz w:val="20"/>
                <w:szCs w:val="20"/>
              </w:rPr>
              <w:t>)</w:t>
            </w:r>
          </w:p>
        </w:tc>
        <w:tc>
          <w:tcPr>
            <w:tcW w:w="5760" w:type="dxa"/>
            <w:tcBorders>
              <w:top w:val="single" w:sz="4" w:space="0" w:color="auto"/>
              <w:left w:val="single" w:sz="4" w:space="0" w:color="auto"/>
              <w:bottom w:val="single" w:sz="4" w:space="0" w:color="auto"/>
              <w:right w:val="single" w:sz="4" w:space="0" w:color="auto"/>
            </w:tcBorders>
            <w:vAlign w:val="center"/>
            <w:hideMark/>
          </w:tcPr>
          <w:p w14:paraId="1FE4C40A" w14:textId="77777777" w:rsidR="0034322D" w:rsidRDefault="0034322D" w:rsidP="00931169">
            <w:pPr>
              <w:rPr>
                <w:sz w:val="20"/>
                <w:szCs w:val="20"/>
              </w:rPr>
            </w:pPr>
            <w:r>
              <w:rPr>
                <w:sz w:val="20"/>
                <w:szCs w:val="20"/>
              </w:rPr>
              <w:t>Migrácia na veľké vzdialenosti</w:t>
            </w:r>
          </w:p>
        </w:tc>
      </w:tr>
      <w:tr w:rsidR="0034322D" w14:paraId="7286D581"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3A02E1F8" w14:textId="77777777" w:rsidR="0034322D" w:rsidRDefault="0034322D" w:rsidP="00931169">
            <w:pPr>
              <w:rPr>
                <w:sz w:val="20"/>
                <w:szCs w:val="20"/>
              </w:rPr>
            </w:pPr>
            <w:r>
              <w:rPr>
                <w:sz w:val="20"/>
                <w:szCs w:val="20"/>
              </w:rPr>
              <w:t xml:space="preserve">jazvec lesný </w:t>
            </w:r>
            <w:r>
              <w:rPr>
                <w:i/>
                <w:iCs/>
                <w:sz w:val="20"/>
                <w:szCs w:val="20"/>
              </w:rPr>
              <w:t>(Meles meles)</w:t>
            </w:r>
          </w:p>
        </w:tc>
        <w:tc>
          <w:tcPr>
            <w:tcW w:w="5760" w:type="dxa"/>
            <w:tcBorders>
              <w:top w:val="single" w:sz="4" w:space="0" w:color="auto"/>
              <w:left w:val="single" w:sz="4" w:space="0" w:color="auto"/>
              <w:bottom w:val="single" w:sz="4" w:space="0" w:color="auto"/>
              <w:right w:val="single" w:sz="4" w:space="0" w:color="auto"/>
            </w:tcBorders>
            <w:vAlign w:val="center"/>
            <w:hideMark/>
          </w:tcPr>
          <w:p w14:paraId="1BA3B5EC" w14:textId="77777777" w:rsidR="0034322D" w:rsidRDefault="0034322D" w:rsidP="00931169">
            <w:pPr>
              <w:rPr>
                <w:sz w:val="20"/>
                <w:szCs w:val="20"/>
              </w:rPr>
            </w:pPr>
            <w:r>
              <w:rPr>
                <w:sz w:val="20"/>
                <w:szCs w:val="20"/>
              </w:rPr>
              <w:t>Teritoriálny druh, migrácie mladých jedincov</w:t>
            </w:r>
          </w:p>
        </w:tc>
      </w:tr>
      <w:tr w:rsidR="0034322D" w14:paraId="42AF0F51"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39B9AD99" w14:textId="77777777" w:rsidR="0034322D" w:rsidRDefault="0034322D" w:rsidP="00931169">
            <w:pPr>
              <w:rPr>
                <w:sz w:val="20"/>
                <w:szCs w:val="20"/>
              </w:rPr>
            </w:pPr>
            <w:r>
              <w:rPr>
                <w:sz w:val="20"/>
                <w:szCs w:val="20"/>
              </w:rPr>
              <w:t xml:space="preserve">vydra riečna </w:t>
            </w:r>
            <w:r>
              <w:rPr>
                <w:i/>
                <w:iCs/>
                <w:sz w:val="20"/>
                <w:szCs w:val="20"/>
              </w:rPr>
              <w:t>(Lutra lutra)</w:t>
            </w:r>
          </w:p>
        </w:tc>
        <w:tc>
          <w:tcPr>
            <w:tcW w:w="5760" w:type="dxa"/>
            <w:tcBorders>
              <w:top w:val="single" w:sz="4" w:space="0" w:color="auto"/>
              <w:left w:val="single" w:sz="4" w:space="0" w:color="auto"/>
              <w:bottom w:val="single" w:sz="4" w:space="0" w:color="auto"/>
              <w:right w:val="single" w:sz="4" w:space="0" w:color="auto"/>
            </w:tcBorders>
            <w:vAlign w:val="center"/>
            <w:hideMark/>
          </w:tcPr>
          <w:p w14:paraId="2345AA9D" w14:textId="77777777" w:rsidR="0034322D" w:rsidRDefault="0034322D" w:rsidP="00931169">
            <w:pPr>
              <w:rPr>
                <w:sz w:val="20"/>
                <w:szCs w:val="20"/>
              </w:rPr>
            </w:pPr>
            <w:r>
              <w:rPr>
                <w:sz w:val="20"/>
                <w:szCs w:val="20"/>
              </w:rPr>
              <w:t>Denné presuny až 30 km, ďaleké migrácie samcov, prevláda väzba na vodné toky</w:t>
            </w:r>
          </w:p>
        </w:tc>
      </w:tr>
      <w:tr w:rsidR="0034322D" w14:paraId="58AA250D"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50EB7ECD" w14:textId="77777777" w:rsidR="0034322D" w:rsidRDefault="0034322D" w:rsidP="00931169">
            <w:pPr>
              <w:rPr>
                <w:i/>
                <w:iCs/>
                <w:sz w:val="20"/>
                <w:szCs w:val="20"/>
              </w:rPr>
            </w:pPr>
            <w:r>
              <w:rPr>
                <w:sz w:val="20"/>
                <w:szCs w:val="20"/>
              </w:rPr>
              <w:t xml:space="preserve">líška hrdzavá </w:t>
            </w:r>
            <w:r>
              <w:rPr>
                <w:i/>
                <w:iCs/>
                <w:sz w:val="20"/>
                <w:szCs w:val="20"/>
              </w:rPr>
              <w:t>(Vulpes vulpes)</w:t>
            </w:r>
          </w:p>
        </w:tc>
        <w:tc>
          <w:tcPr>
            <w:tcW w:w="5760" w:type="dxa"/>
            <w:tcBorders>
              <w:top w:val="single" w:sz="4" w:space="0" w:color="auto"/>
              <w:left w:val="single" w:sz="4" w:space="0" w:color="auto"/>
              <w:bottom w:val="single" w:sz="4" w:space="0" w:color="auto"/>
              <w:right w:val="single" w:sz="4" w:space="0" w:color="auto"/>
            </w:tcBorders>
            <w:vAlign w:val="center"/>
            <w:hideMark/>
          </w:tcPr>
          <w:p w14:paraId="756C5948" w14:textId="77777777" w:rsidR="0034322D" w:rsidRDefault="0034322D" w:rsidP="00931169">
            <w:pPr>
              <w:rPr>
                <w:sz w:val="20"/>
                <w:szCs w:val="20"/>
              </w:rPr>
            </w:pPr>
            <w:r>
              <w:rPr>
                <w:sz w:val="20"/>
                <w:szCs w:val="20"/>
              </w:rPr>
              <w:t>Teritoriálny druh, migrácie mladých jedincov do 15 km</w:t>
            </w:r>
          </w:p>
        </w:tc>
      </w:tr>
      <w:tr w:rsidR="0034322D" w14:paraId="0BC1F1B4"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125C5458" w14:textId="77777777" w:rsidR="0034322D" w:rsidRDefault="0034322D" w:rsidP="00931169">
            <w:pPr>
              <w:rPr>
                <w:sz w:val="20"/>
                <w:szCs w:val="20"/>
              </w:rPr>
            </w:pPr>
            <w:r>
              <w:rPr>
                <w:sz w:val="20"/>
                <w:szCs w:val="20"/>
              </w:rPr>
              <w:t xml:space="preserve">vlk dravý </w:t>
            </w:r>
            <w:r>
              <w:rPr>
                <w:i/>
                <w:iCs/>
                <w:sz w:val="20"/>
                <w:szCs w:val="20"/>
              </w:rPr>
              <w:t>(Canis lupus)</w:t>
            </w:r>
          </w:p>
        </w:tc>
        <w:tc>
          <w:tcPr>
            <w:tcW w:w="5760" w:type="dxa"/>
            <w:tcBorders>
              <w:top w:val="single" w:sz="4" w:space="0" w:color="auto"/>
              <w:left w:val="single" w:sz="4" w:space="0" w:color="auto"/>
              <w:bottom w:val="single" w:sz="4" w:space="0" w:color="auto"/>
              <w:right w:val="single" w:sz="4" w:space="0" w:color="auto"/>
            </w:tcBorders>
            <w:vAlign w:val="center"/>
            <w:hideMark/>
          </w:tcPr>
          <w:p w14:paraId="7B1C67AA" w14:textId="77777777" w:rsidR="0034322D" w:rsidRDefault="0034322D" w:rsidP="00931169">
            <w:pPr>
              <w:rPr>
                <w:sz w:val="20"/>
                <w:szCs w:val="20"/>
              </w:rPr>
            </w:pPr>
            <w:r>
              <w:rPr>
                <w:sz w:val="20"/>
                <w:szCs w:val="20"/>
              </w:rPr>
              <w:t>Pohyblivý druh, 60 km/24 hod., migrácie až stovky km</w:t>
            </w:r>
          </w:p>
        </w:tc>
      </w:tr>
      <w:tr w:rsidR="0034322D" w14:paraId="698C90C3"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2A622D21" w14:textId="77777777" w:rsidR="0034322D" w:rsidRDefault="0034322D" w:rsidP="00931169">
            <w:pPr>
              <w:rPr>
                <w:i/>
                <w:iCs/>
                <w:sz w:val="20"/>
                <w:szCs w:val="20"/>
              </w:rPr>
            </w:pPr>
            <w:r>
              <w:rPr>
                <w:sz w:val="20"/>
                <w:szCs w:val="20"/>
              </w:rPr>
              <w:t xml:space="preserve">rys ostrovid </w:t>
            </w:r>
            <w:r>
              <w:rPr>
                <w:i/>
                <w:iCs/>
                <w:sz w:val="20"/>
                <w:szCs w:val="20"/>
              </w:rPr>
              <w:t>(Lynx lynx)</w:t>
            </w:r>
          </w:p>
        </w:tc>
        <w:tc>
          <w:tcPr>
            <w:tcW w:w="5760" w:type="dxa"/>
            <w:tcBorders>
              <w:top w:val="single" w:sz="4" w:space="0" w:color="auto"/>
              <w:left w:val="single" w:sz="4" w:space="0" w:color="auto"/>
              <w:bottom w:val="single" w:sz="4" w:space="0" w:color="auto"/>
              <w:right w:val="single" w:sz="4" w:space="0" w:color="auto"/>
            </w:tcBorders>
            <w:vAlign w:val="center"/>
            <w:hideMark/>
          </w:tcPr>
          <w:p w14:paraId="136A214F" w14:textId="77777777" w:rsidR="0034322D" w:rsidRDefault="0034322D" w:rsidP="00931169">
            <w:pPr>
              <w:rPr>
                <w:sz w:val="20"/>
                <w:szCs w:val="20"/>
              </w:rPr>
            </w:pPr>
            <w:r>
              <w:rPr>
                <w:sz w:val="20"/>
                <w:szCs w:val="20"/>
              </w:rPr>
              <w:t>Teritoriálny druh, ďaleké migrácie mladých jedincov</w:t>
            </w:r>
          </w:p>
        </w:tc>
      </w:tr>
      <w:tr w:rsidR="0034322D" w14:paraId="5BC6216F"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509A8A77" w14:textId="77777777" w:rsidR="0034322D" w:rsidRDefault="0034322D" w:rsidP="00931169">
            <w:pPr>
              <w:pStyle w:val="normlnytext"/>
              <w:spacing w:before="0"/>
              <w:rPr>
                <w:rFonts w:ascii="Times New Roman" w:hAnsi="Times New Roman"/>
                <w:sz w:val="20"/>
                <w:szCs w:val="20"/>
              </w:rPr>
            </w:pPr>
            <w:r>
              <w:rPr>
                <w:rFonts w:ascii="Times New Roman" w:hAnsi="Times New Roman"/>
                <w:sz w:val="20"/>
                <w:szCs w:val="20"/>
              </w:rPr>
              <w:t>mačka divá (</w:t>
            </w:r>
            <w:r>
              <w:rPr>
                <w:rFonts w:ascii="Times New Roman" w:hAnsi="Times New Roman"/>
                <w:i/>
                <w:iCs/>
                <w:sz w:val="20"/>
                <w:szCs w:val="20"/>
              </w:rPr>
              <w:t>Felis silvestris</w:t>
            </w:r>
            <w:r>
              <w:rPr>
                <w:rFonts w:ascii="Times New Roman" w:hAnsi="Times New Roman"/>
                <w:sz w:val="20"/>
                <w:szCs w:val="20"/>
              </w:rPr>
              <w:t>)</w:t>
            </w:r>
          </w:p>
        </w:tc>
        <w:tc>
          <w:tcPr>
            <w:tcW w:w="5760" w:type="dxa"/>
            <w:tcBorders>
              <w:top w:val="single" w:sz="4" w:space="0" w:color="auto"/>
              <w:left w:val="single" w:sz="4" w:space="0" w:color="auto"/>
              <w:bottom w:val="single" w:sz="4" w:space="0" w:color="auto"/>
              <w:right w:val="single" w:sz="4" w:space="0" w:color="auto"/>
            </w:tcBorders>
            <w:vAlign w:val="center"/>
            <w:hideMark/>
          </w:tcPr>
          <w:p w14:paraId="53BEDA36" w14:textId="77777777" w:rsidR="0034322D" w:rsidRDefault="0034322D" w:rsidP="00931169">
            <w:pPr>
              <w:rPr>
                <w:sz w:val="20"/>
                <w:szCs w:val="20"/>
              </w:rPr>
            </w:pPr>
            <w:r>
              <w:rPr>
                <w:sz w:val="20"/>
                <w:szCs w:val="20"/>
              </w:rPr>
              <w:t>Výrazne teritoriálny druh, veľmi malá migračná schopnosť</w:t>
            </w:r>
          </w:p>
        </w:tc>
      </w:tr>
      <w:tr w:rsidR="0034322D" w14:paraId="4921DF69"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5AFD74AB" w14:textId="77777777" w:rsidR="0034322D" w:rsidRDefault="0034322D" w:rsidP="00931169">
            <w:pPr>
              <w:rPr>
                <w:sz w:val="20"/>
                <w:szCs w:val="20"/>
              </w:rPr>
            </w:pPr>
            <w:r>
              <w:rPr>
                <w:sz w:val="20"/>
                <w:szCs w:val="20"/>
              </w:rPr>
              <w:t>diviak lesný (</w:t>
            </w:r>
            <w:r>
              <w:rPr>
                <w:i/>
                <w:iCs/>
                <w:sz w:val="20"/>
                <w:szCs w:val="20"/>
              </w:rPr>
              <w:t>Sus scrofa</w:t>
            </w:r>
            <w:r>
              <w:rPr>
                <w:sz w:val="20"/>
                <w:szCs w:val="20"/>
              </w:rPr>
              <w:t>)</w:t>
            </w:r>
          </w:p>
        </w:tc>
        <w:tc>
          <w:tcPr>
            <w:tcW w:w="5760" w:type="dxa"/>
            <w:tcBorders>
              <w:top w:val="single" w:sz="4" w:space="0" w:color="auto"/>
              <w:left w:val="single" w:sz="4" w:space="0" w:color="auto"/>
              <w:bottom w:val="single" w:sz="4" w:space="0" w:color="auto"/>
              <w:right w:val="single" w:sz="4" w:space="0" w:color="auto"/>
            </w:tcBorders>
            <w:vAlign w:val="center"/>
            <w:hideMark/>
          </w:tcPr>
          <w:p w14:paraId="487199B0" w14:textId="77777777" w:rsidR="0034322D" w:rsidRDefault="0034322D" w:rsidP="00931169">
            <w:pPr>
              <w:rPr>
                <w:sz w:val="20"/>
                <w:szCs w:val="20"/>
              </w:rPr>
            </w:pPr>
            <w:r>
              <w:rPr>
                <w:sz w:val="20"/>
                <w:szCs w:val="20"/>
              </w:rPr>
              <w:t>Pohyblivý druh, až 40 km/24 hod, dlhé migrácie nekoordinované migrácie</w:t>
            </w:r>
          </w:p>
        </w:tc>
      </w:tr>
      <w:tr w:rsidR="0034322D" w14:paraId="4B944A80"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33849D41" w14:textId="77777777" w:rsidR="0034322D" w:rsidRDefault="0034322D" w:rsidP="00931169">
            <w:pPr>
              <w:rPr>
                <w:sz w:val="20"/>
                <w:szCs w:val="20"/>
              </w:rPr>
            </w:pPr>
            <w:r>
              <w:rPr>
                <w:sz w:val="20"/>
                <w:szCs w:val="20"/>
              </w:rPr>
              <w:t>srnec hôrny (</w:t>
            </w:r>
            <w:r>
              <w:rPr>
                <w:i/>
                <w:iCs/>
                <w:sz w:val="20"/>
                <w:szCs w:val="20"/>
              </w:rPr>
              <w:t>Capreolus capreolus</w:t>
            </w:r>
            <w:r>
              <w:rPr>
                <w:sz w:val="20"/>
                <w:szCs w:val="20"/>
              </w:rPr>
              <w:t>)</w:t>
            </w:r>
          </w:p>
        </w:tc>
        <w:tc>
          <w:tcPr>
            <w:tcW w:w="5760" w:type="dxa"/>
            <w:tcBorders>
              <w:top w:val="single" w:sz="4" w:space="0" w:color="auto"/>
              <w:left w:val="single" w:sz="4" w:space="0" w:color="auto"/>
              <w:bottom w:val="single" w:sz="4" w:space="0" w:color="auto"/>
              <w:right w:val="single" w:sz="4" w:space="0" w:color="auto"/>
            </w:tcBorders>
            <w:vAlign w:val="center"/>
            <w:hideMark/>
          </w:tcPr>
          <w:p w14:paraId="0191A5DA" w14:textId="77777777" w:rsidR="0034322D" w:rsidRDefault="0034322D" w:rsidP="00931169">
            <w:pPr>
              <w:rPr>
                <w:sz w:val="20"/>
                <w:szCs w:val="20"/>
              </w:rPr>
            </w:pPr>
            <w:r>
              <w:rPr>
                <w:sz w:val="20"/>
                <w:szCs w:val="20"/>
              </w:rPr>
              <w:t>V lete teritoriálny druh, v zime migruje za potravou</w:t>
            </w:r>
          </w:p>
        </w:tc>
      </w:tr>
      <w:tr w:rsidR="0034322D" w14:paraId="073B5830"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12FAF415" w14:textId="77777777" w:rsidR="0034322D" w:rsidRDefault="0034322D" w:rsidP="00931169">
            <w:pPr>
              <w:rPr>
                <w:sz w:val="20"/>
                <w:szCs w:val="20"/>
              </w:rPr>
            </w:pPr>
            <w:r>
              <w:rPr>
                <w:sz w:val="20"/>
                <w:szCs w:val="20"/>
              </w:rPr>
              <w:t>jeleň lesný (</w:t>
            </w:r>
            <w:r>
              <w:rPr>
                <w:i/>
                <w:iCs/>
                <w:sz w:val="20"/>
                <w:szCs w:val="20"/>
              </w:rPr>
              <w:t>Cervus elaphus</w:t>
            </w:r>
            <w:r>
              <w:rPr>
                <w:sz w:val="20"/>
                <w:szCs w:val="20"/>
              </w:rPr>
              <w:t>)</w:t>
            </w:r>
          </w:p>
        </w:tc>
        <w:tc>
          <w:tcPr>
            <w:tcW w:w="5760" w:type="dxa"/>
            <w:tcBorders>
              <w:top w:val="single" w:sz="4" w:space="0" w:color="auto"/>
              <w:left w:val="single" w:sz="4" w:space="0" w:color="auto"/>
              <w:bottom w:val="single" w:sz="4" w:space="0" w:color="auto"/>
              <w:right w:val="single" w:sz="4" w:space="0" w:color="auto"/>
            </w:tcBorders>
            <w:vAlign w:val="center"/>
            <w:hideMark/>
          </w:tcPr>
          <w:p w14:paraId="407297EE" w14:textId="77777777" w:rsidR="0034322D" w:rsidRDefault="0034322D" w:rsidP="00931169">
            <w:pPr>
              <w:rPr>
                <w:sz w:val="20"/>
                <w:szCs w:val="20"/>
              </w:rPr>
            </w:pPr>
            <w:r>
              <w:rPr>
                <w:sz w:val="20"/>
                <w:szCs w:val="20"/>
              </w:rPr>
              <w:t>Pravidelné migrácie - za potravou a na ruju, dlhé disperzné migrácie</w:t>
            </w:r>
          </w:p>
        </w:tc>
      </w:tr>
      <w:tr w:rsidR="0034322D" w14:paraId="4BEF7CD7" w14:textId="77777777" w:rsidTr="0034322D">
        <w:trPr>
          <w:trHeight w:val="397"/>
        </w:trPr>
        <w:tc>
          <w:tcPr>
            <w:tcW w:w="3708" w:type="dxa"/>
            <w:tcBorders>
              <w:top w:val="single" w:sz="4" w:space="0" w:color="auto"/>
              <w:left w:val="single" w:sz="4" w:space="0" w:color="auto"/>
              <w:bottom w:val="single" w:sz="4" w:space="0" w:color="auto"/>
              <w:right w:val="single" w:sz="4" w:space="0" w:color="auto"/>
            </w:tcBorders>
            <w:vAlign w:val="center"/>
            <w:hideMark/>
          </w:tcPr>
          <w:p w14:paraId="0AB2CAEF" w14:textId="77777777" w:rsidR="0034322D" w:rsidRDefault="0034322D" w:rsidP="00931169">
            <w:pPr>
              <w:rPr>
                <w:sz w:val="20"/>
                <w:szCs w:val="20"/>
              </w:rPr>
            </w:pPr>
            <w:r>
              <w:rPr>
                <w:sz w:val="20"/>
                <w:szCs w:val="20"/>
              </w:rPr>
              <w:t>los mokraďový (</w:t>
            </w:r>
            <w:r>
              <w:rPr>
                <w:i/>
                <w:iCs/>
                <w:sz w:val="20"/>
                <w:szCs w:val="20"/>
              </w:rPr>
              <w:t>Alces alces</w:t>
            </w:r>
            <w:r>
              <w:rPr>
                <w:sz w:val="20"/>
                <w:szCs w:val="20"/>
              </w:rPr>
              <w:t>)</w:t>
            </w:r>
          </w:p>
        </w:tc>
        <w:tc>
          <w:tcPr>
            <w:tcW w:w="5760" w:type="dxa"/>
            <w:tcBorders>
              <w:top w:val="single" w:sz="4" w:space="0" w:color="auto"/>
              <w:left w:val="single" w:sz="4" w:space="0" w:color="auto"/>
              <w:bottom w:val="single" w:sz="4" w:space="0" w:color="auto"/>
              <w:right w:val="single" w:sz="4" w:space="0" w:color="auto"/>
            </w:tcBorders>
            <w:vAlign w:val="center"/>
            <w:hideMark/>
          </w:tcPr>
          <w:p w14:paraId="081FEDB9" w14:textId="77777777" w:rsidR="0034322D" w:rsidRDefault="0034322D" w:rsidP="00931169">
            <w:pPr>
              <w:rPr>
                <w:sz w:val="20"/>
                <w:szCs w:val="20"/>
              </w:rPr>
            </w:pPr>
            <w:r>
              <w:rPr>
                <w:sz w:val="20"/>
                <w:szCs w:val="20"/>
              </w:rPr>
              <w:t>Často nerešpektuje teritória, jedinci podnikajú ďaleké migrácie</w:t>
            </w:r>
          </w:p>
        </w:tc>
      </w:tr>
    </w:tbl>
    <w:p w14:paraId="3D952B82" w14:textId="77777777" w:rsidR="0034322D" w:rsidRDefault="0034322D" w:rsidP="00931169">
      <w:pPr>
        <w:pStyle w:val="Zkladntext"/>
        <w:ind w:firstLine="708"/>
        <w:jc w:val="both"/>
        <w:rPr>
          <w:color w:val="FF0000"/>
        </w:rPr>
      </w:pPr>
    </w:p>
    <w:p w14:paraId="32BD00E8" w14:textId="77777777" w:rsidR="00921A5D" w:rsidRDefault="0034322D" w:rsidP="00931169">
      <w:pPr>
        <w:rPr>
          <w:lang w:eastAsia="ar-SA"/>
        </w:rPr>
      </w:pPr>
      <w:r>
        <w:rPr>
          <w:u w:val="single"/>
          <w:lang w:eastAsia="ar-SA"/>
        </w:rPr>
        <w:t>Navrhované opatrenia:</w:t>
      </w:r>
      <w:r>
        <w:rPr>
          <w:lang w:eastAsia="ar-SA"/>
        </w:rPr>
        <w:t xml:space="preserve"> </w:t>
      </w:r>
    </w:p>
    <w:p w14:paraId="1EB2E72E" w14:textId="59F54DF8" w:rsidR="0034322D" w:rsidRDefault="0034322D" w:rsidP="00931169">
      <w:pPr>
        <w:ind w:firstLine="708"/>
        <w:rPr>
          <w:lang w:eastAsia="ar-SA"/>
        </w:rPr>
      </w:pPr>
      <w:r>
        <w:rPr>
          <w:lang w:eastAsia="ar-SA"/>
        </w:rPr>
        <w:t>Na základe dostupnej literatúry a vykonaných hodnotení vplyvov na životné prostredie bol ako súčasť projektu navrhnutý nadchod pre zver, ktorý je situovaný medzi bývalou slovenskou colnicou so zastavaným okolím a Svrčinovcom, kde železnica prechádza nezastavaným úsekom. Túto trasu je nutné dať do súladu s novonavrhovanou rýchlostnou cestou – aby nový žel. koridor aj rýchlost. cesta rešpektovali migračný priestor.</w:t>
      </w:r>
    </w:p>
    <w:p w14:paraId="505B9817" w14:textId="77777777" w:rsidR="0034322D" w:rsidRDefault="0034322D" w:rsidP="00931169">
      <w:pPr>
        <w:ind w:firstLine="708"/>
        <w:rPr>
          <w:lang w:eastAsia="ar-SA"/>
        </w:rPr>
      </w:pPr>
      <w:r>
        <w:rPr>
          <w:lang w:eastAsia="ar-SA"/>
        </w:rPr>
        <w:t xml:space="preserve">Železničná trať je v tomto úseku vedená v záreze, čo uľahčuje realizáciu nadchodu pre zver, úsek je nezastavaný, navrhovaná rýchlostná komunikácia R5 v konečnej podobe (mimoúrovňová, 4-prúdová) je v tomto úseku vedená na 12m vysokom moste. Táto lokalita bola ako migračný biokoridor identifikovaná už pri posudzovaní vplyvov stavby R5, kde sa riešilo jeho spriechodnenie. </w:t>
      </w:r>
    </w:p>
    <w:p w14:paraId="64E69607" w14:textId="77777777" w:rsidR="0034322D" w:rsidRDefault="0034322D" w:rsidP="00931169">
      <w:pPr>
        <w:ind w:firstLine="708"/>
        <w:rPr>
          <w:lang w:eastAsia="ar-SA"/>
        </w:rPr>
      </w:pPr>
      <w:r>
        <w:rPr>
          <w:lang w:eastAsia="ar-SA"/>
        </w:rPr>
        <w:t>Šírka nadchodov (najmä ekologických mostov) závisí od cieľových druhov migrujúcich živočíchov a ukazuje sa ako kritickou hodnotou pre skutočné využívanie živočíchmi na migráciu. Vzhľadom na druhy, pre ktorých je potrebné úsek spriechodniť sme ako optimálnu šírku nadchodu určili šírku 80 m v strede mosta.</w:t>
      </w:r>
    </w:p>
    <w:p w14:paraId="7D16650E" w14:textId="77777777" w:rsidR="0034322D" w:rsidRDefault="0034322D" w:rsidP="00931169">
      <w:pPr>
        <w:ind w:firstLine="708"/>
        <w:rPr>
          <w:lang w:eastAsia="ar-SA"/>
        </w:rPr>
      </w:pPr>
      <w:r>
        <w:rPr>
          <w:lang w:eastAsia="ar-SA"/>
        </w:rPr>
        <w:t xml:space="preserve">Návrh navádzacieho plotenia a umiestnenia nadchodu pre zver je potrebné prerokovať so Štátnou ochranou prírody a v prípade potreby navrhnúť navádzacie oplotenie. </w:t>
      </w:r>
    </w:p>
    <w:p w14:paraId="5F2FB41C" w14:textId="77777777" w:rsidR="0034322D" w:rsidRDefault="0034322D" w:rsidP="00931169">
      <w:pPr>
        <w:ind w:firstLine="708"/>
        <w:rPr>
          <w:lang w:eastAsia="ar-SA"/>
        </w:rPr>
      </w:pPr>
      <w:r>
        <w:rPr>
          <w:lang w:eastAsia="ar-SA"/>
        </w:rPr>
        <w:t>Najvýznamnejším vplyvom na flóru bude najmä priama likvidácia vegetácie v priebehu výstavby, prašnosť prostredia vyvolaná realizáciou zemných prác a emisie produkované ťažkými mechanizmami. Rozsah zásahu v úsekoch vedenia žel. trate v pôvodnom telese bude minimalizovaný, bude sa týkať len úzkeho pásu v okolí žel. trate potrebného na presun mechanizmov.</w:t>
      </w:r>
    </w:p>
    <w:p w14:paraId="441D70E9" w14:textId="13DFEB94" w:rsidR="0034322D" w:rsidRPr="00F4315B" w:rsidRDefault="00F4315B" w:rsidP="00931169">
      <w:pPr>
        <w:pStyle w:val="Nadpis2"/>
        <w:rPr>
          <w:rFonts w:cstheme="minorHAnsi"/>
          <w:color w:val="00B050"/>
          <w:sz w:val="28"/>
          <w:szCs w:val="28"/>
        </w:rPr>
      </w:pPr>
      <w:bookmarkStart w:id="187" w:name="_Toc24660457"/>
      <w:bookmarkStart w:id="188" w:name="_Toc24661469"/>
      <w:bookmarkStart w:id="189" w:name="_Toc88652956"/>
      <w:r>
        <w:rPr>
          <w:rFonts w:cstheme="minorHAnsi"/>
          <w:color w:val="00B050"/>
          <w:sz w:val="28"/>
          <w:szCs w:val="28"/>
        </w:rPr>
        <w:t xml:space="preserve">5.4 </w:t>
      </w:r>
      <w:r w:rsidR="0034322D" w:rsidRPr="00F4315B">
        <w:rPr>
          <w:rFonts w:cstheme="minorHAnsi"/>
          <w:color w:val="00B050"/>
          <w:sz w:val="28"/>
          <w:szCs w:val="28"/>
        </w:rPr>
        <w:t>Vplyvy na pôdu</w:t>
      </w:r>
      <w:bookmarkEnd w:id="186"/>
      <w:r w:rsidR="0034322D" w:rsidRPr="00F4315B">
        <w:rPr>
          <w:rFonts w:cstheme="minorHAnsi"/>
          <w:color w:val="00B050"/>
          <w:sz w:val="28"/>
          <w:szCs w:val="28"/>
        </w:rPr>
        <w:t xml:space="preserve"> a horninové prostredie</w:t>
      </w:r>
      <w:bookmarkEnd w:id="187"/>
      <w:bookmarkEnd w:id="188"/>
      <w:bookmarkEnd w:id="189"/>
    </w:p>
    <w:p w14:paraId="38817336" w14:textId="77777777" w:rsidR="0034322D" w:rsidRDefault="0034322D" w:rsidP="00931169">
      <w:pPr>
        <w:ind w:firstLine="708"/>
        <w:rPr>
          <w:rFonts w:cstheme="minorHAnsi"/>
          <w:color w:val="FF0000"/>
        </w:rPr>
      </w:pPr>
      <w:r>
        <w:t>Hlavným vplyvov realizácie stavby na pôdu a horninové prostredie bude záber pôdy a významné zásahy do horninového podložia spôsobené zmenou smerového vedenia trate a výstavbou zárubných a oporných múrov.</w:t>
      </w:r>
    </w:p>
    <w:p w14:paraId="592DACEB" w14:textId="77777777" w:rsidR="0034322D" w:rsidRDefault="0034322D" w:rsidP="00931169">
      <w:pPr>
        <w:rPr>
          <w:rFonts w:cstheme="minorHAnsi"/>
          <w:color w:val="FF0000"/>
        </w:rPr>
      </w:pPr>
    </w:p>
    <w:p w14:paraId="484F8617" w14:textId="77777777" w:rsidR="0034322D" w:rsidRDefault="0034322D" w:rsidP="00931169">
      <w:pPr>
        <w:ind w:firstLine="708"/>
      </w:pPr>
      <w:r>
        <w:t xml:space="preserve">V predmetnom území prevladajú flyšoidné horniny, ktoré podliehajú pomerne rýchlo erózii a sú typické akumuláciou deluviálnych sedimentov s vysokým obsahom ílovitej zložky. Kombinácia flyšu s vysokými zrážkami a vhodným reliéfom vytvára priaznivé podmienky pre zosuvy, ktoré sú typické aj pre túto oblasť. </w:t>
      </w:r>
    </w:p>
    <w:p w14:paraId="2DD80E94" w14:textId="77777777" w:rsidR="0034322D" w:rsidRDefault="0034322D" w:rsidP="00931169"/>
    <w:p w14:paraId="54B3FEA9" w14:textId="25E87BE9" w:rsidR="0034322D" w:rsidRDefault="0034322D" w:rsidP="00931169">
      <w:pPr>
        <w:ind w:firstLine="708"/>
      </w:pPr>
      <w:r>
        <w:t xml:space="preserve">V 1. etape novonavrhovaný tunel variantu </w:t>
      </w:r>
      <w:r w:rsidR="00AF0540">
        <w:t>B</w:t>
      </w:r>
      <w:r>
        <w:t xml:space="preserve"> zasahuje do plochy aktívneho zosuvu. Súčasťou technického návrhu sú aj sanácie dvoch zosuvov v 3. etape, ktoré sa dotknú všetkých navrhovaných variantov.</w:t>
      </w:r>
    </w:p>
    <w:p w14:paraId="183D6A65" w14:textId="77777777" w:rsidR="0034322D" w:rsidRPr="00AF0540" w:rsidRDefault="0034322D" w:rsidP="00931169">
      <w:pPr>
        <w:rPr>
          <w:u w:val="single"/>
        </w:rPr>
      </w:pPr>
      <w:r>
        <w:t xml:space="preserve"> </w:t>
      </w:r>
    </w:p>
    <w:p w14:paraId="480C3C88" w14:textId="77777777" w:rsidR="00AF0540" w:rsidRDefault="0034322D" w:rsidP="00931169">
      <w:r w:rsidRPr="00AF0540">
        <w:rPr>
          <w:u w:val="single"/>
        </w:rPr>
        <w:t>Navrhované opatrenia:</w:t>
      </w:r>
      <w:r>
        <w:t xml:space="preserve"> </w:t>
      </w:r>
    </w:p>
    <w:p w14:paraId="072765BC" w14:textId="4358E77B" w:rsidR="0034322D" w:rsidRDefault="00AF0540" w:rsidP="00931169">
      <w:r>
        <w:t>V</w:t>
      </w:r>
      <w:r w:rsidR="0034322D">
        <w:t>ykonanie podrobného inžiniersko-geologického prieskumu</w:t>
      </w:r>
    </w:p>
    <w:p w14:paraId="0D7683E3" w14:textId="77777777" w:rsidR="0034322D" w:rsidRDefault="0034322D" w:rsidP="00931169">
      <w:pPr>
        <w:rPr>
          <w:rFonts w:cstheme="minorHAnsi"/>
          <w:color w:val="FF0000"/>
        </w:rPr>
      </w:pPr>
    </w:p>
    <w:p w14:paraId="16AE63D9" w14:textId="3616042A" w:rsidR="0034322D" w:rsidRPr="00F4315B" w:rsidRDefault="00F4315B" w:rsidP="00931169">
      <w:pPr>
        <w:pStyle w:val="Nadpis2"/>
        <w:rPr>
          <w:rFonts w:cstheme="minorHAnsi"/>
          <w:color w:val="00B050"/>
          <w:sz w:val="28"/>
          <w:szCs w:val="28"/>
        </w:rPr>
      </w:pPr>
      <w:bookmarkStart w:id="190" w:name="_Toc536095760"/>
      <w:bookmarkStart w:id="191" w:name="_Toc24660458"/>
      <w:bookmarkStart w:id="192" w:name="_Toc24661470"/>
      <w:bookmarkStart w:id="193" w:name="_Toc88652957"/>
      <w:r>
        <w:rPr>
          <w:rFonts w:cstheme="minorHAnsi"/>
          <w:color w:val="00B050"/>
          <w:sz w:val="28"/>
          <w:szCs w:val="28"/>
        </w:rPr>
        <w:lastRenderedPageBreak/>
        <w:t xml:space="preserve">5.5 </w:t>
      </w:r>
      <w:r w:rsidR="0034322D" w:rsidRPr="00F4315B">
        <w:rPr>
          <w:rFonts w:cstheme="minorHAnsi"/>
          <w:color w:val="00B050"/>
          <w:sz w:val="28"/>
          <w:szCs w:val="28"/>
        </w:rPr>
        <w:t>Vplyvy na podzemné a povrchové vody</w:t>
      </w:r>
      <w:bookmarkEnd w:id="190"/>
      <w:bookmarkEnd w:id="191"/>
      <w:bookmarkEnd w:id="192"/>
      <w:bookmarkEnd w:id="193"/>
    </w:p>
    <w:p w14:paraId="3B394124" w14:textId="77777777" w:rsidR="0034322D" w:rsidRPr="00F4315B" w:rsidRDefault="0034322D" w:rsidP="00931169">
      <w:pPr>
        <w:pStyle w:val="Nadpis2"/>
        <w:rPr>
          <w:rFonts w:cstheme="minorHAnsi"/>
        </w:rPr>
      </w:pPr>
      <w:bookmarkStart w:id="194" w:name="_Toc536095761"/>
      <w:bookmarkStart w:id="195" w:name="_Toc24660459"/>
      <w:bookmarkStart w:id="196" w:name="_Toc24661471"/>
      <w:bookmarkStart w:id="197" w:name="_Toc88652958"/>
      <w:r w:rsidRPr="00F4315B">
        <w:rPr>
          <w:rFonts w:cstheme="minorHAnsi"/>
        </w:rPr>
        <w:t>Vplyvy na povrchové vody</w:t>
      </w:r>
      <w:bookmarkEnd w:id="194"/>
      <w:bookmarkEnd w:id="195"/>
      <w:bookmarkEnd w:id="196"/>
      <w:bookmarkEnd w:id="197"/>
    </w:p>
    <w:p w14:paraId="1E84DC98" w14:textId="1E53DFA6" w:rsidR="0034322D" w:rsidRDefault="0034322D" w:rsidP="00931169">
      <w:pPr>
        <w:ind w:firstLine="708"/>
        <w:rPr>
          <w:rFonts w:cstheme="minorHAnsi"/>
        </w:rPr>
      </w:pPr>
      <w:r>
        <w:rPr>
          <w:rFonts w:cstheme="minorHAnsi"/>
        </w:rPr>
        <w:t xml:space="preserve">K najvýznamnejšiemu zásahu do povrchových tokov dôjde pri realizácii všetkých variantov v etape 1, kde dochádza k úprave koryta rieky Kysuca. K mierne väčším zásahom dôjde pri realizácii variantu </w:t>
      </w:r>
      <w:r w:rsidR="00AF0540">
        <w:rPr>
          <w:rFonts w:cstheme="minorHAnsi"/>
        </w:rPr>
        <w:t>B</w:t>
      </w:r>
      <w:r>
        <w:rPr>
          <w:rFonts w:cstheme="minorHAnsi"/>
        </w:rPr>
        <w:t>.</w:t>
      </w:r>
    </w:p>
    <w:p w14:paraId="6A0F76E0" w14:textId="77777777" w:rsidR="0034322D" w:rsidRDefault="0034322D" w:rsidP="00931169">
      <w:pPr>
        <w:spacing w:before="100" w:beforeAutospacing="1"/>
        <w:ind w:firstLine="708"/>
        <w:rPr>
          <w:rFonts w:cstheme="minorHAnsi"/>
        </w:rPr>
      </w:pPr>
      <w:r>
        <w:rPr>
          <w:rFonts w:cstheme="minorHAnsi"/>
        </w:rPr>
        <w:t>Počas výstavby sa ako najväčšie riziko znečistenia povrchovej vody javí možnosť havárie mechanizmov, pri ktorej by došlo k úniku látok znečisťujúcich vodu. Pre elimináciu tohto rizika je potrebné vypracovanie plánu havarijných opatrení. Počas realizácie zemných prác môže krátkodobo dochádzať k zanášaniu vodných korýt.</w:t>
      </w:r>
    </w:p>
    <w:p w14:paraId="2A81ACEA" w14:textId="77777777" w:rsidR="00AF0540" w:rsidRDefault="00AF0540" w:rsidP="00931169">
      <w:pPr>
        <w:ind w:firstLine="708"/>
        <w:rPr>
          <w:rFonts w:cstheme="minorHAnsi"/>
        </w:rPr>
      </w:pPr>
    </w:p>
    <w:p w14:paraId="6E507066" w14:textId="12B7A6AB" w:rsidR="0034322D" w:rsidRDefault="0034322D" w:rsidP="00931169">
      <w:pPr>
        <w:ind w:firstLine="708"/>
        <w:rPr>
          <w:rFonts w:cstheme="minorHAnsi"/>
        </w:rPr>
      </w:pPr>
      <w:r>
        <w:rPr>
          <w:rFonts w:cstheme="minorHAnsi"/>
        </w:rPr>
        <w:t>Novým environmentálnejším prístupom, kedy sa mazanie výhybiek olejmi nahrádza alternatívnymi odbúrateľnými prostriedkami, sa eliminuje aj riziko vyplavovania mazacích olejov do povrchových tokov.</w:t>
      </w:r>
    </w:p>
    <w:p w14:paraId="1EF4F104" w14:textId="77777777" w:rsidR="0034322D" w:rsidRDefault="0034322D" w:rsidP="00931169">
      <w:pPr>
        <w:rPr>
          <w:rFonts w:cstheme="minorHAnsi"/>
        </w:rPr>
      </w:pPr>
    </w:p>
    <w:p w14:paraId="35CEF8F3" w14:textId="77777777" w:rsidR="0034322D" w:rsidRDefault="0034322D" w:rsidP="00931169">
      <w:pPr>
        <w:ind w:firstLine="708"/>
        <w:rPr>
          <w:rFonts w:cstheme="minorHAnsi"/>
        </w:rPr>
      </w:pPr>
      <w:r>
        <w:rPr>
          <w:rFonts w:cstheme="minorHAnsi"/>
        </w:rPr>
        <w:t>Pozitívnou a žiadanou zmenou je zmena spôsobu odvádzania dažďových vôd z koľajiska v žel. stanici Čadca. V súčasnosti je zrážková voda v objeme 257 tis. m</w:t>
      </w:r>
      <w:r w:rsidRPr="00AF0540">
        <w:rPr>
          <w:rFonts w:cstheme="minorHAnsi"/>
          <w:vertAlign w:val="superscript"/>
        </w:rPr>
        <w:t>3</w:t>
      </w:r>
      <w:r>
        <w:rPr>
          <w:rFonts w:cstheme="minorHAnsi"/>
        </w:rPr>
        <w:t xml:space="preserve"> ročne odvádzaná do kanalizačnej siete, čo predstavuje finančne náročný, zastaraný a prekonaný neenvironmentálny prístup. </w:t>
      </w:r>
    </w:p>
    <w:p w14:paraId="0399D87F" w14:textId="77777777" w:rsidR="00AF0540" w:rsidRDefault="00AF0540" w:rsidP="00931169">
      <w:pPr>
        <w:rPr>
          <w:rFonts w:cstheme="minorHAnsi"/>
        </w:rPr>
      </w:pPr>
    </w:p>
    <w:p w14:paraId="60315B97" w14:textId="4BD348BA" w:rsidR="0034322D" w:rsidRPr="00AF0540" w:rsidRDefault="0034322D" w:rsidP="00931169">
      <w:pPr>
        <w:rPr>
          <w:rFonts w:cstheme="minorHAnsi"/>
          <w:u w:val="single"/>
        </w:rPr>
      </w:pPr>
      <w:r w:rsidRPr="00AF0540">
        <w:rPr>
          <w:rFonts w:cstheme="minorHAnsi"/>
          <w:u w:val="single"/>
        </w:rPr>
        <w:t xml:space="preserve">Navrhované opatrenie: </w:t>
      </w:r>
    </w:p>
    <w:p w14:paraId="60939D79" w14:textId="77777777" w:rsidR="0034322D" w:rsidRPr="00AF0540" w:rsidRDefault="0034322D" w:rsidP="00931169">
      <w:pPr>
        <w:pStyle w:val="Odsekzoznamu"/>
        <w:numPr>
          <w:ilvl w:val="0"/>
          <w:numId w:val="56"/>
        </w:numPr>
        <w:suppressAutoHyphens/>
        <w:spacing w:after="0" w:line="256" w:lineRule="auto"/>
        <w:ind w:left="714" w:hanging="357"/>
        <w:contextualSpacing w:val="0"/>
        <w:jc w:val="both"/>
        <w:rPr>
          <w:rFonts w:cstheme="minorHAnsi"/>
          <w:sz w:val="24"/>
        </w:rPr>
      </w:pPr>
      <w:r w:rsidRPr="00AF0540">
        <w:rPr>
          <w:rFonts w:cstheme="minorHAnsi"/>
          <w:sz w:val="24"/>
        </w:rPr>
        <w:t>nájsť alternatívny spôsob odvedenia zrážkových vôd, uprednostniť vsak pred odvedením do recipienta</w:t>
      </w:r>
    </w:p>
    <w:p w14:paraId="1A0D2132" w14:textId="77777777" w:rsidR="0034322D" w:rsidRPr="00AF0540" w:rsidRDefault="0034322D" w:rsidP="00931169">
      <w:pPr>
        <w:pStyle w:val="Odsekzoznamu"/>
        <w:numPr>
          <w:ilvl w:val="0"/>
          <w:numId w:val="56"/>
        </w:numPr>
        <w:suppressAutoHyphens/>
        <w:spacing w:after="0" w:line="256" w:lineRule="auto"/>
        <w:ind w:left="714" w:hanging="357"/>
        <w:contextualSpacing w:val="0"/>
        <w:jc w:val="both"/>
        <w:rPr>
          <w:rFonts w:cstheme="minorHAnsi"/>
          <w:sz w:val="24"/>
        </w:rPr>
      </w:pPr>
      <w:r w:rsidRPr="00AF0540">
        <w:rPr>
          <w:rFonts w:cstheme="minorHAnsi"/>
          <w:sz w:val="24"/>
        </w:rPr>
        <w:t xml:space="preserve">vypracovanie plánu havarijných opatrení </w:t>
      </w:r>
    </w:p>
    <w:p w14:paraId="04BF46C5" w14:textId="77777777" w:rsidR="0034322D" w:rsidRDefault="0034322D" w:rsidP="00931169">
      <w:pPr>
        <w:rPr>
          <w:rFonts w:cstheme="minorHAnsi"/>
          <w:color w:val="FF0000"/>
        </w:rPr>
      </w:pPr>
    </w:p>
    <w:p w14:paraId="390AB19C" w14:textId="77777777" w:rsidR="0034322D" w:rsidRPr="00F4315B" w:rsidRDefault="0034322D" w:rsidP="00931169">
      <w:pPr>
        <w:pStyle w:val="Nadpis2"/>
        <w:rPr>
          <w:rFonts w:cstheme="minorHAnsi"/>
        </w:rPr>
      </w:pPr>
      <w:bookmarkStart w:id="198" w:name="_Toc536095762"/>
      <w:bookmarkStart w:id="199" w:name="_Toc24660460"/>
      <w:bookmarkStart w:id="200" w:name="_Toc24661472"/>
      <w:bookmarkStart w:id="201" w:name="_Toc88652959"/>
      <w:r w:rsidRPr="00F4315B">
        <w:rPr>
          <w:rFonts w:cstheme="minorHAnsi"/>
        </w:rPr>
        <w:t>Vplyvy na podzemné vody</w:t>
      </w:r>
      <w:bookmarkEnd w:id="198"/>
      <w:bookmarkEnd w:id="199"/>
      <w:bookmarkEnd w:id="200"/>
      <w:bookmarkEnd w:id="201"/>
    </w:p>
    <w:p w14:paraId="6A4C706E" w14:textId="77777777" w:rsidR="0034322D" w:rsidRDefault="0034322D" w:rsidP="00931169">
      <w:pPr>
        <w:ind w:firstLine="708"/>
        <w:rPr>
          <w:rFonts w:cstheme="minorHAnsi"/>
        </w:rPr>
      </w:pPr>
      <w:r>
        <w:rPr>
          <w:rFonts w:cstheme="minorHAnsi"/>
        </w:rPr>
        <w:t xml:space="preserve">V hodnotenom území sa nachádzajú dve pásma hygienickej ochrany. K priamemu zásahu dochádza len v prípade PHO II. stupňa pri Krásne nad Kysucou. </w:t>
      </w:r>
    </w:p>
    <w:p w14:paraId="11822619" w14:textId="1F827783" w:rsidR="0034322D" w:rsidRDefault="0034322D" w:rsidP="00931169">
      <w:pPr>
        <w:rPr>
          <w:rFonts w:cstheme="minorHAnsi"/>
        </w:rPr>
      </w:pPr>
      <w:r>
        <w:rPr>
          <w:rFonts w:cstheme="minorHAnsi"/>
        </w:rPr>
        <w:t xml:space="preserve">Ku križovaniu pásma hygienickej ochrany 2. stupňa v úseku dlhom cca 3,5 km dochádza v prípade variantu </w:t>
      </w:r>
      <w:r w:rsidR="00AF0540">
        <w:rPr>
          <w:rFonts w:cstheme="minorHAnsi"/>
        </w:rPr>
        <w:t>C</w:t>
      </w:r>
      <w:r>
        <w:rPr>
          <w:rFonts w:cstheme="minorHAnsi"/>
        </w:rPr>
        <w:t xml:space="preserve">, avšak jedná sa o existujúcu žel. trať a preto nepredpokladáme negatívny vplyv na kvalitu vôd – stav zostane v porovnaním so súčasným stavom nezmenený. </w:t>
      </w:r>
    </w:p>
    <w:p w14:paraId="1DE7091F" w14:textId="77777777" w:rsidR="00AF0540" w:rsidRDefault="00AF0540" w:rsidP="00931169">
      <w:pPr>
        <w:rPr>
          <w:rFonts w:cstheme="minorHAnsi"/>
        </w:rPr>
      </w:pPr>
    </w:p>
    <w:p w14:paraId="48FC4368" w14:textId="45A1C482" w:rsidR="0034322D" w:rsidRDefault="0034322D" w:rsidP="00931169">
      <w:pPr>
        <w:ind w:firstLine="708"/>
        <w:rPr>
          <w:rFonts w:cstheme="minorHAnsi"/>
        </w:rPr>
      </w:pPr>
      <w:r>
        <w:rPr>
          <w:rFonts w:cstheme="minorHAnsi"/>
        </w:rPr>
        <w:t xml:space="preserve">Za pozitívum variantu </w:t>
      </w:r>
      <w:r w:rsidR="00AF0540">
        <w:rPr>
          <w:rFonts w:cstheme="minorHAnsi"/>
        </w:rPr>
        <w:t>B</w:t>
      </w:r>
      <w:r>
        <w:rPr>
          <w:rFonts w:cstheme="minorHAnsi"/>
        </w:rPr>
        <w:t xml:space="preserve"> a teda odstránenie prevádzky na pôvodnej trati v tomto úseku možno považovať elimináciu potenciálneho nebezpečenstva ohrozenia kvality vôd spôsobenej haváriou nákladného vlaku prevážajúceho látky znečisťujúce vodné prostredie. </w:t>
      </w:r>
    </w:p>
    <w:p w14:paraId="10B2BAB6" w14:textId="77777777" w:rsidR="0034322D" w:rsidRDefault="0034322D" w:rsidP="00931169">
      <w:pPr>
        <w:ind w:firstLine="708"/>
        <w:rPr>
          <w:rFonts w:cstheme="minorHAnsi"/>
        </w:rPr>
      </w:pPr>
      <w:r>
        <w:rPr>
          <w:rFonts w:cstheme="minorHAnsi"/>
        </w:rPr>
        <w:t>K zásahu do chránenej vodohospodárskej oblasti dôjde v prípade realizácie všetkých troch variantov, nakoľko celé hodnotené územie sa nachádza v CHVO Beskydy a Javorníky.</w:t>
      </w:r>
    </w:p>
    <w:p w14:paraId="33B187FF" w14:textId="77777777" w:rsidR="0034322D" w:rsidRDefault="0034322D" w:rsidP="00931169">
      <w:pPr>
        <w:ind w:firstLine="708"/>
        <w:rPr>
          <w:rFonts w:cstheme="minorHAnsi"/>
        </w:rPr>
      </w:pPr>
      <w:r>
        <w:rPr>
          <w:rFonts w:cstheme="minorHAnsi"/>
        </w:rPr>
        <w:lastRenderedPageBreak/>
        <w:t>V chránenej vodohospodárskej oblasti možno plánovať a vykonávať činnosť len ak sa zabezpečí všestranná ochrana povrchových a podzemných vôd a ochrana podmienok tvorby, výskytu, prirodzenej akumulácie vôd a obnovy ich zásob.</w:t>
      </w:r>
    </w:p>
    <w:p w14:paraId="3CBB1E19" w14:textId="77777777" w:rsidR="0034322D" w:rsidRDefault="0034322D" w:rsidP="00931169">
      <w:pPr>
        <w:ind w:firstLine="708"/>
        <w:rPr>
          <w:rFonts w:cstheme="minorHAnsi"/>
        </w:rPr>
      </w:pPr>
      <w:r>
        <w:rPr>
          <w:rFonts w:cstheme="minorHAnsi"/>
        </w:rPr>
        <w:t>V súčasnosti dochádza k znečisťovaniu podložia olejmi, ktoré sú používané na mazanie výhybiek. Následne dochádza k ich priesaku do podzemných vôd, resp. k vyplavovaniu olejov do povrchových tokov. V prípadne realizácie hodnotenej činnosti je používanie škodlivých olejov nahradené vhodnejšími metódami. V rámci modernizácie železničnej trate je kĺzavosť výhybiek riešená pomocou tzv. valčekových kĺznych stoličiek resp. mazaním ekologicky odbúrateľnými prípravkami, alebo prípravkami na báze grafitov.</w:t>
      </w:r>
    </w:p>
    <w:p w14:paraId="717E8477" w14:textId="77777777" w:rsidR="0034322D" w:rsidRDefault="0034322D" w:rsidP="00931169">
      <w:pPr>
        <w:ind w:firstLine="708"/>
        <w:rPr>
          <w:rFonts w:cstheme="minorHAnsi"/>
        </w:rPr>
      </w:pPr>
      <w:r>
        <w:rPr>
          <w:rFonts w:cstheme="minorHAnsi"/>
        </w:rPr>
        <w:t>Používaním týchto modernizovaných prístupov pri prevádzkovaní železničnej trate preto očakávame zlepšenie súčasného stavu z pohľadu dopadu na podzemné vody ako aj na povrchové toky.</w:t>
      </w:r>
    </w:p>
    <w:p w14:paraId="1DACABD7" w14:textId="77777777" w:rsidR="0034322D" w:rsidRDefault="0034322D" w:rsidP="00931169">
      <w:pPr>
        <w:ind w:firstLine="708"/>
        <w:rPr>
          <w:rFonts w:cstheme="minorHAnsi"/>
        </w:rPr>
      </w:pPr>
      <w:r>
        <w:rPr>
          <w:rFonts w:cstheme="minorHAnsi"/>
        </w:rPr>
        <w:t xml:space="preserve">Počas výstavby sa najväčším rizikom pre znečistenie podzemnej vody javí možnosť havárie mechanizmov, pri ktorom by došlo k úniku látok znečisťujúcich vodu. Pre elimináciu tohto rizika je potrebné vypracovanie plánu havarijných opatrení. </w:t>
      </w:r>
    </w:p>
    <w:p w14:paraId="04490C15" w14:textId="77777777" w:rsidR="0034322D" w:rsidRDefault="0034322D" w:rsidP="00931169">
      <w:pPr>
        <w:pStyle w:val="Nadpis2"/>
        <w:rPr>
          <w:rFonts w:cstheme="minorHAnsi"/>
        </w:rPr>
      </w:pPr>
      <w:bookmarkStart w:id="202" w:name="_Toc536095763"/>
      <w:bookmarkStart w:id="203" w:name="_Toc24660461"/>
      <w:bookmarkStart w:id="204" w:name="_Toc24661473"/>
      <w:bookmarkStart w:id="205" w:name="_Toc88652960"/>
      <w:r w:rsidRPr="00F4315B">
        <w:rPr>
          <w:rFonts w:cstheme="minorHAnsi"/>
        </w:rPr>
        <w:t>Vplyvy na hlukové pomery</w:t>
      </w:r>
      <w:bookmarkEnd w:id="202"/>
      <w:bookmarkEnd w:id="203"/>
      <w:bookmarkEnd w:id="204"/>
      <w:bookmarkEnd w:id="205"/>
    </w:p>
    <w:p w14:paraId="01614538" w14:textId="77777777" w:rsidR="0034322D" w:rsidRDefault="0034322D" w:rsidP="00931169">
      <w:pPr>
        <w:ind w:firstLine="708"/>
        <w:rPr>
          <w:rFonts w:cstheme="minorHAnsi"/>
        </w:rPr>
      </w:pPr>
      <w:r>
        <w:rPr>
          <w:rFonts w:cstheme="minorHAnsi"/>
        </w:rPr>
        <w:t xml:space="preserve">Z pohľadu vplyvov na obyvateľstvo je najvýznamnejším environmentálnym vplyvom hluková záťaž obyvateľstva.  </w:t>
      </w:r>
    </w:p>
    <w:p w14:paraId="0BA922AE" w14:textId="77777777" w:rsidR="0034322D" w:rsidRDefault="0034322D" w:rsidP="00931169">
      <w:pPr>
        <w:rPr>
          <w:rFonts w:cstheme="minorHAnsi"/>
        </w:rPr>
      </w:pPr>
      <w:r>
        <w:rPr>
          <w:rFonts w:cstheme="minorHAnsi"/>
        </w:rPr>
        <w:t>Dotknuté je široké okolie železničnej trate, ktoré je zasiahnuté emisiami hluku. Modernizáciou technickej infraštruktúry a aplikáciou moderných technológií dôjde k zníženiu hluku priamo na zdroji.</w:t>
      </w:r>
    </w:p>
    <w:p w14:paraId="72A41C90" w14:textId="1E1B4CA8" w:rsidR="0034322D" w:rsidRDefault="0034322D" w:rsidP="00931169">
      <w:pPr>
        <w:ind w:firstLine="708"/>
        <w:rPr>
          <w:rFonts w:cstheme="minorHAnsi"/>
        </w:rPr>
      </w:pPr>
      <w:r>
        <w:rPr>
          <w:rFonts w:cstheme="minorHAnsi"/>
          <w:b/>
        </w:rPr>
        <w:t xml:space="preserve">Najvýznamnejšie zlepšenie akustickej situácie je najmä preloženie trate do tunela vo variante </w:t>
      </w:r>
      <w:r w:rsidR="00AF0540">
        <w:rPr>
          <w:rFonts w:cstheme="minorHAnsi"/>
          <w:b/>
        </w:rPr>
        <w:t>B</w:t>
      </w:r>
      <w:r>
        <w:rPr>
          <w:rFonts w:cstheme="minorHAnsi"/>
        </w:rPr>
        <w:t xml:space="preserve"> v I. etape, čím dôjde k úplnej eliminácii zdroja hluku a k zlepšeniu pomerov najmä v časti Čadce Horelica, Veščarovci a južnej časti Oščadnice.  </w:t>
      </w:r>
    </w:p>
    <w:p w14:paraId="3F696B8F" w14:textId="77777777" w:rsidR="00AF0540" w:rsidRDefault="00AF0540" w:rsidP="00931169">
      <w:pPr>
        <w:ind w:firstLine="708"/>
        <w:rPr>
          <w:rFonts w:cstheme="minorHAnsi"/>
        </w:rPr>
      </w:pPr>
    </w:p>
    <w:p w14:paraId="15C177FF" w14:textId="3A252E2E" w:rsidR="00AF0540" w:rsidRPr="00AF0540" w:rsidRDefault="0034322D" w:rsidP="00931169">
      <w:pPr>
        <w:ind w:firstLine="708"/>
        <w:rPr>
          <w:rFonts w:cstheme="minorHAnsi"/>
          <w:u w:val="single"/>
        </w:rPr>
      </w:pPr>
      <w:r w:rsidRPr="00AF0540">
        <w:rPr>
          <w:rFonts w:cstheme="minorHAnsi"/>
          <w:u w:val="single"/>
        </w:rPr>
        <w:t xml:space="preserve">Navrhované opatrenia: </w:t>
      </w:r>
    </w:p>
    <w:p w14:paraId="1CE8C43A" w14:textId="7FDE85B3" w:rsidR="0034322D" w:rsidRDefault="00AF0540" w:rsidP="00931169">
      <w:pPr>
        <w:ind w:firstLine="708"/>
        <w:rPr>
          <w:rFonts w:cstheme="minorHAnsi"/>
        </w:rPr>
      </w:pPr>
      <w:r>
        <w:rPr>
          <w:rFonts w:cstheme="minorHAnsi"/>
        </w:rPr>
        <w:t>V</w:t>
      </w:r>
      <w:r w:rsidR="0034322D">
        <w:rPr>
          <w:rFonts w:cstheme="minorHAnsi"/>
        </w:rPr>
        <w:t> ďalších stupňoch projektu bude potrebné vypracovať predikciu hlukovej záťaže a v úsekoch, kde modernizácia a obnova infraštruktúry nebude postačovať pre dosiahnutie hygienických limitov, bude potrebné navrhnúť ďalšie opatrenia (protihlukové steny a pod.).</w:t>
      </w:r>
    </w:p>
    <w:p w14:paraId="7A86D8D7" w14:textId="77777777" w:rsidR="00E51179" w:rsidRPr="00E51179" w:rsidRDefault="00E51179" w:rsidP="00931169"/>
    <w:p w14:paraId="7B3E74B3" w14:textId="77777777" w:rsidR="00E51179" w:rsidRDefault="00E51179" w:rsidP="00931169">
      <w:pPr>
        <w:pStyle w:val="Nadpis2"/>
        <w:rPr>
          <w:rFonts w:cstheme="minorHAnsi"/>
          <w:b w:val="0"/>
          <w:bCs w:val="0"/>
          <w:color w:val="00B050"/>
          <w:sz w:val="28"/>
          <w:szCs w:val="28"/>
        </w:rPr>
      </w:pPr>
      <w:r>
        <w:rPr>
          <w:rFonts w:cstheme="minorHAnsi"/>
        </w:rPr>
        <w:br w:type="page"/>
      </w:r>
    </w:p>
    <w:p w14:paraId="5BD6B4F0" w14:textId="2DB886EB" w:rsidR="00E03380" w:rsidRPr="00930B46" w:rsidRDefault="0034322D" w:rsidP="00931169">
      <w:pPr>
        <w:pStyle w:val="Nadpis1"/>
        <w:rPr>
          <w:rFonts w:cstheme="minorHAnsi"/>
        </w:rPr>
      </w:pPr>
      <w:bookmarkStart w:id="206" w:name="_Toc88652961"/>
      <w:r>
        <w:rPr>
          <w:rFonts w:cstheme="minorHAnsi"/>
        </w:rPr>
        <w:lastRenderedPageBreak/>
        <w:t>6</w:t>
      </w:r>
      <w:r w:rsidR="00142DEB" w:rsidRPr="00930B46">
        <w:rPr>
          <w:rFonts w:cstheme="minorHAnsi"/>
        </w:rPr>
        <w:t>.</w:t>
      </w:r>
      <w:r w:rsidR="00142DEB" w:rsidRPr="00930B46">
        <w:rPr>
          <w:rFonts w:cstheme="minorHAnsi"/>
        </w:rPr>
        <w:tab/>
      </w:r>
      <w:r w:rsidR="00142DEB" w:rsidRPr="00371DF9">
        <w:rPr>
          <w:rFonts w:cstheme="minorHAnsi"/>
          <w:caps/>
        </w:rPr>
        <w:t>Dopravný model</w:t>
      </w:r>
      <w:bookmarkEnd w:id="206"/>
    </w:p>
    <w:p w14:paraId="56E84848" w14:textId="37C698F7" w:rsidR="00E03380" w:rsidRPr="00FE7FAB" w:rsidRDefault="0034322D" w:rsidP="00FE7FAB">
      <w:pPr>
        <w:pStyle w:val="Nadpis2"/>
        <w:rPr>
          <w:rFonts w:cstheme="minorHAnsi"/>
          <w:color w:val="00B050"/>
          <w:sz w:val="28"/>
          <w:szCs w:val="28"/>
        </w:rPr>
      </w:pPr>
      <w:bookmarkStart w:id="207" w:name="_Toc88652962"/>
      <w:r w:rsidRPr="00FE7FAB">
        <w:rPr>
          <w:rFonts w:cstheme="minorHAnsi"/>
          <w:color w:val="00B050"/>
          <w:sz w:val="28"/>
          <w:szCs w:val="28"/>
        </w:rPr>
        <w:t>6</w:t>
      </w:r>
      <w:r w:rsidR="00FE79AB" w:rsidRPr="00FE7FAB">
        <w:rPr>
          <w:rFonts w:cstheme="minorHAnsi"/>
          <w:color w:val="00B050"/>
          <w:sz w:val="28"/>
          <w:szCs w:val="28"/>
        </w:rPr>
        <w:t xml:space="preserve">.1 </w:t>
      </w:r>
      <w:r w:rsidR="00E03380" w:rsidRPr="00FE7FAB">
        <w:rPr>
          <w:rFonts w:cstheme="minorHAnsi"/>
          <w:color w:val="00B050"/>
          <w:sz w:val="28"/>
          <w:szCs w:val="28"/>
        </w:rPr>
        <w:t>Dopravné modelovanie osobnej dopravy pre úsek Žilina – Čadca – štátna hranica SR/ČR</w:t>
      </w:r>
      <w:bookmarkEnd w:id="207"/>
    </w:p>
    <w:p w14:paraId="5FED732E" w14:textId="77777777" w:rsidR="009C48E2" w:rsidRPr="00797CC4" w:rsidRDefault="009C48E2" w:rsidP="00931169">
      <w:pPr>
        <w:rPr>
          <w:rFonts w:ascii="Times New Roman" w:hAnsi="Times New Roman" w:cs="Times New Roman"/>
          <w:b/>
          <w:i/>
          <w:szCs w:val="24"/>
        </w:rPr>
      </w:pPr>
      <w:r w:rsidRPr="00797CC4">
        <w:rPr>
          <w:rFonts w:ascii="Times New Roman" w:hAnsi="Times New Roman" w:cs="Times New Roman"/>
          <w:b/>
          <w:i/>
          <w:szCs w:val="24"/>
        </w:rPr>
        <w:t>Úvod</w:t>
      </w:r>
    </w:p>
    <w:p w14:paraId="2829DDFB" w14:textId="77777777" w:rsidR="00E03380" w:rsidRPr="00930B46" w:rsidRDefault="00E03380" w:rsidP="00931169">
      <w:pPr>
        <w:rPr>
          <w:rFonts w:cstheme="minorHAnsi"/>
          <w:b/>
          <w:i/>
          <w:szCs w:val="24"/>
        </w:rPr>
      </w:pPr>
    </w:p>
    <w:p w14:paraId="083042DE" w14:textId="77777777" w:rsidR="009C48E2" w:rsidRPr="00B533B0" w:rsidRDefault="009C48E2" w:rsidP="00931169">
      <w:pPr>
        <w:rPr>
          <w:sz w:val="22"/>
          <w:szCs w:val="24"/>
        </w:rPr>
      </w:pPr>
      <w:r w:rsidRPr="00B533B0">
        <w:rPr>
          <w:sz w:val="22"/>
          <w:szCs w:val="24"/>
        </w:rPr>
        <w:t>Dopravné modelovanie osobnej dopravy pre úsek Žilina – Čadca je spracované podľa príručky Passanger Demand Forecastin Handbook.  Príručka Passanger Demand Forecasting Handbook sumarizuje viac ako dvadsať rokov výskumu prognózovania železničného dopytu a poskytuje usmernenie o aspektoch, ako sú vplyvy kvality služieb, cestovného a externých faktorov na dopyt po železnici</w:t>
      </w:r>
    </w:p>
    <w:p w14:paraId="2FDA3682" w14:textId="77777777" w:rsidR="009C48E2" w:rsidRPr="00B533B0" w:rsidRDefault="009C48E2" w:rsidP="00931169">
      <w:pPr>
        <w:rPr>
          <w:sz w:val="22"/>
          <w:szCs w:val="24"/>
        </w:rPr>
      </w:pPr>
    </w:p>
    <w:p w14:paraId="3E81FD37" w14:textId="6D8203D7" w:rsidR="009C48E2" w:rsidRPr="00B533B0" w:rsidRDefault="009C48E2" w:rsidP="00931169">
      <w:pPr>
        <w:rPr>
          <w:sz w:val="22"/>
          <w:szCs w:val="24"/>
        </w:rPr>
      </w:pPr>
      <w:r w:rsidRPr="00B533B0">
        <w:rPr>
          <w:sz w:val="22"/>
          <w:szCs w:val="24"/>
        </w:rPr>
        <w:t>Príručka poskytuje návod na uplatňovanie tohto porozumenia pri príprave prognóz pre:</w:t>
      </w:r>
    </w:p>
    <w:p w14:paraId="1BDBF429" w14:textId="77777777" w:rsidR="009C48E2" w:rsidRPr="00B533B0" w:rsidRDefault="009C48E2" w:rsidP="00931169">
      <w:pPr>
        <w:pStyle w:val="Odsekzoznamu"/>
        <w:numPr>
          <w:ilvl w:val="0"/>
          <w:numId w:val="5"/>
        </w:numPr>
        <w:spacing w:before="120" w:after="0"/>
        <w:jc w:val="both"/>
        <w:rPr>
          <w:szCs w:val="24"/>
        </w:rPr>
      </w:pPr>
      <w:r w:rsidRPr="00B533B0">
        <w:rPr>
          <w:szCs w:val="24"/>
        </w:rPr>
        <w:t>posudzovanie investícií;</w:t>
      </w:r>
    </w:p>
    <w:p w14:paraId="60327FD1" w14:textId="77777777" w:rsidR="009C48E2" w:rsidRPr="00B533B0" w:rsidRDefault="009C48E2" w:rsidP="00931169">
      <w:pPr>
        <w:pStyle w:val="Odsekzoznamu"/>
        <w:numPr>
          <w:ilvl w:val="0"/>
          <w:numId w:val="5"/>
        </w:numPr>
        <w:spacing w:before="120" w:after="0"/>
        <w:jc w:val="both"/>
        <w:rPr>
          <w:szCs w:val="24"/>
        </w:rPr>
      </w:pPr>
      <w:r w:rsidRPr="00B533B0">
        <w:rPr>
          <w:szCs w:val="24"/>
        </w:rPr>
        <w:t>cenové rozhodnutia;</w:t>
      </w:r>
    </w:p>
    <w:p w14:paraId="0C5E543D" w14:textId="77777777" w:rsidR="009C48E2" w:rsidRPr="00B533B0" w:rsidRDefault="009C48E2" w:rsidP="00931169">
      <w:pPr>
        <w:pStyle w:val="Odsekzoznamu"/>
        <w:numPr>
          <w:ilvl w:val="0"/>
          <w:numId w:val="5"/>
        </w:numPr>
        <w:spacing w:before="120" w:after="0"/>
        <w:jc w:val="both"/>
        <w:rPr>
          <w:szCs w:val="24"/>
        </w:rPr>
      </w:pPr>
      <w:r w:rsidRPr="00B533B0">
        <w:rPr>
          <w:szCs w:val="24"/>
        </w:rPr>
        <w:t>rozhodovanie o čase a prevádzkových rozhodnutiach;</w:t>
      </w:r>
    </w:p>
    <w:p w14:paraId="19D25D70" w14:textId="77777777" w:rsidR="009C48E2" w:rsidRPr="008812ED" w:rsidRDefault="009C48E2" w:rsidP="00931169">
      <w:pPr>
        <w:pStyle w:val="Odsekzoznamu"/>
        <w:numPr>
          <w:ilvl w:val="0"/>
          <w:numId w:val="5"/>
        </w:numPr>
        <w:spacing w:before="120" w:after="0"/>
        <w:jc w:val="both"/>
        <w:rPr>
          <w:szCs w:val="24"/>
        </w:rPr>
      </w:pPr>
      <w:r w:rsidRPr="00B533B0">
        <w:rPr>
          <w:szCs w:val="24"/>
        </w:rPr>
        <w:t>obchodné plánovanie a rozpočtovanie</w:t>
      </w:r>
      <w:r w:rsidRPr="008812ED">
        <w:rPr>
          <w:szCs w:val="24"/>
        </w:rPr>
        <w:t>.</w:t>
      </w:r>
    </w:p>
    <w:p w14:paraId="36574AC9" w14:textId="77777777" w:rsidR="009C48E2" w:rsidRDefault="009C48E2" w:rsidP="00931169">
      <w:pPr>
        <w:pStyle w:val="Odsekzoznamu"/>
        <w:jc w:val="both"/>
        <w:rPr>
          <w:szCs w:val="24"/>
        </w:rPr>
      </w:pPr>
    </w:p>
    <w:p w14:paraId="4DDCC43B" w14:textId="77777777" w:rsidR="009C48E2" w:rsidRDefault="009C48E2" w:rsidP="00931169">
      <w:pPr>
        <w:pStyle w:val="Odsekzoznamu"/>
        <w:ind w:left="0"/>
        <w:jc w:val="both"/>
        <w:rPr>
          <w:szCs w:val="24"/>
        </w:rPr>
      </w:pPr>
      <w:r>
        <w:rPr>
          <w:szCs w:val="24"/>
        </w:rPr>
        <w:t xml:space="preserve">Národný dopravný model ministerstva dopravy, zahŕňa všetky druhy dopravy za celú krajinu a poskytuje platformu pre stanovenie rôznych možností dopravnej politiky. Preťaženia na určitých trasách, posudzovanie efektívnosti investície alebo problémy dopravy v mestských častiach sa riešia prostredníctvom miestnych modelov, ktoré obsahujú podrobné znázornenie dostupných trás,  možností a správania sa domácností, ktoré vykonávajú cesty v záujmovej oblasti a lokalít, ktoré zodpovedanú za cesty v záujmovej dopravnej sieti. V miestnom modeli však neposkytujú žiadnej vyjadrenie ciest mimo študijnú oblasť.  </w:t>
      </w:r>
    </w:p>
    <w:p w14:paraId="2960E2A7" w14:textId="77777777" w:rsidR="009C48E2" w:rsidRDefault="009C48E2" w:rsidP="00931169">
      <w:pPr>
        <w:pStyle w:val="Odsekzoznamu"/>
        <w:ind w:left="0"/>
        <w:jc w:val="both"/>
        <w:rPr>
          <w:szCs w:val="24"/>
        </w:rPr>
      </w:pPr>
    </w:p>
    <w:p w14:paraId="04E3E4A2" w14:textId="77777777" w:rsidR="009C48E2" w:rsidRDefault="009C48E2" w:rsidP="00931169">
      <w:pPr>
        <w:pStyle w:val="Odsekzoznamu"/>
        <w:ind w:left="0"/>
        <w:jc w:val="both"/>
        <w:rPr>
          <w:szCs w:val="24"/>
        </w:rPr>
      </w:pPr>
      <w:r>
        <w:rPr>
          <w:szCs w:val="24"/>
        </w:rPr>
        <w:t>Vypracovanie miestneho dopravného modelu a prognózovanie osobnej dopravy pre železničný úsek Žilina – Čadca št. hr. je za účelom:</w:t>
      </w:r>
    </w:p>
    <w:p w14:paraId="35C6C4AA" w14:textId="77777777" w:rsidR="009C48E2" w:rsidRDefault="009C48E2" w:rsidP="00931169">
      <w:pPr>
        <w:pStyle w:val="Odsekzoznamu"/>
        <w:numPr>
          <w:ilvl w:val="0"/>
          <w:numId w:val="6"/>
        </w:numPr>
        <w:spacing w:before="120" w:after="0"/>
        <w:jc w:val="both"/>
        <w:rPr>
          <w:szCs w:val="24"/>
        </w:rPr>
      </w:pPr>
      <w:r>
        <w:rPr>
          <w:szCs w:val="24"/>
        </w:rPr>
        <w:t>posúdenia investície z pohľadu prevádzkovateľa železničnej dopravnej cesty (ŽSR)</w:t>
      </w:r>
      <w:r w:rsidRPr="008812ED">
        <w:rPr>
          <w:szCs w:val="24"/>
        </w:rPr>
        <w:t>;</w:t>
      </w:r>
    </w:p>
    <w:p w14:paraId="25736EDF" w14:textId="77777777" w:rsidR="009C48E2" w:rsidRDefault="009C48E2" w:rsidP="00931169">
      <w:pPr>
        <w:pStyle w:val="Odsekzoznamu"/>
        <w:numPr>
          <w:ilvl w:val="0"/>
          <w:numId w:val="6"/>
        </w:numPr>
        <w:spacing w:before="120" w:after="0"/>
        <w:jc w:val="both"/>
        <w:rPr>
          <w:szCs w:val="24"/>
        </w:rPr>
      </w:pPr>
      <w:r>
        <w:rPr>
          <w:szCs w:val="24"/>
        </w:rPr>
        <w:t>posúdenia investície z celospoločenského pohľadu</w:t>
      </w:r>
      <w:r w:rsidRPr="008812ED">
        <w:rPr>
          <w:szCs w:val="24"/>
        </w:rPr>
        <w:t>;</w:t>
      </w:r>
    </w:p>
    <w:p w14:paraId="587134EE" w14:textId="77777777" w:rsidR="009C48E2" w:rsidRDefault="009C48E2" w:rsidP="00931169">
      <w:pPr>
        <w:pStyle w:val="Odsekzoznamu"/>
        <w:numPr>
          <w:ilvl w:val="0"/>
          <w:numId w:val="6"/>
        </w:numPr>
        <w:spacing w:before="120" w:after="0"/>
        <w:jc w:val="both"/>
        <w:rPr>
          <w:szCs w:val="24"/>
        </w:rPr>
      </w:pPr>
      <w:r>
        <w:rPr>
          <w:szCs w:val="24"/>
        </w:rPr>
        <w:t xml:space="preserve">a vybratia najvhodnejšieho investičného variantu modernizácie železničného úseku Krásno nad Kysucou (mimo) – Čadca št. hr. </w:t>
      </w:r>
    </w:p>
    <w:p w14:paraId="0A087916" w14:textId="77777777" w:rsidR="009C48E2" w:rsidRPr="00B533B0" w:rsidRDefault="009C48E2" w:rsidP="00931169">
      <w:pPr>
        <w:rPr>
          <w:sz w:val="22"/>
          <w:szCs w:val="24"/>
        </w:rPr>
      </w:pPr>
    </w:p>
    <w:p w14:paraId="021A06AE" w14:textId="77777777" w:rsidR="009C48E2" w:rsidRPr="00B533B0" w:rsidRDefault="009C48E2" w:rsidP="00931169">
      <w:pPr>
        <w:rPr>
          <w:sz w:val="22"/>
          <w:szCs w:val="24"/>
        </w:rPr>
      </w:pPr>
      <w:r w:rsidRPr="00B533B0">
        <w:rPr>
          <w:sz w:val="22"/>
          <w:szCs w:val="24"/>
        </w:rPr>
        <w:t>Predmetný železničný úsek sa skladá z dvoch významných častí:</w:t>
      </w:r>
    </w:p>
    <w:p w14:paraId="3B7EF1D7" w14:textId="77777777" w:rsidR="009C48E2" w:rsidRPr="00F263F5" w:rsidRDefault="009C48E2" w:rsidP="00931169">
      <w:pPr>
        <w:pStyle w:val="Odsekzoznamu"/>
        <w:numPr>
          <w:ilvl w:val="0"/>
          <w:numId w:val="7"/>
        </w:numPr>
        <w:spacing w:before="120" w:after="0"/>
        <w:jc w:val="both"/>
        <w:rPr>
          <w:szCs w:val="24"/>
        </w:rPr>
      </w:pPr>
      <w:r w:rsidRPr="00F263F5">
        <w:rPr>
          <w:szCs w:val="24"/>
        </w:rPr>
        <w:t>Žilina – Krásno nad Kysu</w:t>
      </w:r>
      <w:r>
        <w:rPr>
          <w:szCs w:val="24"/>
        </w:rPr>
        <w:t>cou, ktorá je už zmodernizovaná</w:t>
      </w:r>
      <w:r w:rsidRPr="009373C0">
        <w:rPr>
          <w:szCs w:val="24"/>
        </w:rPr>
        <w:t>;</w:t>
      </w:r>
    </w:p>
    <w:p w14:paraId="10109A88" w14:textId="77777777" w:rsidR="009C48E2" w:rsidRPr="00F263F5" w:rsidRDefault="009C48E2" w:rsidP="00931169">
      <w:pPr>
        <w:pStyle w:val="Odsekzoznamu"/>
        <w:numPr>
          <w:ilvl w:val="0"/>
          <w:numId w:val="7"/>
        </w:numPr>
        <w:spacing w:before="120" w:after="0"/>
        <w:jc w:val="both"/>
        <w:rPr>
          <w:szCs w:val="24"/>
        </w:rPr>
      </w:pPr>
      <w:r>
        <w:rPr>
          <w:szCs w:val="24"/>
        </w:rPr>
        <w:t xml:space="preserve">a </w:t>
      </w:r>
      <w:r w:rsidRPr="00F263F5">
        <w:rPr>
          <w:szCs w:val="24"/>
        </w:rPr>
        <w:t xml:space="preserve">Krásno nad Kysucou (mimo) – Čadca – štátna hranica SR/ČR. </w:t>
      </w:r>
    </w:p>
    <w:p w14:paraId="6804FA38" w14:textId="77777777" w:rsidR="009C48E2" w:rsidRPr="00B533B0" w:rsidRDefault="009C48E2" w:rsidP="00931169">
      <w:pPr>
        <w:rPr>
          <w:sz w:val="22"/>
          <w:szCs w:val="24"/>
        </w:rPr>
      </w:pPr>
    </w:p>
    <w:p w14:paraId="220013A2" w14:textId="77777777" w:rsidR="009C48E2" w:rsidRPr="00B533B0" w:rsidRDefault="009C48E2" w:rsidP="00931169">
      <w:pPr>
        <w:rPr>
          <w:sz w:val="22"/>
          <w:szCs w:val="24"/>
        </w:rPr>
      </w:pPr>
      <w:r w:rsidRPr="00B533B0">
        <w:rPr>
          <w:sz w:val="22"/>
          <w:szCs w:val="24"/>
        </w:rPr>
        <w:t>Z dôvodu ucelenosti prepravných prúdov a komplexného pohľadu na danú lokalitu je vypracovaný lokálny dopravný model pre železničnú trať Žilina – Čadca – štátna hranica SR/ČR.</w:t>
      </w:r>
    </w:p>
    <w:p w14:paraId="1823D337" w14:textId="77777777" w:rsidR="009C48E2" w:rsidRPr="00B533B0" w:rsidRDefault="009C48E2" w:rsidP="00931169">
      <w:pPr>
        <w:rPr>
          <w:sz w:val="22"/>
          <w:szCs w:val="24"/>
        </w:rPr>
      </w:pPr>
    </w:p>
    <w:p w14:paraId="77FDE6CB" w14:textId="32AFAA44" w:rsidR="009C48E2" w:rsidRPr="00B533B0" w:rsidRDefault="009C48E2" w:rsidP="00931169">
      <w:pPr>
        <w:rPr>
          <w:sz w:val="22"/>
          <w:szCs w:val="24"/>
        </w:rPr>
      </w:pPr>
      <w:r w:rsidRPr="00B533B0">
        <w:rPr>
          <w:sz w:val="22"/>
          <w:szCs w:val="24"/>
        </w:rPr>
        <w:t>Lokálny dopravný model je vypracovaný v troch variantoch:</w:t>
      </w:r>
    </w:p>
    <w:p w14:paraId="628BFBBF" w14:textId="77777777" w:rsidR="009C48E2" w:rsidRDefault="009C48E2" w:rsidP="00931169">
      <w:pPr>
        <w:pStyle w:val="Odsekzoznamu"/>
        <w:numPr>
          <w:ilvl w:val="0"/>
          <w:numId w:val="8"/>
        </w:numPr>
        <w:spacing w:before="120" w:after="0"/>
        <w:jc w:val="both"/>
        <w:rPr>
          <w:szCs w:val="24"/>
        </w:rPr>
      </w:pPr>
      <w:r>
        <w:rPr>
          <w:szCs w:val="24"/>
        </w:rPr>
        <w:lastRenderedPageBreak/>
        <w:t>minimálny variant (variant v pôvodnom železničnom telese)</w:t>
      </w:r>
      <w:r w:rsidRPr="009373C0">
        <w:rPr>
          <w:szCs w:val="24"/>
        </w:rPr>
        <w:t>;</w:t>
      </w:r>
    </w:p>
    <w:p w14:paraId="2F45ADEC" w14:textId="77777777" w:rsidR="009C48E2" w:rsidRPr="00420DD3" w:rsidRDefault="009C48E2" w:rsidP="00931169">
      <w:pPr>
        <w:pStyle w:val="Odsekzoznamu"/>
        <w:numPr>
          <w:ilvl w:val="0"/>
          <w:numId w:val="8"/>
        </w:numPr>
        <w:spacing w:before="120" w:after="0"/>
        <w:jc w:val="both"/>
        <w:rPr>
          <w:szCs w:val="24"/>
        </w:rPr>
      </w:pPr>
      <w:r>
        <w:rPr>
          <w:szCs w:val="24"/>
        </w:rPr>
        <w:t>základný variant (variant s cieľom dosahovania minimálnej traťovej rýchlosti na celom traťovom úseku 100 km/hod)</w:t>
      </w:r>
      <w:r w:rsidRPr="00420DD3">
        <w:rPr>
          <w:szCs w:val="24"/>
        </w:rPr>
        <w:t>;</w:t>
      </w:r>
    </w:p>
    <w:p w14:paraId="1F2E00EA" w14:textId="77777777" w:rsidR="009C48E2" w:rsidRPr="009F2BDA" w:rsidRDefault="009C48E2" w:rsidP="00931169">
      <w:pPr>
        <w:pStyle w:val="Odsekzoznamu"/>
        <w:numPr>
          <w:ilvl w:val="0"/>
          <w:numId w:val="8"/>
        </w:numPr>
        <w:spacing w:before="120" w:after="0"/>
        <w:jc w:val="both"/>
        <w:rPr>
          <w:szCs w:val="24"/>
        </w:rPr>
      </w:pPr>
      <w:r w:rsidRPr="009F2BDA">
        <w:rPr>
          <w:szCs w:val="24"/>
        </w:rPr>
        <w:t>stredný variant (</w:t>
      </w:r>
      <w:r>
        <w:rPr>
          <w:szCs w:val="24"/>
        </w:rPr>
        <w:t>variant s cieľom dosahovania minimálnej traťovej rýchlosti na celom traťovom úseku</w:t>
      </w:r>
      <w:r w:rsidRPr="009F2BDA">
        <w:rPr>
          <w:szCs w:val="24"/>
        </w:rPr>
        <w:t xml:space="preserve"> 120/140 km/hod.).</w:t>
      </w:r>
    </w:p>
    <w:p w14:paraId="42E5E41A" w14:textId="77777777" w:rsidR="009C48E2" w:rsidRDefault="009C48E2" w:rsidP="00931169">
      <w:pPr>
        <w:rPr>
          <w:szCs w:val="24"/>
        </w:rPr>
      </w:pPr>
    </w:p>
    <w:p w14:paraId="086CA426" w14:textId="77777777" w:rsidR="009C48E2" w:rsidRPr="00B533B0" w:rsidRDefault="009C48E2" w:rsidP="00931169">
      <w:pPr>
        <w:ind w:firstLine="708"/>
        <w:rPr>
          <w:sz w:val="22"/>
          <w:szCs w:val="24"/>
        </w:rPr>
      </w:pPr>
      <w:r w:rsidRPr="00B533B0">
        <w:rPr>
          <w:sz w:val="22"/>
          <w:szCs w:val="24"/>
        </w:rPr>
        <w:t xml:space="preserve">Predikcia prepravných výkonov sa odvíja od navrhovaných technických parametrov jednotlivých variantov na úseku Krásno nad Kysucou /mimo/ - štátna hranica SR/ČR, ktoré sa od seba rozlišujú v dĺžke trate a dosahovaných maximálnych jazdných rýchlostí železničnej trate. Tieto parametre železničnej trate výrazne vplývajú na cestovné časy. </w:t>
      </w:r>
    </w:p>
    <w:p w14:paraId="4AE1EC18" w14:textId="77777777" w:rsidR="009C48E2" w:rsidRPr="00B533B0" w:rsidRDefault="009C48E2" w:rsidP="00931169">
      <w:pPr>
        <w:rPr>
          <w:sz w:val="22"/>
          <w:szCs w:val="24"/>
        </w:rPr>
      </w:pPr>
      <w:r w:rsidRPr="00B533B0">
        <w:rPr>
          <w:sz w:val="22"/>
          <w:szCs w:val="24"/>
        </w:rPr>
        <w:t xml:space="preserve">Aby sa zabránilo strate synergického efektu s modernizácie uceleného prepravného prúdu na úseku Žilina – Krásno nad Kysucou – Čadca – štátna hranica SR/ČR je predikcia prepravných prúdov odvodená  z komplexne vypracovaného lokálneho dopravného modelu obsahujúci úsek Žilina – Krásno nad Kysucou – Čadca – štátna hranica SR/ČR. Prepravné výkony pre železničný úsek Krásno nad Kysucou – Čadca – štátna hranica SR/ČR sú stanovené na základe výpočtov za pomoci odvodenia výkonov prislúchajúcim konkrétnym lokalitám. </w:t>
      </w:r>
    </w:p>
    <w:p w14:paraId="582B2797" w14:textId="77777777" w:rsidR="009C48E2" w:rsidRPr="00B533B0" w:rsidRDefault="009C48E2" w:rsidP="00931169">
      <w:pPr>
        <w:rPr>
          <w:sz w:val="22"/>
          <w:szCs w:val="24"/>
        </w:rPr>
      </w:pPr>
    </w:p>
    <w:p w14:paraId="0A9AA1A7" w14:textId="77777777" w:rsidR="009C48E2" w:rsidRPr="00B533B0" w:rsidRDefault="009C48E2" w:rsidP="00931169">
      <w:pPr>
        <w:rPr>
          <w:sz w:val="22"/>
          <w:szCs w:val="24"/>
        </w:rPr>
      </w:pPr>
      <w:r w:rsidRPr="00B533B0">
        <w:rPr>
          <w:sz w:val="22"/>
          <w:szCs w:val="24"/>
        </w:rPr>
        <w:t>Zásady dopravného modelovania a prognózovania osobnej dopravy</w:t>
      </w:r>
    </w:p>
    <w:p w14:paraId="69383651" w14:textId="77777777" w:rsidR="009C48E2" w:rsidRPr="00B533B0" w:rsidRDefault="009C48E2" w:rsidP="00931169">
      <w:pPr>
        <w:ind w:firstLine="708"/>
        <w:rPr>
          <w:sz w:val="22"/>
          <w:szCs w:val="24"/>
        </w:rPr>
      </w:pPr>
      <w:r w:rsidRPr="00B533B0">
        <w:rPr>
          <w:sz w:val="22"/>
          <w:szCs w:val="24"/>
        </w:rPr>
        <w:t xml:space="preserve">Oblasť, na ktorú sa vzťahuje model prognózovania osobnej dopravy, je určená intervenciami, ktoré má model riešiť. Model osobnej dopravy rieši trasy cestujúcich, ktoré zodpovedajú za cesty v záujmovej dopravnej sieti (úsek Žilina – Čadca – štátna hranica SR/ČR). </w:t>
      </w:r>
    </w:p>
    <w:p w14:paraId="2C88B98A" w14:textId="77777777" w:rsidR="009C48E2" w:rsidRPr="00B533B0" w:rsidRDefault="009C48E2" w:rsidP="00931169">
      <w:pPr>
        <w:ind w:firstLine="708"/>
        <w:rPr>
          <w:sz w:val="22"/>
          <w:szCs w:val="24"/>
        </w:rPr>
      </w:pPr>
      <w:r w:rsidRPr="00B533B0">
        <w:rPr>
          <w:sz w:val="22"/>
          <w:szCs w:val="24"/>
        </w:rPr>
        <w:t xml:space="preserve">Dopravný model obsahuje údaje o populácií v študijnej oblasti podľa krajov. Tým sa zohľadní demografická zmena v prognózach dopravného dopytu. Dopravný model pri modelovaní zahŕňa aj údaje o mieste zamestnania a inej hospodárskej činnosti, ktorá priťahuje cesty cestujúcich (Žilina, Kysucké Nové Mesto, Čadca). </w:t>
      </w:r>
    </w:p>
    <w:p w14:paraId="14429D21" w14:textId="77777777" w:rsidR="009C48E2" w:rsidRPr="00B533B0" w:rsidRDefault="009C48E2" w:rsidP="00931169">
      <w:pPr>
        <w:ind w:firstLine="708"/>
        <w:rPr>
          <w:sz w:val="22"/>
          <w:szCs w:val="24"/>
        </w:rPr>
      </w:pPr>
      <w:r w:rsidRPr="00B533B0">
        <w:rPr>
          <w:sz w:val="22"/>
          <w:szCs w:val="24"/>
        </w:rPr>
        <w:t xml:space="preserve">Ďalšia fáza modelovania spája cesty, ktoré cestujúci produkujú na miesta, ktoré priťahujú tieto cesty. Voľba použitého dopravného prostriedku pre každú cestu sa zameriava na železničnú dopravu ale závisí od každého typu domácností od nákladoch, trvaní cesty, o vhodnosti režimov, ktoré majú k dispozícií a od cieľa cesty. Výber cieľovej destinácie je tak ovplyvnení trvaním cesty, pravidelnosťou dopravy, dĺžkou trvania prestupu a možnosťami prestupu. Výber dopravného prostriedku je tiež ovplyvnení nákladovosťou a pohodlnosťou cesty. </w:t>
      </w:r>
    </w:p>
    <w:p w14:paraId="5A92C517" w14:textId="77777777" w:rsidR="009C48E2" w:rsidRPr="00B533B0" w:rsidRDefault="009C48E2" w:rsidP="00931169">
      <w:pPr>
        <w:ind w:firstLine="708"/>
        <w:rPr>
          <w:sz w:val="22"/>
          <w:szCs w:val="24"/>
        </w:rPr>
      </w:pPr>
      <w:r w:rsidRPr="00B533B0">
        <w:rPr>
          <w:sz w:val="22"/>
          <w:szCs w:val="24"/>
        </w:rPr>
        <w:t xml:space="preserve">Maticu počtu prepravených cestujúcich (O- D maticu) dodalo Ministerstvo dopravy a výstavby SR, ako podklad pre kalibráciu a kalkulácie miestneho dopravného modelu Žilina – Čadca – štátna hranica  SR/ČR. </w:t>
      </w:r>
    </w:p>
    <w:p w14:paraId="4B9FF5D8" w14:textId="77777777" w:rsidR="009C48E2" w:rsidRPr="00B533B0" w:rsidRDefault="009C48E2" w:rsidP="00931169">
      <w:pPr>
        <w:ind w:firstLine="708"/>
        <w:rPr>
          <w:sz w:val="22"/>
          <w:szCs w:val="24"/>
        </w:rPr>
      </w:pPr>
      <w:r w:rsidRPr="00B533B0">
        <w:rPr>
          <w:sz w:val="22"/>
          <w:szCs w:val="24"/>
        </w:rPr>
        <w:t>Matica počtu prepravených cestujúcich (O – D matica) je zostavená na základe údajov z predaja cestných lístkov Železničnej spoločnosti Slovensko a. s.. V matici počtu prepravených cestujúcich sa nachádzajú cestujúcich bez ohľadu na poskytnutú zľavu u železničnej spoločnosti ZSSK Slovensko a. s., t .j na základe stanovených prepravných podmienok  je nevyhnutné aby si každý cestujúci nad 6 rokov pred cestou zabezpečil cestovný lístok. To znamená, že v O – D matici sú zahrnutý všetci cestujúci vrátane cestujúcich, ktorí využívajú zľavnenú alebo bezplatnú prepravu pre deti, študentov a dôchodcov, prípadne vernostné zľavy stálym zákazníkom.  Časové predplatné lístky sú v O – D matici započítané priemerným využitím, t.j. ako 5 ciest pre týždenné a 21 ciest pre mesačné lístky každým smerom prepravy. Databáza predajov cestovných lístkov tak zohľadňuje prakticky takmer všetky uskutočnené (resp. zakúpené) cesty, s výnimkou relatívne malého percenta (max 5% podľa O-D relácie) cestujúcich s tzv. „režijným“ cestovným alebo cestujúcich vernostných programov zahraničných dopravcov (najmä ČD) akceptovaných na Slovensku.</w:t>
      </w:r>
    </w:p>
    <w:p w14:paraId="52A74E49" w14:textId="77777777" w:rsidR="009C48E2" w:rsidRPr="00B533B0" w:rsidRDefault="009C48E2" w:rsidP="00931169">
      <w:pPr>
        <w:ind w:firstLine="708"/>
        <w:rPr>
          <w:sz w:val="22"/>
          <w:szCs w:val="24"/>
        </w:rPr>
      </w:pPr>
      <w:r w:rsidRPr="00B533B0">
        <w:rPr>
          <w:sz w:val="22"/>
          <w:szCs w:val="24"/>
        </w:rPr>
        <w:lastRenderedPageBreak/>
        <w:t>Vstupné O-D matice vo výpočtovom modeli – hoci aj trochu podhodnotené – sa teda približujú skutočnosti v najväčšej možnej miere, pri zohľadnení niektorých nevyhnutných zjednodušení, ktoré si vytváranie modelov a prognózovanie dopravy vyžaduje.</w:t>
      </w:r>
    </w:p>
    <w:p w14:paraId="77733928" w14:textId="77777777" w:rsidR="009C48E2" w:rsidRPr="00B533B0" w:rsidRDefault="009C48E2" w:rsidP="00931169">
      <w:pPr>
        <w:ind w:firstLine="708"/>
        <w:rPr>
          <w:sz w:val="22"/>
          <w:szCs w:val="24"/>
        </w:rPr>
      </w:pPr>
      <w:r w:rsidRPr="00B533B0">
        <w:rPr>
          <w:sz w:val="22"/>
          <w:szCs w:val="24"/>
        </w:rPr>
        <w:t xml:space="preserve">Jednotlivé priemerné počty prepravených cestujúcich v O – D matici odvodené z dosahovanej skutočnosti (na základe údajov z predaja cestovných lístkov poskytnutých ZSSK Slovensko a.s.) sa konfrontujú (porovnávajú) s celkovými štatistickými údajmi, ktoré sú k dispozícií  v skutočných dopravných tokoch na tej istej sieti. Ak nastane prípad, rozdiely medzi modelovanými tokmi v O – D matici  a skutočnými hodnotami sú hodnoty v O – D matici prispôsobené tak, aby odrážali skutočné objemy dopravy, aj skutočné prerozdelenie dopravy medzi diaľkovou a miestnou dopravou. Tieto výsledné modelované toky sa nazývajú „základný prípad“ </w:t>
      </w:r>
    </w:p>
    <w:p w14:paraId="1A64B04A" w14:textId="77777777" w:rsidR="009C48E2" w:rsidRPr="00B533B0" w:rsidRDefault="009C48E2" w:rsidP="00931169">
      <w:pPr>
        <w:ind w:firstLine="708"/>
        <w:rPr>
          <w:sz w:val="22"/>
          <w:szCs w:val="24"/>
        </w:rPr>
      </w:pPr>
      <w:r w:rsidRPr="00B533B0">
        <w:rPr>
          <w:sz w:val="22"/>
          <w:szCs w:val="24"/>
        </w:rPr>
        <w:t>Zdrojovými štatistickými údajmi, poskytnutými zo strany RO, boli matice počtu prepravených cestujúcich spoločnosťou ZSSK v rokoch 2013, 2014, 2015, 2016 a 2018, pričom na základe demografickej prognózy boli matice O-D stanovené pre roky 2020, 2025, 2030, 2035, 2040, 2045 a 2050.</w:t>
      </w:r>
    </w:p>
    <w:p w14:paraId="23CBCAFF" w14:textId="77777777" w:rsidR="009C48E2" w:rsidRPr="00B533B0" w:rsidRDefault="009C48E2" w:rsidP="00931169">
      <w:pPr>
        <w:ind w:firstLine="708"/>
        <w:rPr>
          <w:sz w:val="22"/>
          <w:szCs w:val="24"/>
        </w:rPr>
      </w:pPr>
      <w:r w:rsidRPr="00B533B0">
        <w:rPr>
          <w:sz w:val="22"/>
          <w:szCs w:val="24"/>
        </w:rPr>
        <w:t>Výkony súkromných dopravcov poskytujúcich služby na predmetnej trati (RegioJet a LEO Expres) boli odvodené z medializovaných údajov, resp. prepočtu ponúkanej kapacity a predpokladanej priemernej obsadenosti vlakov.</w:t>
      </w:r>
    </w:p>
    <w:p w14:paraId="5C375062" w14:textId="77777777" w:rsidR="009C48E2" w:rsidRPr="00B533B0" w:rsidRDefault="009C48E2" w:rsidP="00931169">
      <w:pPr>
        <w:ind w:firstLine="708"/>
        <w:rPr>
          <w:sz w:val="22"/>
          <w:szCs w:val="24"/>
        </w:rPr>
      </w:pPr>
      <w:r w:rsidRPr="00B533B0">
        <w:rPr>
          <w:sz w:val="22"/>
          <w:szCs w:val="24"/>
        </w:rPr>
        <w:t xml:space="preserve">Pre rozloženie prepravných prúdov na jednotlivé relácie súkromných dopravcov bola využitá pomerová matica O – D vzťahov ZSSK, ktorá bola aplikovaná na objemy cestujúcich súkromných dopravcov s cieľom stanoviť podiel cestujúcich na jednotlivých reláciách prevádzkovaných zo strany súkromných dopravcov. </w:t>
      </w:r>
    </w:p>
    <w:p w14:paraId="51139ED6" w14:textId="77777777" w:rsidR="009C48E2" w:rsidRPr="00B533B0" w:rsidRDefault="009C48E2" w:rsidP="00931169">
      <w:pPr>
        <w:ind w:firstLine="708"/>
        <w:rPr>
          <w:sz w:val="22"/>
          <w:szCs w:val="24"/>
        </w:rPr>
      </w:pPr>
      <w:r w:rsidRPr="00B533B0">
        <w:rPr>
          <w:sz w:val="22"/>
          <w:szCs w:val="24"/>
        </w:rPr>
        <w:t>Celý posudzovaný úsek bol rozdelený na jednotlivé medzistaničné úseky, pričom rozlíšenie na krátke a dlhé relácie bolo vykonané na základe týchto predpokladov:</w:t>
      </w:r>
    </w:p>
    <w:p w14:paraId="78C14C68" w14:textId="77777777" w:rsidR="009C48E2" w:rsidRDefault="009C48E2" w:rsidP="00931169">
      <w:pPr>
        <w:pStyle w:val="Odsekzoznamu"/>
        <w:numPr>
          <w:ilvl w:val="0"/>
          <w:numId w:val="9"/>
        </w:numPr>
        <w:spacing w:before="120" w:after="0"/>
        <w:jc w:val="both"/>
        <w:rPr>
          <w:szCs w:val="24"/>
        </w:rPr>
      </w:pPr>
      <w:r w:rsidRPr="00B6117D">
        <w:rPr>
          <w:szCs w:val="24"/>
        </w:rPr>
        <w:t>v</w:t>
      </w:r>
      <w:r>
        <w:rPr>
          <w:szCs w:val="24"/>
        </w:rPr>
        <w:t> </w:t>
      </w:r>
      <w:r w:rsidRPr="00B6117D">
        <w:rPr>
          <w:szCs w:val="24"/>
        </w:rPr>
        <w:t>staniciach</w:t>
      </w:r>
      <w:r>
        <w:rPr>
          <w:szCs w:val="24"/>
        </w:rPr>
        <w:t xml:space="preserve"> na trati Žilina – Čadca – štátna hranica SR/ČR</w:t>
      </w:r>
      <w:r w:rsidRPr="00B6117D">
        <w:rPr>
          <w:szCs w:val="24"/>
        </w:rPr>
        <w:t>, kde zastavujú vlaky diaľkovej dopravy, 50% cestujúcich využíva diaľkovú dopravu</w:t>
      </w:r>
      <w:r w:rsidRPr="008812ED">
        <w:rPr>
          <w:szCs w:val="24"/>
        </w:rPr>
        <w:t>;</w:t>
      </w:r>
      <w:r w:rsidRPr="00B6117D">
        <w:rPr>
          <w:szCs w:val="24"/>
        </w:rPr>
        <w:t xml:space="preserve"> </w:t>
      </w:r>
    </w:p>
    <w:p w14:paraId="2A9D3BBA" w14:textId="77777777" w:rsidR="009C48E2" w:rsidRDefault="009C48E2" w:rsidP="00931169">
      <w:pPr>
        <w:pStyle w:val="Odsekzoznamu"/>
        <w:numPr>
          <w:ilvl w:val="0"/>
          <w:numId w:val="9"/>
        </w:numPr>
        <w:spacing w:before="120" w:after="0"/>
        <w:jc w:val="both"/>
        <w:rPr>
          <w:szCs w:val="24"/>
        </w:rPr>
      </w:pPr>
      <w:r>
        <w:rPr>
          <w:szCs w:val="24"/>
        </w:rPr>
        <w:t>cestujúci, ktorí smerujú z diaľkovej dopravy zo smeru Košice a Banská Bystrica, využívajú diaľkovú dopravu do železničných staníc Kysucké Nové Mesto a Čadca</w:t>
      </w:r>
      <w:r w:rsidRPr="008812ED">
        <w:rPr>
          <w:szCs w:val="24"/>
        </w:rPr>
        <w:t>;</w:t>
      </w:r>
    </w:p>
    <w:p w14:paraId="6D09117B" w14:textId="77777777" w:rsidR="009C48E2" w:rsidRDefault="009C48E2" w:rsidP="00931169">
      <w:pPr>
        <w:pStyle w:val="Odsekzoznamu"/>
        <w:numPr>
          <w:ilvl w:val="0"/>
          <w:numId w:val="9"/>
        </w:numPr>
        <w:spacing w:before="120" w:after="0"/>
        <w:jc w:val="both"/>
        <w:rPr>
          <w:szCs w:val="24"/>
        </w:rPr>
      </w:pPr>
      <w:r>
        <w:rPr>
          <w:szCs w:val="24"/>
        </w:rPr>
        <w:t>cestujúci, ktorí smerujú zo železničných staníc Kysucké Nové Mesto a Čadca smerom do Košíc a Banskej Bystrice využívajú na trati Žilina – Čadca diaľkovú dopravu</w:t>
      </w:r>
      <w:r w:rsidRPr="008812ED">
        <w:rPr>
          <w:szCs w:val="24"/>
        </w:rPr>
        <w:t>;</w:t>
      </w:r>
    </w:p>
    <w:p w14:paraId="0FF07D65" w14:textId="6C5F888C" w:rsidR="009C48E2" w:rsidRDefault="00B533B0" w:rsidP="00931169">
      <w:pPr>
        <w:pStyle w:val="Odsekzoznamu"/>
        <w:numPr>
          <w:ilvl w:val="0"/>
          <w:numId w:val="9"/>
        </w:numPr>
        <w:spacing w:before="120" w:after="0"/>
        <w:jc w:val="both"/>
        <w:rPr>
          <w:szCs w:val="24"/>
        </w:rPr>
      </w:pPr>
      <w:r>
        <w:rPr>
          <w:szCs w:val="24"/>
        </w:rPr>
        <w:t>c</w:t>
      </w:r>
      <w:r w:rsidR="009C48E2">
        <w:rPr>
          <w:szCs w:val="24"/>
        </w:rPr>
        <w:t>estujúci, ktorí prechádzajú týmto úsekom Žilina – Čadca – štátna hranica SR/ČR využívajú výlučne diaľkovú dopravu (preprava z a do zahraničia)</w:t>
      </w:r>
      <w:r w:rsidR="009C48E2" w:rsidRPr="008812ED">
        <w:rPr>
          <w:szCs w:val="24"/>
        </w:rPr>
        <w:t>;</w:t>
      </w:r>
    </w:p>
    <w:p w14:paraId="180739C6" w14:textId="130B6880" w:rsidR="009C48E2" w:rsidRDefault="00B533B0" w:rsidP="00931169">
      <w:pPr>
        <w:pStyle w:val="Odsekzoznamu"/>
        <w:numPr>
          <w:ilvl w:val="0"/>
          <w:numId w:val="9"/>
        </w:numPr>
        <w:spacing w:before="120" w:after="0"/>
        <w:jc w:val="both"/>
        <w:rPr>
          <w:szCs w:val="24"/>
        </w:rPr>
      </w:pPr>
      <w:r>
        <w:rPr>
          <w:szCs w:val="24"/>
        </w:rPr>
        <w:t>v</w:t>
      </w:r>
      <w:r w:rsidR="009C48E2">
        <w:rPr>
          <w:szCs w:val="24"/>
        </w:rPr>
        <w:t> železničných staniciach Kysucké Nové Mesto, Krásno nad Kysucou – mesto, Čadca – mesto a Čadca po zavedení REX vlakov v rámci integrovanej dopravy budú v 50% využívať novozavedené diaľkové vlaky (t. j. diaľkovú dopravu), ktoré budú pravdepodobne pokračovať do ďalších významných lokalít mimo posudzovanú oblasť.</w:t>
      </w:r>
    </w:p>
    <w:p w14:paraId="68402F9A" w14:textId="77777777" w:rsidR="009C48E2" w:rsidRPr="00B533B0" w:rsidRDefault="009C48E2" w:rsidP="00931169">
      <w:pPr>
        <w:rPr>
          <w:sz w:val="22"/>
          <w:szCs w:val="24"/>
        </w:rPr>
      </w:pPr>
    </w:p>
    <w:p w14:paraId="016F1C83" w14:textId="77777777" w:rsidR="009C48E2" w:rsidRPr="00B533B0" w:rsidRDefault="009C48E2" w:rsidP="00931169">
      <w:pPr>
        <w:rPr>
          <w:sz w:val="22"/>
          <w:szCs w:val="24"/>
        </w:rPr>
      </w:pPr>
      <w:r w:rsidRPr="00B533B0">
        <w:rPr>
          <w:sz w:val="22"/>
          <w:szCs w:val="24"/>
        </w:rPr>
        <w:t>Na preukázanie účinkov zmien vyplývajúcich z modernizácie železničnej infraštruktúry  sa použili zmeny týkajúce sa:</w:t>
      </w:r>
    </w:p>
    <w:p w14:paraId="1EA580D8" w14:textId="77777777" w:rsidR="009C48E2" w:rsidRPr="00615D85" w:rsidRDefault="009C48E2" w:rsidP="00931169">
      <w:pPr>
        <w:pStyle w:val="Odsekzoznamu"/>
        <w:numPr>
          <w:ilvl w:val="0"/>
          <w:numId w:val="10"/>
        </w:numPr>
        <w:spacing w:before="120" w:after="0"/>
        <w:jc w:val="both"/>
        <w:rPr>
          <w:szCs w:val="24"/>
        </w:rPr>
      </w:pPr>
      <w:r w:rsidRPr="00615D85">
        <w:rPr>
          <w:szCs w:val="24"/>
        </w:rPr>
        <w:t>zmien cestovných časov</w:t>
      </w:r>
      <w:r w:rsidRPr="008812ED">
        <w:rPr>
          <w:szCs w:val="24"/>
        </w:rPr>
        <w:t>;</w:t>
      </w:r>
      <w:r w:rsidRPr="00615D85">
        <w:rPr>
          <w:szCs w:val="24"/>
        </w:rPr>
        <w:t xml:space="preserve"> </w:t>
      </w:r>
    </w:p>
    <w:p w14:paraId="4E4C9B3C" w14:textId="77777777" w:rsidR="009C48E2" w:rsidRPr="00615D85" w:rsidRDefault="009C48E2" w:rsidP="00931169">
      <w:pPr>
        <w:pStyle w:val="Odsekzoznamu"/>
        <w:numPr>
          <w:ilvl w:val="0"/>
          <w:numId w:val="10"/>
        </w:numPr>
        <w:spacing w:before="120" w:after="0"/>
        <w:jc w:val="both"/>
        <w:rPr>
          <w:szCs w:val="24"/>
        </w:rPr>
      </w:pPr>
      <w:r w:rsidRPr="00615D85">
        <w:rPr>
          <w:szCs w:val="24"/>
        </w:rPr>
        <w:t>zmien v počte vlakov</w:t>
      </w:r>
      <w:r w:rsidRPr="008812ED">
        <w:rPr>
          <w:szCs w:val="24"/>
        </w:rPr>
        <w:t>;</w:t>
      </w:r>
    </w:p>
    <w:p w14:paraId="6BEC3E0C" w14:textId="77777777" w:rsidR="009C48E2" w:rsidRDefault="009C48E2" w:rsidP="00931169">
      <w:pPr>
        <w:pStyle w:val="Odsekzoznamu"/>
        <w:numPr>
          <w:ilvl w:val="0"/>
          <w:numId w:val="10"/>
        </w:numPr>
        <w:spacing w:before="120" w:after="0"/>
        <w:jc w:val="both"/>
        <w:rPr>
          <w:szCs w:val="24"/>
        </w:rPr>
      </w:pPr>
      <w:r w:rsidRPr="00615D85">
        <w:rPr>
          <w:szCs w:val="24"/>
        </w:rPr>
        <w:t xml:space="preserve">a zmeny v trvaní prestupov. </w:t>
      </w:r>
    </w:p>
    <w:p w14:paraId="6115546F" w14:textId="77777777" w:rsidR="009C48E2" w:rsidRPr="00B533B0" w:rsidRDefault="009C48E2" w:rsidP="00931169">
      <w:pPr>
        <w:rPr>
          <w:sz w:val="22"/>
          <w:szCs w:val="24"/>
        </w:rPr>
      </w:pPr>
    </w:p>
    <w:p w14:paraId="0A550CC1" w14:textId="77777777" w:rsidR="009C48E2" w:rsidRPr="00B533B0" w:rsidRDefault="009C48E2" w:rsidP="00931169">
      <w:pPr>
        <w:ind w:firstLine="708"/>
        <w:rPr>
          <w:sz w:val="22"/>
          <w:szCs w:val="24"/>
        </w:rPr>
      </w:pPr>
      <w:r w:rsidRPr="00B533B0">
        <w:rPr>
          <w:sz w:val="22"/>
          <w:szCs w:val="24"/>
        </w:rPr>
        <w:t xml:space="preserve">Pri previerke úspory času, ktorú mala priniesť zmodernizovaná železničná trať Žilina /mimo/ - Krásno nad Kysucou sa porovnávali cestovné časy pred implementáciou projektu t.j. počas platného  GVD 2009/2010 (GVD platný od 12. 12. 2009 do 12. 12. 2010) oproti cestovným časom </w:t>
      </w:r>
      <w:r w:rsidRPr="00B533B0">
        <w:rPr>
          <w:sz w:val="22"/>
          <w:szCs w:val="24"/>
        </w:rPr>
        <w:lastRenderedPageBreak/>
        <w:t xml:space="preserve">platným po ukončení implementácie projektu t.j. cestovné časy v GVD 2017/2018 (GVD platný od 09.12. 2017 do 08. 12 .2018) a GVD 2018/2019 (platný od 09. 12. 2018). </w:t>
      </w:r>
    </w:p>
    <w:p w14:paraId="7BD70733" w14:textId="77777777" w:rsidR="009C48E2" w:rsidRPr="00B533B0" w:rsidRDefault="009C48E2" w:rsidP="00931169">
      <w:pPr>
        <w:ind w:firstLine="708"/>
        <w:rPr>
          <w:sz w:val="22"/>
          <w:szCs w:val="24"/>
        </w:rPr>
      </w:pPr>
      <w:r w:rsidRPr="00B533B0">
        <w:rPr>
          <w:sz w:val="22"/>
          <w:szCs w:val="24"/>
        </w:rPr>
        <w:t xml:space="preserve">Zmeny cestovných časov, ktoré má priniesť modernizácia železničnej trate  Krásno nad Kysucou /mimo/ - štátna hranica ČR/SR sa variantne (minimálny, základný, stredný variant) analyzovali na základe zmien traťových rýchlostí a zmien v dĺžke trate oproti súčasným cestovným časom platným v GVD 2017/2018 (GVD platný od 09.12. 2017 do 08. 12 .2018) a GVD 2018/2019 (platný od 09. 12. 2018. Súčasné cestovné časy na úseku Krásno nad Kysucou /mimo/ - štátna hranica ČR/SR sa oproti GVD 2009/2010 (GVD platný od 12. 12. 2009 do 12. 12. 2010) výrazne nezmenili.  </w:t>
      </w:r>
    </w:p>
    <w:p w14:paraId="033C2D7C" w14:textId="77777777" w:rsidR="009C48E2" w:rsidRPr="00B533B0" w:rsidRDefault="009C48E2" w:rsidP="00931169">
      <w:pPr>
        <w:ind w:firstLine="360"/>
        <w:rPr>
          <w:sz w:val="22"/>
          <w:szCs w:val="24"/>
        </w:rPr>
      </w:pPr>
      <w:r w:rsidRPr="00B533B0">
        <w:rPr>
          <w:sz w:val="22"/>
          <w:szCs w:val="24"/>
        </w:rPr>
        <w:t>Zmeny počty vlakov sa odvíjajú na základe požiadaviek viacerých subjektov, ktoré sa navzájom koordinujú a dopĺňajú. Počet vlakov sa tak odvíja od:</w:t>
      </w:r>
    </w:p>
    <w:p w14:paraId="36A9AE90" w14:textId="77777777" w:rsidR="009C48E2" w:rsidRDefault="009C48E2" w:rsidP="00931169">
      <w:pPr>
        <w:pStyle w:val="Odsekzoznamu"/>
        <w:numPr>
          <w:ilvl w:val="0"/>
          <w:numId w:val="11"/>
        </w:numPr>
        <w:spacing w:before="120" w:after="0"/>
        <w:jc w:val="both"/>
        <w:rPr>
          <w:szCs w:val="24"/>
        </w:rPr>
      </w:pPr>
      <w:r>
        <w:rPr>
          <w:szCs w:val="24"/>
        </w:rPr>
        <w:t>Stanoveného počtu spojov vyplývajúcich zo štandardov počtu spojov podľa prepravných prúdov stanovených Integrovaným systémom žilinského samosprávneho kraja</w:t>
      </w:r>
      <w:r w:rsidRPr="008812ED">
        <w:rPr>
          <w:szCs w:val="24"/>
        </w:rPr>
        <w:t>;</w:t>
      </w:r>
    </w:p>
    <w:p w14:paraId="269A8CDA" w14:textId="77777777" w:rsidR="009C48E2" w:rsidRDefault="009C48E2" w:rsidP="00931169">
      <w:pPr>
        <w:pStyle w:val="Odsekzoznamu"/>
        <w:numPr>
          <w:ilvl w:val="0"/>
          <w:numId w:val="11"/>
        </w:numPr>
        <w:spacing w:before="120" w:after="0"/>
        <w:jc w:val="both"/>
        <w:rPr>
          <w:szCs w:val="24"/>
        </w:rPr>
      </w:pPr>
      <w:r>
        <w:rPr>
          <w:szCs w:val="24"/>
        </w:rPr>
        <w:t>Prevádzkovania taktového grafikonu na trati Žilina – Čadca</w:t>
      </w:r>
      <w:r w:rsidRPr="008812ED">
        <w:rPr>
          <w:szCs w:val="24"/>
        </w:rPr>
        <w:t>;</w:t>
      </w:r>
      <w:r>
        <w:rPr>
          <w:szCs w:val="24"/>
        </w:rPr>
        <w:t xml:space="preserve"> </w:t>
      </w:r>
    </w:p>
    <w:p w14:paraId="121A5D11" w14:textId="77777777" w:rsidR="009C48E2" w:rsidRDefault="009C48E2" w:rsidP="00931169">
      <w:pPr>
        <w:pStyle w:val="Odsekzoznamu"/>
        <w:numPr>
          <w:ilvl w:val="0"/>
          <w:numId w:val="11"/>
        </w:numPr>
        <w:spacing w:before="120" w:after="0"/>
        <w:jc w:val="both"/>
        <w:rPr>
          <w:szCs w:val="24"/>
        </w:rPr>
      </w:pPr>
      <w:r>
        <w:rPr>
          <w:szCs w:val="24"/>
        </w:rPr>
        <w:t xml:space="preserve">Zavedením posilových vlakov (REX vlakov) na trati Žilina – Čadca. </w:t>
      </w:r>
    </w:p>
    <w:p w14:paraId="18710ECC" w14:textId="77777777" w:rsidR="009C48E2" w:rsidRPr="00B533B0" w:rsidRDefault="009C48E2" w:rsidP="00931169">
      <w:pPr>
        <w:rPr>
          <w:sz w:val="22"/>
          <w:szCs w:val="24"/>
        </w:rPr>
      </w:pPr>
    </w:p>
    <w:p w14:paraId="445175BC" w14:textId="77777777" w:rsidR="009C48E2" w:rsidRPr="00B533B0" w:rsidRDefault="009C48E2" w:rsidP="00931169">
      <w:pPr>
        <w:ind w:firstLine="360"/>
        <w:rPr>
          <w:sz w:val="22"/>
          <w:szCs w:val="24"/>
        </w:rPr>
      </w:pPr>
      <w:r w:rsidRPr="00B533B0">
        <w:rPr>
          <w:sz w:val="22"/>
          <w:szCs w:val="24"/>
        </w:rPr>
        <w:t xml:space="preserve">Stanovenie počtu spojov v miestnej doprave na základe požiadaviek pravidelnosti  a tvorby integrovaného taktového cestovného poriadku je zobrazené v nasledujúcej tabuľke. </w:t>
      </w:r>
    </w:p>
    <w:p w14:paraId="61229547" w14:textId="77777777" w:rsidR="009C48E2" w:rsidRPr="00B533B0" w:rsidRDefault="009C48E2" w:rsidP="00931169">
      <w:pPr>
        <w:rPr>
          <w:sz w:val="22"/>
          <w:szCs w:val="24"/>
        </w:rPr>
      </w:pPr>
    </w:p>
    <w:p w14:paraId="041E8E09" w14:textId="6CA53811" w:rsidR="009C48E2" w:rsidRPr="00B533B0" w:rsidRDefault="009C48E2" w:rsidP="00931169">
      <w:pPr>
        <w:rPr>
          <w:sz w:val="22"/>
          <w:szCs w:val="24"/>
        </w:rPr>
      </w:pPr>
      <w:r w:rsidRPr="00B533B0">
        <w:rPr>
          <w:sz w:val="22"/>
          <w:szCs w:val="24"/>
        </w:rPr>
        <w:t>Tabuľka 1</w:t>
      </w:r>
      <w:r w:rsidR="00DA0B84">
        <w:rPr>
          <w:sz w:val="22"/>
          <w:szCs w:val="24"/>
        </w:rPr>
        <w:t>9</w:t>
      </w:r>
      <w:r w:rsidRPr="00B533B0">
        <w:rPr>
          <w:sz w:val="22"/>
          <w:szCs w:val="24"/>
        </w:rPr>
        <w:t>: Štandard počtu spojov v závislosti od prepravného dopytu</w:t>
      </w:r>
    </w:p>
    <w:tbl>
      <w:tblPr>
        <w:tblStyle w:val="Mriekatabuky"/>
        <w:tblW w:w="9652" w:type="dxa"/>
        <w:tblLook w:val="04A0" w:firstRow="1" w:lastRow="0" w:firstColumn="1" w:lastColumn="0" w:noHBand="0" w:noVBand="1"/>
      </w:tblPr>
      <w:tblGrid>
        <w:gridCol w:w="1809"/>
        <w:gridCol w:w="3921"/>
        <w:gridCol w:w="3922"/>
      </w:tblGrid>
      <w:tr w:rsidR="009C48E2" w:rsidRPr="00B533B0" w14:paraId="654D1D38" w14:textId="77777777" w:rsidTr="00C5567E">
        <w:tc>
          <w:tcPr>
            <w:tcW w:w="1809" w:type="dxa"/>
            <w:vAlign w:val="center"/>
          </w:tcPr>
          <w:p w14:paraId="233B8F7E" w14:textId="77777777" w:rsidR="009C48E2" w:rsidRPr="00B533B0" w:rsidRDefault="009C48E2" w:rsidP="00931169">
            <w:pPr>
              <w:rPr>
                <w:sz w:val="22"/>
                <w:szCs w:val="24"/>
                <w:lang w:val="sk-SK"/>
              </w:rPr>
            </w:pPr>
            <w:r w:rsidRPr="00B533B0">
              <w:rPr>
                <w:sz w:val="22"/>
                <w:szCs w:val="24"/>
                <w:lang w:val="sk-SK"/>
              </w:rPr>
              <w:t>Počet cestujúcich/deň</w:t>
            </w:r>
          </w:p>
        </w:tc>
        <w:tc>
          <w:tcPr>
            <w:tcW w:w="3921" w:type="dxa"/>
            <w:vAlign w:val="center"/>
          </w:tcPr>
          <w:p w14:paraId="3EFC8C4C" w14:textId="77777777" w:rsidR="009C48E2" w:rsidRPr="00B533B0" w:rsidRDefault="009C48E2" w:rsidP="00931169">
            <w:pPr>
              <w:rPr>
                <w:sz w:val="22"/>
                <w:szCs w:val="24"/>
                <w:lang w:val="sk-SK"/>
              </w:rPr>
            </w:pPr>
            <w:r w:rsidRPr="00B533B0">
              <w:rPr>
                <w:sz w:val="22"/>
                <w:szCs w:val="24"/>
                <w:lang w:val="sk-SK"/>
              </w:rPr>
              <w:t>Interval spojov – železničná doprava</w:t>
            </w:r>
          </w:p>
        </w:tc>
        <w:tc>
          <w:tcPr>
            <w:tcW w:w="3922" w:type="dxa"/>
            <w:vAlign w:val="center"/>
          </w:tcPr>
          <w:p w14:paraId="799F09EF" w14:textId="77777777" w:rsidR="009C48E2" w:rsidRPr="00B533B0" w:rsidRDefault="009C48E2" w:rsidP="00931169">
            <w:pPr>
              <w:rPr>
                <w:sz w:val="22"/>
                <w:szCs w:val="24"/>
                <w:lang w:val="sk-SK"/>
              </w:rPr>
            </w:pPr>
            <w:r w:rsidRPr="00B533B0">
              <w:rPr>
                <w:sz w:val="22"/>
                <w:szCs w:val="24"/>
                <w:lang w:val="sk-SK"/>
              </w:rPr>
              <w:t>Interval spojov – autobusová doprava</w:t>
            </w:r>
          </w:p>
        </w:tc>
      </w:tr>
      <w:tr w:rsidR="009C48E2" w:rsidRPr="00B533B0" w14:paraId="441D2F0A" w14:textId="77777777" w:rsidTr="00C5567E">
        <w:tc>
          <w:tcPr>
            <w:tcW w:w="1809" w:type="dxa"/>
            <w:vAlign w:val="center"/>
          </w:tcPr>
          <w:p w14:paraId="5A66CFE0" w14:textId="77777777" w:rsidR="009C48E2" w:rsidRPr="00B533B0" w:rsidRDefault="009C48E2" w:rsidP="00931169">
            <w:pPr>
              <w:rPr>
                <w:sz w:val="22"/>
                <w:szCs w:val="24"/>
                <w:lang w:val="sk-SK"/>
              </w:rPr>
            </w:pPr>
            <w:r w:rsidRPr="00B533B0">
              <w:rPr>
                <w:sz w:val="22"/>
                <w:szCs w:val="24"/>
                <w:lang w:val="sk-SK"/>
              </w:rPr>
              <w:t>250 – 500</w:t>
            </w:r>
          </w:p>
        </w:tc>
        <w:tc>
          <w:tcPr>
            <w:tcW w:w="3921" w:type="dxa"/>
            <w:vAlign w:val="center"/>
          </w:tcPr>
          <w:p w14:paraId="354198BF" w14:textId="77777777" w:rsidR="009C48E2" w:rsidRPr="00B533B0" w:rsidRDefault="009C48E2" w:rsidP="00931169">
            <w:pPr>
              <w:rPr>
                <w:sz w:val="22"/>
                <w:szCs w:val="24"/>
                <w:lang w:val="sk-SK"/>
              </w:rPr>
            </w:pPr>
            <w:r w:rsidRPr="00B533B0">
              <w:rPr>
                <w:sz w:val="22"/>
                <w:szCs w:val="24"/>
                <w:lang w:val="sk-SK"/>
              </w:rPr>
              <w:t>120 min. interval</w:t>
            </w:r>
          </w:p>
        </w:tc>
        <w:tc>
          <w:tcPr>
            <w:tcW w:w="3922" w:type="dxa"/>
            <w:vAlign w:val="center"/>
          </w:tcPr>
          <w:p w14:paraId="308D9F18" w14:textId="77777777" w:rsidR="009C48E2" w:rsidRPr="00B533B0" w:rsidRDefault="009C48E2" w:rsidP="00931169">
            <w:pPr>
              <w:rPr>
                <w:sz w:val="22"/>
                <w:szCs w:val="24"/>
                <w:lang w:val="sk-SK"/>
              </w:rPr>
            </w:pPr>
            <w:r w:rsidRPr="00B533B0">
              <w:rPr>
                <w:sz w:val="22"/>
                <w:szCs w:val="24"/>
                <w:lang w:val="sk-SK"/>
              </w:rPr>
              <w:t>60 až 120 min interval</w:t>
            </w:r>
          </w:p>
        </w:tc>
      </w:tr>
      <w:tr w:rsidR="009C48E2" w:rsidRPr="00B533B0" w14:paraId="016F25C7" w14:textId="77777777" w:rsidTr="00C5567E">
        <w:tc>
          <w:tcPr>
            <w:tcW w:w="1809" w:type="dxa"/>
            <w:vAlign w:val="center"/>
          </w:tcPr>
          <w:p w14:paraId="2EA26BE0" w14:textId="77777777" w:rsidR="009C48E2" w:rsidRPr="00B533B0" w:rsidRDefault="009C48E2" w:rsidP="00931169">
            <w:pPr>
              <w:rPr>
                <w:sz w:val="22"/>
                <w:szCs w:val="24"/>
                <w:lang w:val="sk-SK"/>
              </w:rPr>
            </w:pPr>
            <w:r w:rsidRPr="00B533B0">
              <w:rPr>
                <w:sz w:val="22"/>
                <w:szCs w:val="24"/>
                <w:lang w:val="sk-SK"/>
              </w:rPr>
              <w:t>500 – 1 000</w:t>
            </w:r>
          </w:p>
        </w:tc>
        <w:tc>
          <w:tcPr>
            <w:tcW w:w="3921" w:type="dxa"/>
            <w:vAlign w:val="center"/>
          </w:tcPr>
          <w:p w14:paraId="281130AA" w14:textId="77777777" w:rsidR="009C48E2" w:rsidRPr="00B533B0" w:rsidRDefault="009C48E2" w:rsidP="00931169">
            <w:pPr>
              <w:rPr>
                <w:sz w:val="22"/>
                <w:szCs w:val="24"/>
                <w:lang w:val="sk-SK"/>
              </w:rPr>
            </w:pPr>
            <w:r w:rsidRPr="00B533B0">
              <w:rPr>
                <w:sz w:val="22"/>
                <w:szCs w:val="24"/>
                <w:lang w:val="sk-SK"/>
              </w:rPr>
              <w:t>60 min. interval v dopravnej špičke</w:t>
            </w:r>
          </w:p>
          <w:p w14:paraId="3684BDC1" w14:textId="77777777" w:rsidR="009C48E2" w:rsidRPr="00B533B0" w:rsidRDefault="009C48E2" w:rsidP="00931169">
            <w:pPr>
              <w:rPr>
                <w:sz w:val="22"/>
                <w:szCs w:val="24"/>
                <w:lang w:val="sk-SK"/>
              </w:rPr>
            </w:pPr>
            <w:r w:rsidRPr="00B533B0">
              <w:rPr>
                <w:sz w:val="22"/>
                <w:szCs w:val="24"/>
                <w:lang w:val="sk-SK"/>
              </w:rPr>
              <w:t>120 min. interval v dopravnom sedle</w:t>
            </w:r>
          </w:p>
        </w:tc>
        <w:tc>
          <w:tcPr>
            <w:tcW w:w="3922" w:type="dxa"/>
            <w:vAlign w:val="center"/>
          </w:tcPr>
          <w:p w14:paraId="1D706058" w14:textId="77777777" w:rsidR="009C48E2" w:rsidRPr="00B533B0" w:rsidRDefault="009C48E2" w:rsidP="00931169">
            <w:pPr>
              <w:rPr>
                <w:sz w:val="22"/>
                <w:szCs w:val="24"/>
                <w:lang w:val="sk-SK"/>
              </w:rPr>
            </w:pPr>
            <w:r w:rsidRPr="00B533B0">
              <w:rPr>
                <w:sz w:val="22"/>
                <w:szCs w:val="24"/>
                <w:lang w:val="sk-SK"/>
              </w:rPr>
              <w:t>30 min. interval v dopravnej špičke</w:t>
            </w:r>
          </w:p>
          <w:p w14:paraId="7B2CD187" w14:textId="77777777" w:rsidR="009C48E2" w:rsidRPr="00B533B0" w:rsidRDefault="009C48E2" w:rsidP="00931169">
            <w:pPr>
              <w:rPr>
                <w:sz w:val="22"/>
                <w:szCs w:val="24"/>
                <w:lang w:val="sk-SK"/>
              </w:rPr>
            </w:pPr>
            <w:r w:rsidRPr="00B533B0">
              <w:rPr>
                <w:sz w:val="22"/>
                <w:szCs w:val="24"/>
                <w:lang w:val="sk-SK"/>
              </w:rPr>
              <w:t>60 min. interval v dopravnom sedle</w:t>
            </w:r>
          </w:p>
        </w:tc>
      </w:tr>
      <w:tr w:rsidR="009C48E2" w:rsidRPr="00B533B0" w14:paraId="2A7C8E4E" w14:textId="77777777" w:rsidTr="00C5567E">
        <w:tc>
          <w:tcPr>
            <w:tcW w:w="1809" w:type="dxa"/>
            <w:vAlign w:val="center"/>
          </w:tcPr>
          <w:p w14:paraId="2008EEFA" w14:textId="77777777" w:rsidR="009C48E2" w:rsidRPr="00B533B0" w:rsidRDefault="009C48E2" w:rsidP="00931169">
            <w:pPr>
              <w:rPr>
                <w:sz w:val="22"/>
                <w:szCs w:val="24"/>
                <w:lang w:val="sk-SK"/>
              </w:rPr>
            </w:pPr>
            <w:r w:rsidRPr="00B533B0">
              <w:rPr>
                <w:sz w:val="22"/>
                <w:szCs w:val="24"/>
                <w:lang w:val="sk-SK"/>
              </w:rPr>
              <w:t>1 000 – 3 000</w:t>
            </w:r>
          </w:p>
        </w:tc>
        <w:tc>
          <w:tcPr>
            <w:tcW w:w="3921" w:type="dxa"/>
            <w:vAlign w:val="center"/>
          </w:tcPr>
          <w:p w14:paraId="11C4C2B1" w14:textId="77777777" w:rsidR="009C48E2" w:rsidRPr="00B533B0" w:rsidRDefault="009C48E2" w:rsidP="00931169">
            <w:pPr>
              <w:rPr>
                <w:sz w:val="22"/>
                <w:szCs w:val="24"/>
                <w:lang w:val="sk-SK"/>
              </w:rPr>
            </w:pPr>
            <w:r w:rsidRPr="00B533B0">
              <w:rPr>
                <w:sz w:val="22"/>
                <w:szCs w:val="24"/>
                <w:lang w:val="sk-SK"/>
              </w:rPr>
              <w:t>30 min. interval v dopravnej špičke</w:t>
            </w:r>
          </w:p>
          <w:p w14:paraId="446DC56C" w14:textId="77777777" w:rsidR="009C48E2" w:rsidRPr="00B533B0" w:rsidRDefault="009C48E2" w:rsidP="00931169">
            <w:pPr>
              <w:rPr>
                <w:sz w:val="22"/>
                <w:szCs w:val="24"/>
                <w:lang w:val="sk-SK"/>
              </w:rPr>
            </w:pPr>
            <w:r w:rsidRPr="00B533B0">
              <w:rPr>
                <w:sz w:val="22"/>
                <w:szCs w:val="24"/>
                <w:lang w:val="sk-SK"/>
              </w:rPr>
              <w:t>60 min. interval v dopravnom sedle</w:t>
            </w:r>
          </w:p>
        </w:tc>
        <w:tc>
          <w:tcPr>
            <w:tcW w:w="3922" w:type="dxa"/>
            <w:vAlign w:val="center"/>
          </w:tcPr>
          <w:p w14:paraId="423B9C82" w14:textId="77777777" w:rsidR="009C48E2" w:rsidRPr="00B533B0" w:rsidRDefault="009C48E2" w:rsidP="00931169">
            <w:pPr>
              <w:rPr>
                <w:sz w:val="22"/>
                <w:szCs w:val="24"/>
                <w:lang w:val="sk-SK"/>
              </w:rPr>
            </w:pPr>
            <w:r w:rsidRPr="00B533B0">
              <w:rPr>
                <w:sz w:val="22"/>
                <w:szCs w:val="24"/>
                <w:lang w:val="sk-SK"/>
              </w:rPr>
              <w:t>15 min. interval v dopravnej špičke</w:t>
            </w:r>
          </w:p>
          <w:p w14:paraId="03F00856" w14:textId="77777777" w:rsidR="009C48E2" w:rsidRPr="00B533B0" w:rsidRDefault="009C48E2" w:rsidP="00931169">
            <w:pPr>
              <w:rPr>
                <w:sz w:val="22"/>
                <w:szCs w:val="24"/>
                <w:lang w:val="sk-SK"/>
              </w:rPr>
            </w:pPr>
            <w:r w:rsidRPr="00B533B0">
              <w:rPr>
                <w:sz w:val="22"/>
                <w:szCs w:val="24"/>
                <w:lang w:val="sk-SK"/>
              </w:rPr>
              <w:t>60 min. interval v dopravnom sedle</w:t>
            </w:r>
          </w:p>
        </w:tc>
      </w:tr>
      <w:tr w:rsidR="009C48E2" w:rsidRPr="00B533B0" w14:paraId="6F650857" w14:textId="77777777" w:rsidTr="00C5567E">
        <w:tc>
          <w:tcPr>
            <w:tcW w:w="1809" w:type="dxa"/>
            <w:vAlign w:val="center"/>
          </w:tcPr>
          <w:p w14:paraId="076C0F9F" w14:textId="77777777" w:rsidR="009C48E2" w:rsidRPr="00B533B0" w:rsidRDefault="009C48E2" w:rsidP="00931169">
            <w:pPr>
              <w:rPr>
                <w:sz w:val="22"/>
                <w:szCs w:val="24"/>
                <w:lang w:val="sk-SK"/>
              </w:rPr>
            </w:pPr>
            <w:r w:rsidRPr="00B533B0">
              <w:rPr>
                <w:sz w:val="22"/>
                <w:szCs w:val="24"/>
                <w:lang w:val="sk-SK"/>
              </w:rPr>
              <w:t>3 000 a viac</w:t>
            </w:r>
          </w:p>
        </w:tc>
        <w:tc>
          <w:tcPr>
            <w:tcW w:w="3921" w:type="dxa"/>
            <w:vAlign w:val="center"/>
          </w:tcPr>
          <w:p w14:paraId="579FEC99" w14:textId="77777777" w:rsidR="009C48E2" w:rsidRPr="00B533B0" w:rsidRDefault="009C48E2" w:rsidP="00931169">
            <w:pPr>
              <w:rPr>
                <w:sz w:val="22"/>
                <w:szCs w:val="24"/>
                <w:lang w:val="sk-SK"/>
              </w:rPr>
            </w:pPr>
            <w:r w:rsidRPr="00B533B0">
              <w:rPr>
                <w:sz w:val="22"/>
                <w:szCs w:val="24"/>
                <w:lang w:val="sk-SK"/>
              </w:rPr>
              <w:t>15 min. interval v dopravnej špičke</w:t>
            </w:r>
          </w:p>
          <w:p w14:paraId="2D449F5F" w14:textId="77777777" w:rsidR="009C48E2" w:rsidRPr="00B533B0" w:rsidRDefault="009C48E2" w:rsidP="00931169">
            <w:pPr>
              <w:rPr>
                <w:sz w:val="22"/>
                <w:szCs w:val="24"/>
                <w:lang w:val="sk-SK"/>
              </w:rPr>
            </w:pPr>
            <w:r w:rsidRPr="00B533B0">
              <w:rPr>
                <w:sz w:val="22"/>
                <w:szCs w:val="24"/>
                <w:lang w:val="sk-SK"/>
              </w:rPr>
              <w:t>60 min. interval v dopravnom sedle</w:t>
            </w:r>
          </w:p>
        </w:tc>
        <w:tc>
          <w:tcPr>
            <w:tcW w:w="3922" w:type="dxa"/>
            <w:vAlign w:val="center"/>
          </w:tcPr>
          <w:p w14:paraId="3CA2C7AB" w14:textId="77777777" w:rsidR="009C48E2" w:rsidRPr="00B533B0" w:rsidRDefault="009C48E2" w:rsidP="00931169">
            <w:pPr>
              <w:rPr>
                <w:sz w:val="22"/>
                <w:szCs w:val="24"/>
                <w:lang w:val="sk-SK"/>
              </w:rPr>
            </w:pPr>
            <w:r w:rsidRPr="00B533B0">
              <w:rPr>
                <w:sz w:val="22"/>
                <w:szCs w:val="24"/>
                <w:lang w:val="sk-SK"/>
              </w:rPr>
              <w:t>15 min. interval v dopravnej špičke</w:t>
            </w:r>
          </w:p>
          <w:p w14:paraId="4BD2C1E3" w14:textId="77777777" w:rsidR="009C48E2" w:rsidRPr="00B533B0" w:rsidRDefault="009C48E2" w:rsidP="00931169">
            <w:pPr>
              <w:rPr>
                <w:sz w:val="22"/>
                <w:szCs w:val="24"/>
                <w:lang w:val="sk-SK"/>
              </w:rPr>
            </w:pPr>
            <w:r w:rsidRPr="00B533B0">
              <w:rPr>
                <w:sz w:val="22"/>
                <w:szCs w:val="24"/>
                <w:lang w:val="sk-SK"/>
              </w:rPr>
              <w:t>30 min. interval v dopravnom sedle</w:t>
            </w:r>
          </w:p>
        </w:tc>
      </w:tr>
    </w:tbl>
    <w:p w14:paraId="11FDDA82" w14:textId="77777777" w:rsidR="009C48E2" w:rsidRPr="00B533B0" w:rsidRDefault="009C48E2" w:rsidP="00931169">
      <w:pPr>
        <w:rPr>
          <w:sz w:val="22"/>
          <w:szCs w:val="24"/>
        </w:rPr>
      </w:pPr>
    </w:p>
    <w:p w14:paraId="52B46C17" w14:textId="77777777" w:rsidR="009C48E2" w:rsidRPr="00B533B0" w:rsidRDefault="009C48E2" w:rsidP="00931169">
      <w:pPr>
        <w:ind w:firstLine="708"/>
        <w:rPr>
          <w:sz w:val="22"/>
          <w:szCs w:val="24"/>
        </w:rPr>
      </w:pPr>
      <w:r w:rsidRPr="00B533B0">
        <w:rPr>
          <w:sz w:val="22"/>
          <w:szCs w:val="24"/>
        </w:rPr>
        <w:t>Na základe štandardu počtu spojov v závislosti od prepravného dopytu  je stanovený počet spojov pre trať Žilina – Čadca.</w:t>
      </w:r>
    </w:p>
    <w:p w14:paraId="6EA39767" w14:textId="77777777" w:rsidR="009C48E2" w:rsidRPr="00B533B0" w:rsidRDefault="009C48E2" w:rsidP="00931169">
      <w:pPr>
        <w:pStyle w:val="Odsekzoznamu"/>
        <w:ind w:left="0"/>
        <w:jc w:val="both"/>
        <w:rPr>
          <w:szCs w:val="24"/>
        </w:rPr>
      </w:pPr>
      <w:r w:rsidRPr="00B533B0">
        <w:rPr>
          <w:szCs w:val="24"/>
        </w:rPr>
        <w:t xml:space="preserve">Zdržanie pri prestupoch vychádza predovšetkým z vplyvov zmien v cestovnom poriadku, ktorý sa odvíja od dopytu a od príručky Passanger Demand Forecastin Handbook. </w:t>
      </w:r>
    </w:p>
    <w:p w14:paraId="14F43D96" w14:textId="77777777" w:rsidR="009C48E2" w:rsidRPr="00B533B0" w:rsidRDefault="009C48E2" w:rsidP="00931169">
      <w:pPr>
        <w:rPr>
          <w:sz w:val="22"/>
          <w:szCs w:val="24"/>
        </w:rPr>
      </w:pPr>
    </w:p>
    <w:p w14:paraId="78EB5E02" w14:textId="77777777" w:rsidR="009C48E2" w:rsidRPr="00B533B0" w:rsidRDefault="009C48E2" w:rsidP="00931169">
      <w:pPr>
        <w:rPr>
          <w:sz w:val="22"/>
          <w:szCs w:val="24"/>
        </w:rPr>
      </w:pPr>
      <w:r w:rsidRPr="00B533B0">
        <w:rPr>
          <w:sz w:val="22"/>
          <w:szCs w:val="24"/>
        </w:rPr>
        <w:t>Účinky iných režimov</w:t>
      </w:r>
    </w:p>
    <w:p w14:paraId="78826D9B" w14:textId="77777777" w:rsidR="009C48E2" w:rsidRPr="00B533B0" w:rsidRDefault="009C48E2" w:rsidP="00931169">
      <w:pPr>
        <w:ind w:firstLine="708"/>
        <w:rPr>
          <w:sz w:val="22"/>
          <w:szCs w:val="24"/>
        </w:rPr>
      </w:pPr>
      <w:r w:rsidRPr="00B533B0">
        <w:rPr>
          <w:sz w:val="22"/>
          <w:szCs w:val="24"/>
        </w:rPr>
        <w:t>Hospodárska súťaž z iných druhov dopravy môže mať významný vplyv na železničné toky špecifické pre trasy cestujúcich, ktoré využívajú železničnú dopravu. Analýzy vplyvov na dopyt po železnici, ktorá zahŕňa široký odhad zmien v časoch jazdy autom, ukazuje, že zvýšenie preťaženia cesty E 75 medzi Žilinu a Čadcou je jedným z faktorov, ktoré prispeli k rastu dopytu po železniciach a pomohli vysvetliť rýchlejší rast v oblasti železničnej dopravy. Preto v rámci modelovania pre úsek Žilina – Čadca št. hr. je zohľadnené dokončenie výstavby diaľnice D 3. Na základe časovej osi prípravy stanovenej na základe doterajšej praxe národnej diaľničnej spoločnosti a momentálneho stavu prípravy stavieb diaľnice D 3 je najreálnejší termín spustenia prevádzky diaľnice D3 pozdĺž celého úseku Čadca – Žilina rok 2028. Na základe tohto predpokladu sa od konca roku 2028 preto nepredpokladá ďalší rast železničnej dopravy.</w:t>
      </w:r>
    </w:p>
    <w:p w14:paraId="3EB3CF51" w14:textId="77777777" w:rsidR="009C48E2" w:rsidRPr="00B533B0" w:rsidRDefault="009C48E2" w:rsidP="00931169">
      <w:pPr>
        <w:ind w:firstLine="708"/>
        <w:rPr>
          <w:sz w:val="22"/>
          <w:szCs w:val="24"/>
        </w:rPr>
      </w:pPr>
      <w:r w:rsidRPr="00B533B0">
        <w:rPr>
          <w:sz w:val="22"/>
          <w:szCs w:val="24"/>
        </w:rPr>
        <w:lastRenderedPageBreak/>
        <w:t xml:space="preserve">Zároveň je potrebné poznamenať, že dobudovaním plného profilu diaľnice D 3 v úseku Oščadnica – Čadca, Bukov, bude tento úsek z technických a bezpečnostných opatrení úplne uzavretý z dôvodu razenia druhej tunelovej rúry.  </w:t>
      </w:r>
    </w:p>
    <w:p w14:paraId="6FF0BF90" w14:textId="77777777" w:rsidR="009C48E2" w:rsidRPr="00B533B0" w:rsidRDefault="009C48E2" w:rsidP="00931169">
      <w:pPr>
        <w:rPr>
          <w:sz w:val="22"/>
          <w:szCs w:val="24"/>
        </w:rPr>
      </w:pPr>
    </w:p>
    <w:p w14:paraId="13252195" w14:textId="1964CB48" w:rsidR="009C48E2" w:rsidRPr="00B533B0" w:rsidRDefault="009C48E2" w:rsidP="00931169">
      <w:pPr>
        <w:rPr>
          <w:sz w:val="22"/>
          <w:szCs w:val="24"/>
        </w:rPr>
      </w:pPr>
      <w:r w:rsidRPr="00B533B0">
        <w:rPr>
          <w:sz w:val="22"/>
          <w:szCs w:val="24"/>
        </w:rPr>
        <w:t>Tabuľka 2</w:t>
      </w:r>
      <w:r w:rsidR="00DA0B84">
        <w:rPr>
          <w:sz w:val="22"/>
          <w:szCs w:val="24"/>
        </w:rPr>
        <w:t>0</w:t>
      </w:r>
      <w:r w:rsidRPr="00B533B0">
        <w:rPr>
          <w:sz w:val="22"/>
          <w:szCs w:val="24"/>
        </w:rPr>
        <w:t xml:space="preserve">: Stav prípravy diaľnice D3 </w:t>
      </w:r>
    </w:p>
    <w:tbl>
      <w:tblPr>
        <w:tblStyle w:val="Mriekatabuky"/>
        <w:tblW w:w="9179" w:type="dxa"/>
        <w:tblLook w:val="04A0" w:firstRow="1" w:lastRow="0" w:firstColumn="1" w:lastColumn="0" w:noHBand="0" w:noVBand="1"/>
      </w:tblPr>
      <w:tblGrid>
        <w:gridCol w:w="2802"/>
        <w:gridCol w:w="2126"/>
        <w:gridCol w:w="1150"/>
        <w:gridCol w:w="1543"/>
        <w:gridCol w:w="1558"/>
      </w:tblGrid>
      <w:tr w:rsidR="009C48E2" w:rsidRPr="00671AA7" w14:paraId="35AB8ED1" w14:textId="77777777" w:rsidTr="00C5567E">
        <w:tc>
          <w:tcPr>
            <w:tcW w:w="2802" w:type="dxa"/>
            <w:vAlign w:val="center"/>
          </w:tcPr>
          <w:p w14:paraId="12860BBA" w14:textId="77777777" w:rsidR="009C48E2" w:rsidRPr="00671AA7" w:rsidRDefault="009C48E2" w:rsidP="00931169">
            <w:pPr>
              <w:rPr>
                <w:rFonts w:ascii="Times New Roman" w:hAnsi="Times New Roman" w:cs="Times New Roman"/>
                <w:b/>
                <w:sz w:val="18"/>
                <w:szCs w:val="24"/>
              </w:rPr>
            </w:pPr>
            <w:r w:rsidRPr="00671AA7">
              <w:rPr>
                <w:rFonts w:ascii="Times New Roman" w:hAnsi="Times New Roman" w:cs="Times New Roman"/>
                <w:b/>
                <w:sz w:val="18"/>
                <w:szCs w:val="24"/>
              </w:rPr>
              <w:t>Úsek</w:t>
            </w:r>
          </w:p>
        </w:tc>
        <w:tc>
          <w:tcPr>
            <w:tcW w:w="2126" w:type="dxa"/>
            <w:vAlign w:val="center"/>
          </w:tcPr>
          <w:p w14:paraId="3B7C93B2" w14:textId="77777777" w:rsidR="009C48E2" w:rsidRPr="00671AA7" w:rsidRDefault="009C48E2" w:rsidP="00931169">
            <w:pPr>
              <w:rPr>
                <w:rFonts w:ascii="Times New Roman" w:hAnsi="Times New Roman" w:cs="Times New Roman"/>
                <w:b/>
                <w:sz w:val="18"/>
                <w:szCs w:val="24"/>
              </w:rPr>
            </w:pPr>
            <w:r w:rsidRPr="00671AA7">
              <w:rPr>
                <w:rFonts w:ascii="Times New Roman" w:hAnsi="Times New Roman" w:cs="Times New Roman"/>
                <w:b/>
                <w:sz w:val="18"/>
                <w:szCs w:val="24"/>
              </w:rPr>
              <w:t>Stav prípravy</w:t>
            </w:r>
          </w:p>
        </w:tc>
        <w:tc>
          <w:tcPr>
            <w:tcW w:w="1150" w:type="dxa"/>
            <w:vAlign w:val="center"/>
          </w:tcPr>
          <w:p w14:paraId="353AE530" w14:textId="77777777" w:rsidR="009C48E2" w:rsidRPr="00671AA7" w:rsidRDefault="009C48E2" w:rsidP="00931169">
            <w:pPr>
              <w:rPr>
                <w:rFonts w:ascii="Times New Roman" w:hAnsi="Times New Roman" w:cs="Times New Roman"/>
                <w:b/>
                <w:sz w:val="18"/>
                <w:szCs w:val="24"/>
              </w:rPr>
            </w:pPr>
            <w:r w:rsidRPr="00671AA7">
              <w:rPr>
                <w:rFonts w:ascii="Times New Roman" w:hAnsi="Times New Roman" w:cs="Times New Roman"/>
                <w:b/>
                <w:sz w:val="18"/>
                <w:szCs w:val="24"/>
              </w:rPr>
              <w:t>Vzdialenosť</w:t>
            </w:r>
          </w:p>
        </w:tc>
        <w:tc>
          <w:tcPr>
            <w:tcW w:w="1543" w:type="dxa"/>
            <w:vAlign w:val="center"/>
          </w:tcPr>
          <w:p w14:paraId="2F772DE4" w14:textId="77777777" w:rsidR="009C48E2" w:rsidRDefault="009C48E2" w:rsidP="00931169">
            <w:pPr>
              <w:rPr>
                <w:rFonts w:ascii="Times New Roman" w:hAnsi="Times New Roman" w:cs="Times New Roman"/>
                <w:b/>
                <w:sz w:val="18"/>
                <w:szCs w:val="24"/>
              </w:rPr>
            </w:pPr>
            <w:r w:rsidRPr="00671AA7">
              <w:rPr>
                <w:rFonts w:ascii="Times New Roman" w:hAnsi="Times New Roman" w:cs="Times New Roman"/>
                <w:b/>
                <w:sz w:val="18"/>
                <w:szCs w:val="24"/>
              </w:rPr>
              <w:t xml:space="preserve">Počet rokov </w:t>
            </w:r>
          </w:p>
          <w:p w14:paraId="0A285A4D" w14:textId="77777777" w:rsidR="009C48E2" w:rsidRPr="00671AA7" w:rsidRDefault="009C48E2" w:rsidP="00931169">
            <w:pPr>
              <w:rPr>
                <w:rFonts w:ascii="Times New Roman" w:hAnsi="Times New Roman" w:cs="Times New Roman"/>
                <w:b/>
                <w:sz w:val="18"/>
                <w:szCs w:val="24"/>
              </w:rPr>
            </w:pPr>
            <w:r w:rsidRPr="00671AA7">
              <w:rPr>
                <w:rFonts w:ascii="Times New Roman" w:hAnsi="Times New Roman" w:cs="Times New Roman"/>
                <w:b/>
                <w:sz w:val="18"/>
                <w:szCs w:val="24"/>
              </w:rPr>
              <w:t>do spustenia prevádzky</w:t>
            </w:r>
            <w:r>
              <w:rPr>
                <w:rFonts w:ascii="Times New Roman" w:hAnsi="Times New Roman" w:cs="Times New Roman"/>
                <w:b/>
                <w:sz w:val="18"/>
                <w:szCs w:val="24"/>
              </w:rPr>
              <w:t>*</w:t>
            </w:r>
          </w:p>
        </w:tc>
        <w:tc>
          <w:tcPr>
            <w:tcW w:w="1558" w:type="dxa"/>
            <w:vAlign w:val="center"/>
          </w:tcPr>
          <w:p w14:paraId="491CE09D" w14:textId="77777777" w:rsidR="009C48E2" w:rsidRDefault="009C48E2" w:rsidP="00931169">
            <w:pPr>
              <w:rPr>
                <w:rFonts w:ascii="Times New Roman" w:hAnsi="Times New Roman" w:cs="Times New Roman"/>
                <w:b/>
                <w:sz w:val="18"/>
                <w:szCs w:val="24"/>
              </w:rPr>
            </w:pPr>
            <w:r w:rsidRPr="00671AA7">
              <w:rPr>
                <w:rFonts w:ascii="Times New Roman" w:hAnsi="Times New Roman" w:cs="Times New Roman"/>
                <w:b/>
                <w:sz w:val="18"/>
                <w:szCs w:val="24"/>
              </w:rPr>
              <w:t xml:space="preserve">Odhadovaný rok spustenia </w:t>
            </w:r>
          </w:p>
          <w:p w14:paraId="73E1BA0E" w14:textId="77777777" w:rsidR="009C48E2" w:rsidRPr="00671AA7" w:rsidRDefault="009C48E2" w:rsidP="00931169">
            <w:pPr>
              <w:rPr>
                <w:rFonts w:ascii="Times New Roman" w:hAnsi="Times New Roman" w:cs="Times New Roman"/>
                <w:b/>
                <w:sz w:val="18"/>
                <w:szCs w:val="24"/>
              </w:rPr>
            </w:pPr>
            <w:r w:rsidRPr="00671AA7">
              <w:rPr>
                <w:rFonts w:ascii="Times New Roman" w:hAnsi="Times New Roman" w:cs="Times New Roman"/>
                <w:b/>
                <w:sz w:val="18"/>
                <w:szCs w:val="24"/>
              </w:rPr>
              <w:t>do prevádzky</w:t>
            </w:r>
          </w:p>
        </w:tc>
      </w:tr>
      <w:tr w:rsidR="009C48E2" w:rsidRPr="00671AA7" w14:paraId="6FCDEAAF" w14:textId="77777777" w:rsidTr="00C5567E">
        <w:tc>
          <w:tcPr>
            <w:tcW w:w="2802" w:type="dxa"/>
            <w:vAlign w:val="center"/>
          </w:tcPr>
          <w:p w14:paraId="1192B8C7"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Žilina, Strážov – Žilina, Brodno</w:t>
            </w:r>
          </w:p>
        </w:tc>
        <w:tc>
          <w:tcPr>
            <w:tcW w:w="2126" w:type="dxa"/>
            <w:vAlign w:val="center"/>
          </w:tcPr>
          <w:p w14:paraId="44C75D65"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V prevádzke</w:t>
            </w:r>
          </w:p>
        </w:tc>
        <w:tc>
          <w:tcPr>
            <w:tcW w:w="1150" w:type="dxa"/>
            <w:vAlign w:val="center"/>
          </w:tcPr>
          <w:p w14:paraId="2F56C0E3"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4,25 km</w:t>
            </w:r>
          </w:p>
        </w:tc>
        <w:tc>
          <w:tcPr>
            <w:tcW w:w="1543" w:type="dxa"/>
            <w:vAlign w:val="center"/>
          </w:tcPr>
          <w:p w14:paraId="2E328C19" w14:textId="77777777" w:rsidR="009C48E2" w:rsidRPr="00671AA7" w:rsidRDefault="009C48E2" w:rsidP="00931169">
            <w:pPr>
              <w:rPr>
                <w:rFonts w:ascii="Times New Roman" w:hAnsi="Times New Roman" w:cs="Times New Roman"/>
                <w:sz w:val="18"/>
                <w:szCs w:val="24"/>
              </w:rPr>
            </w:pPr>
          </w:p>
        </w:tc>
        <w:tc>
          <w:tcPr>
            <w:tcW w:w="1558" w:type="dxa"/>
            <w:vAlign w:val="center"/>
          </w:tcPr>
          <w:p w14:paraId="6435676F"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11. 2017</w:t>
            </w:r>
          </w:p>
        </w:tc>
      </w:tr>
      <w:tr w:rsidR="009C48E2" w:rsidRPr="00671AA7" w14:paraId="5DB78608" w14:textId="77777777" w:rsidTr="00C5567E">
        <w:tc>
          <w:tcPr>
            <w:tcW w:w="2802" w:type="dxa"/>
            <w:vAlign w:val="center"/>
          </w:tcPr>
          <w:p w14:paraId="49B121DA"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Žilina, Brodno – Kysucké Nové Mesto, privádzač</w:t>
            </w:r>
          </w:p>
        </w:tc>
        <w:tc>
          <w:tcPr>
            <w:tcW w:w="2126" w:type="dxa"/>
            <w:vAlign w:val="center"/>
          </w:tcPr>
          <w:p w14:paraId="2B6C7FCA" w14:textId="77777777" w:rsidR="009C48E2"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 xml:space="preserve">Dokumentácia </w:t>
            </w:r>
          </w:p>
          <w:p w14:paraId="7C6F28D1"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pre stavebné povolenie</w:t>
            </w:r>
          </w:p>
        </w:tc>
        <w:tc>
          <w:tcPr>
            <w:tcW w:w="1150" w:type="dxa"/>
            <w:vAlign w:val="center"/>
          </w:tcPr>
          <w:p w14:paraId="4F7DE238"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1,4 km</w:t>
            </w:r>
          </w:p>
        </w:tc>
        <w:tc>
          <w:tcPr>
            <w:tcW w:w="1543" w:type="dxa"/>
            <w:vAlign w:val="center"/>
          </w:tcPr>
          <w:p w14:paraId="2B5C67C5"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6 rokov</w:t>
            </w:r>
          </w:p>
        </w:tc>
        <w:tc>
          <w:tcPr>
            <w:tcW w:w="1558" w:type="dxa"/>
            <w:vAlign w:val="center"/>
          </w:tcPr>
          <w:p w14:paraId="1305B9D9"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2025</w:t>
            </w:r>
          </w:p>
        </w:tc>
      </w:tr>
      <w:tr w:rsidR="009C48E2" w:rsidRPr="00671AA7" w14:paraId="1BD87B66" w14:textId="77777777" w:rsidTr="00C5567E">
        <w:tc>
          <w:tcPr>
            <w:tcW w:w="2802" w:type="dxa"/>
            <w:vAlign w:val="center"/>
          </w:tcPr>
          <w:p w14:paraId="649DD6B1"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Žilina, Brodno – Kysucké Nové Mesto</w:t>
            </w:r>
          </w:p>
        </w:tc>
        <w:tc>
          <w:tcPr>
            <w:tcW w:w="2126" w:type="dxa"/>
            <w:vAlign w:val="center"/>
          </w:tcPr>
          <w:p w14:paraId="164232D3" w14:textId="77777777" w:rsidR="009C48E2"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 xml:space="preserve">Dokumentácia </w:t>
            </w:r>
          </w:p>
          <w:p w14:paraId="04A4790F" w14:textId="77777777" w:rsidR="009C48E2"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 xml:space="preserve">pre územné rozhodnutie, a dokumentácia </w:t>
            </w:r>
          </w:p>
          <w:p w14:paraId="34C4F4F7"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stavebného zámeru</w:t>
            </w:r>
          </w:p>
        </w:tc>
        <w:tc>
          <w:tcPr>
            <w:tcW w:w="1150" w:type="dxa"/>
            <w:vAlign w:val="center"/>
          </w:tcPr>
          <w:p w14:paraId="02F66A45"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11,20 km</w:t>
            </w:r>
          </w:p>
        </w:tc>
        <w:tc>
          <w:tcPr>
            <w:tcW w:w="1543" w:type="dxa"/>
            <w:vAlign w:val="center"/>
          </w:tcPr>
          <w:p w14:paraId="425797EE"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9 rokov</w:t>
            </w:r>
          </w:p>
        </w:tc>
        <w:tc>
          <w:tcPr>
            <w:tcW w:w="1558" w:type="dxa"/>
            <w:vAlign w:val="center"/>
          </w:tcPr>
          <w:p w14:paraId="356C6E84"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2028</w:t>
            </w:r>
          </w:p>
        </w:tc>
      </w:tr>
      <w:tr w:rsidR="009C48E2" w:rsidRPr="00671AA7" w14:paraId="7A604DB6" w14:textId="77777777" w:rsidTr="00C5567E">
        <w:tc>
          <w:tcPr>
            <w:tcW w:w="2802" w:type="dxa"/>
            <w:vAlign w:val="center"/>
          </w:tcPr>
          <w:p w14:paraId="5B02A96E"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Oščadnica – Čadca, Bukov,</w:t>
            </w:r>
          </w:p>
          <w:p w14:paraId="102AD5B4"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2. profil</w:t>
            </w:r>
          </w:p>
        </w:tc>
        <w:tc>
          <w:tcPr>
            <w:tcW w:w="2126" w:type="dxa"/>
            <w:vAlign w:val="center"/>
          </w:tcPr>
          <w:p w14:paraId="56550DB7" w14:textId="77777777" w:rsidR="009C48E2"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 xml:space="preserve">Dokumentácia </w:t>
            </w:r>
          </w:p>
          <w:p w14:paraId="17FC0F95"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pre stavebné povolenie</w:t>
            </w:r>
          </w:p>
        </w:tc>
        <w:tc>
          <w:tcPr>
            <w:tcW w:w="1150" w:type="dxa"/>
            <w:vAlign w:val="center"/>
          </w:tcPr>
          <w:p w14:paraId="3BEE8266"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4,00 km</w:t>
            </w:r>
          </w:p>
        </w:tc>
        <w:tc>
          <w:tcPr>
            <w:tcW w:w="1543" w:type="dxa"/>
            <w:vAlign w:val="center"/>
          </w:tcPr>
          <w:p w14:paraId="480D5088"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6 rokov</w:t>
            </w:r>
          </w:p>
        </w:tc>
        <w:tc>
          <w:tcPr>
            <w:tcW w:w="1558" w:type="dxa"/>
            <w:vAlign w:val="center"/>
          </w:tcPr>
          <w:p w14:paraId="41D74434"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2025</w:t>
            </w:r>
          </w:p>
        </w:tc>
      </w:tr>
      <w:tr w:rsidR="009C48E2" w:rsidRPr="00671AA7" w14:paraId="1FD6ED2C" w14:textId="77777777" w:rsidTr="00C5567E">
        <w:tc>
          <w:tcPr>
            <w:tcW w:w="2802" w:type="dxa"/>
            <w:vAlign w:val="center"/>
          </w:tcPr>
          <w:p w14:paraId="5B92429D"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Kysucké Nové Mesto – Oščadnica</w:t>
            </w:r>
          </w:p>
        </w:tc>
        <w:tc>
          <w:tcPr>
            <w:tcW w:w="2126" w:type="dxa"/>
            <w:vAlign w:val="center"/>
          </w:tcPr>
          <w:p w14:paraId="151278D9" w14:textId="77777777" w:rsidR="009C48E2"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Dokumentácia</w:t>
            </w:r>
          </w:p>
          <w:p w14:paraId="00B2E152"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 xml:space="preserve"> pre stavebné povolenie</w:t>
            </w:r>
          </w:p>
        </w:tc>
        <w:tc>
          <w:tcPr>
            <w:tcW w:w="1150" w:type="dxa"/>
            <w:vAlign w:val="center"/>
          </w:tcPr>
          <w:p w14:paraId="697ABB03"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10,79 km</w:t>
            </w:r>
          </w:p>
        </w:tc>
        <w:tc>
          <w:tcPr>
            <w:tcW w:w="1543" w:type="dxa"/>
            <w:vAlign w:val="center"/>
          </w:tcPr>
          <w:p w14:paraId="24655316"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6 rokov</w:t>
            </w:r>
          </w:p>
        </w:tc>
        <w:tc>
          <w:tcPr>
            <w:tcW w:w="1558" w:type="dxa"/>
            <w:vAlign w:val="center"/>
          </w:tcPr>
          <w:p w14:paraId="5E312EA2" w14:textId="77777777" w:rsidR="009C48E2" w:rsidRPr="00671AA7" w:rsidRDefault="009C48E2" w:rsidP="00931169">
            <w:pPr>
              <w:rPr>
                <w:rFonts w:ascii="Times New Roman" w:hAnsi="Times New Roman" w:cs="Times New Roman"/>
                <w:sz w:val="18"/>
                <w:szCs w:val="24"/>
              </w:rPr>
            </w:pPr>
            <w:r w:rsidRPr="00671AA7">
              <w:rPr>
                <w:rFonts w:ascii="Times New Roman" w:hAnsi="Times New Roman" w:cs="Times New Roman"/>
                <w:sz w:val="18"/>
                <w:szCs w:val="24"/>
              </w:rPr>
              <w:t>2025</w:t>
            </w:r>
          </w:p>
        </w:tc>
      </w:tr>
      <w:tr w:rsidR="009C48E2" w:rsidRPr="00671AA7" w14:paraId="2883FDDF" w14:textId="77777777" w:rsidTr="00C5567E">
        <w:tc>
          <w:tcPr>
            <w:tcW w:w="2802" w:type="dxa"/>
            <w:vAlign w:val="center"/>
          </w:tcPr>
          <w:p w14:paraId="13556F2E"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Svrčinovec – Čadca, Bukov</w:t>
            </w:r>
          </w:p>
        </w:tc>
        <w:tc>
          <w:tcPr>
            <w:tcW w:w="2126" w:type="dxa"/>
            <w:vAlign w:val="center"/>
          </w:tcPr>
          <w:p w14:paraId="4F96E20B"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Výstavba</w:t>
            </w:r>
          </w:p>
        </w:tc>
        <w:tc>
          <w:tcPr>
            <w:tcW w:w="1150" w:type="dxa"/>
            <w:vAlign w:val="center"/>
          </w:tcPr>
          <w:p w14:paraId="6A6AB1E3"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5,673 km</w:t>
            </w:r>
          </w:p>
        </w:tc>
        <w:tc>
          <w:tcPr>
            <w:tcW w:w="1543" w:type="dxa"/>
            <w:vAlign w:val="center"/>
          </w:tcPr>
          <w:p w14:paraId="1A372EE7"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1,5 roka</w:t>
            </w:r>
          </w:p>
        </w:tc>
        <w:tc>
          <w:tcPr>
            <w:tcW w:w="1558" w:type="dxa"/>
            <w:vAlign w:val="center"/>
          </w:tcPr>
          <w:p w14:paraId="520F1ACD" w14:textId="77777777" w:rsidR="009C48E2" w:rsidRPr="00671AA7" w:rsidRDefault="009C48E2" w:rsidP="00931169">
            <w:pPr>
              <w:rPr>
                <w:rFonts w:ascii="Times New Roman" w:hAnsi="Times New Roman" w:cs="Times New Roman"/>
                <w:sz w:val="18"/>
                <w:szCs w:val="24"/>
              </w:rPr>
            </w:pPr>
            <w:r>
              <w:rPr>
                <w:rFonts w:ascii="Times New Roman" w:hAnsi="Times New Roman" w:cs="Times New Roman"/>
                <w:sz w:val="18"/>
                <w:szCs w:val="24"/>
              </w:rPr>
              <w:t>2021</w:t>
            </w:r>
          </w:p>
        </w:tc>
      </w:tr>
    </w:tbl>
    <w:p w14:paraId="6AAF0DDB" w14:textId="6FCFC1D7" w:rsidR="009C48E2" w:rsidRDefault="009C48E2" w:rsidP="00931169">
      <w:pPr>
        <w:rPr>
          <w:rFonts w:ascii="Times New Roman" w:hAnsi="Times New Roman" w:cs="Times New Roman"/>
          <w:i/>
          <w:sz w:val="16"/>
        </w:rPr>
      </w:pPr>
      <w:r w:rsidRPr="00671AA7">
        <w:rPr>
          <w:rFonts w:ascii="Times New Roman" w:hAnsi="Times New Roman" w:cs="Times New Roman"/>
          <w:i/>
          <w:sz w:val="16"/>
        </w:rPr>
        <w:t>Zdroj: NDS</w:t>
      </w:r>
      <w:r>
        <w:rPr>
          <w:rFonts w:ascii="Times New Roman" w:hAnsi="Times New Roman" w:cs="Times New Roman"/>
          <w:i/>
          <w:sz w:val="16"/>
        </w:rPr>
        <w:t>,</w:t>
      </w:r>
      <w:r w:rsidRPr="00671AA7">
        <w:rPr>
          <w:rFonts w:ascii="Times New Roman" w:hAnsi="Times New Roman" w:cs="Times New Roman"/>
          <w:i/>
          <w:sz w:val="16"/>
        </w:rPr>
        <w:t xml:space="preserve"> </w:t>
      </w:r>
      <w:hyperlink r:id="rId38" w:history="1">
        <w:r w:rsidRPr="00671AA7">
          <w:rPr>
            <w:rStyle w:val="Hypertextovprepojenie"/>
            <w:rFonts w:ascii="Times New Roman" w:hAnsi="Times New Roman" w:cs="Times New Roman"/>
            <w:i/>
            <w:sz w:val="16"/>
          </w:rPr>
          <w:t>https://www.ndsas.sk/stavby/priprava-stavieb</w:t>
        </w:r>
      </w:hyperlink>
      <w:r>
        <w:rPr>
          <w:rFonts w:ascii="Times New Roman" w:hAnsi="Times New Roman" w:cs="Times New Roman"/>
          <w:i/>
          <w:sz w:val="16"/>
        </w:rPr>
        <w:t xml:space="preserve">, </w:t>
      </w:r>
    </w:p>
    <w:p w14:paraId="58B36D17" w14:textId="77777777" w:rsidR="009C48E2" w:rsidRPr="00671AA7" w:rsidRDefault="009C48E2" w:rsidP="00931169">
      <w:pPr>
        <w:rPr>
          <w:rFonts w:ascii="Times New Roman" w:hAnsi="Times New Roman" w:cs="Times New Roman"/>
          <w:i/>
          <w:sz w:val="18"/>
          <w:szCs w:val="24"/>
        </w:rPr>
      </w:pPr>
      <w:r>
        <w:rPr>
          <w:rFonts w:ascii="Times New Roman" w:hAnsi="Times New Roman" w:cs="Times New Roman"/>
          <w:i/>
          <w:sz w:val="18"/>
          <w:szCs w:val="24"/>
        </w:rPr>
        <w:t>* priemerné míľniky prípravy stavieb</w:t>
      </w:r>
    </w:p>
    <w:p w14:paraId="766CDFB9" w14:textId="77777777" w:rsidR="009C48E2" w:rsidRDefault="009C48E2" w:rsidP="00931169">
      <w:pPr>
        <w:rPr>
          <w:rFonts w:ascii="Times New Roman" w:hAnsi="Times New Roman" w:cs="Times New Roman"/>
          <w:szCs w:val="24"/>
        </w:rPr>
      </w:pPr>
    </w:p>
    <w:p w14:paraId="49CFAA47" w14:textId="77777777" w:rsidR="009C48E2" w:rsidRDefault="009C48E2" w:rsidP="00931169">
      <w:pPr>
        <w:ind w:firstLine="708"/>
        <w:rPr>
          <w:rFonts w:ascii="Times New Roman" w:hAnsi="Times New Roman" w:cs="Times New Roman"/>
          <w:szCs w:val="24"/>
        </w:rPr>
      </w:pPr>
      <w:r>
        <w:rPr>
          <w:rFonts w:ascii="Times New Roman" w:hAnsi="Times New Roman" w:cs="Times New Roman"/>
          <w:szCs w:val="24"/>
        </w:rPr>
        <w:t xml:space="preserve">Vybudovaním novej železničnej zastávky Krásno nad Kysucou mesto dôjde k zmene organizácie autobusovej dopravy t. j. aj integrovanej dopravy v danej lokalite, čo má za následok významný vplyv na železničné toky. </w:t>
      </w:r>
    </w:p>
    <w:p w14:paraId="3EC43930" w14:textId="77777777" w:rsidR="009C48E2" w:rsidRDefault="009C48E2" w:rsidP="00931169">
      <w:pPr>
        <w:rPr>
          <w:rFonts w:ascii="Times New Roman" w:hAnsi="Times New Roman" w:cs="Times New Roman"/>
          <w:szCs w:val="24"/>
        </w:rPr>
      </w:pPr>
    </w:p>
    <w:p w14:paraId="08D2C6A6" w14:textId="77777777" w:rsidR="009C48E2" w:rsidRPr="007F231C" w:rsidRDefault="009C48E2" w:rsidP="00931169">
      <w:pPr>
        <w:rPr>
          <w:rFonts w:ascii="Times New Roman" w:hAnsi="Times New Roman" w:cs="Times New Roman"/>
          <w:b/>
          <w:i/>
          <w:szCs w:val="24"/>
        </w:rPr>
      </w:pPr>
      <w:r w:rsidRPr="007F231C">
        <w:rPr>
          <w:rFonts w:ascii="Times New Roman" w:hAnsi="Times New Roman" w:cs="Times New Roman"/>
          <w:b/>
          <w:i/>
          <w:szCs w:val="24"/>
        </w:rPr>
        <w:t>Zmeny v kvalite cesty - zovšeobecnený čas cesty</w:t>
      </w:r>
    </w:p>
    <w:p w14:paraId="191B8A7A" w14:textId="77777777" w:rsidR="009C48E2" w:rsidRDefault="009C48E2" w:rsidP="00931169">
      <w:pPr>
        <w:ind w:firstLine="708"/>
        <w:rPr>
          <w:rFonts w:ascii="Times New Roman" w:hAnsi="Times New Roman" w:cs="Times New Roman"/>
          <w:szCs w:val="24"/>
        </w:rPr>
      </w:pPr>
      <w:r w:rsidRPr="00FD33A3">
        <w:rPr>
          <w:rFonts w:ascii="Times New Roman" w:hAnsi="Times New Roman" w:cs="Times New Roman"/>
          <w:szCs w:val="24"/>
        </w:rPr>
        <w:t>PDFH identifikuje niekoľko charakteristík železničnej cesty, ktoré v prípade zmeny pravdepodobne ovplyvnia dopyt.</w:t>
      </w:r>
      <w:r>
        <w:rPr>
          <w:rFonts w:ascii="Times New Roman" w:hAnsi="Times New Roman" w:cs="Times New Roman"/>
          <w:szCs w:val="24"/>
        </w:rPr>
        <w:t xml:space="preserve"> Medzi hlavné atribúty v kvalite cesty sú napr. pohodlie a spoľahlivosť. Hoci by mohli priniesť merne zlepšenie výsledkov, v rámci modelu osobnej dopravy neboli použité faktory spoľahlivosti a pohodlia </w:t>
      </w:r>
      <w:r w:rsidRPr="00615D85">
        <w:rPr>
          <w:rFonts w:ascii="Times New Roman" w:hAnsi="Times New Roman" w:cs="Times New Roman"/>
          <w:szCs w:val="24"/>
        </w:rPr>
        <w:t>(tieto faktory boli nezmenené medzi scenárom „bez projektu“  a scenárom „ s projektom“).</w:t>
      </w:r>
      <w:r>
        <w:rPr>
          <w:rFonts w:ascii="Times New Roman" w:hAnsi="Times New Roman" w:cs="Times New Roman"/>
          <w:szCs w:val="24"/>
        </w:rPr>
        <w:t xml:space="preserve"> Na základe analýzy spoľahlivosti spojov vykonanej na trati Žilina – Nové mesto nad Váhom pre meškania spôsobené technickými poruchami zariadení alebo únavou materiálu (porovnanie meškaní vlakov sa spracovalo v roku 2017, čiže po modernizácií trate oproti roku 2013 čiže pred modernizáciou trate) sa dospelo k záveru, že v osobnej doprave nedochádzalo k výraznému zníženiu meškania osobných vlakov, t. j. zlepšenie spoľahlivosti prepravy pod vplyvom modernizácie trate je zanedbateľné. Zvýšenie meškania vlakov bolo zaznamenané počas realizácie modernizácie železničných tratí. V nákladnej doprave bol vplyv modernizácie tratí výraznejší, došlo z výšeniu spoľahlivosti nákladnej prepravy. </w:t>
      </w:r>
    </w:p>
    <w:p w14:paraId="509C1853" w14:textId="77777777" w:rsidR="009C48E2" w:rsidRDefault="009C48E2" w:rsidP="00931169">
      <w:pPr>
        <w:ind w:firstLine="708"/>
        <w:rPr>
          <w:rFonts w:ascii="Times New Roman" w:hAnsi="Times New Roman" w:cs="Times New Roman"/>
          <w:szCs w:val="24"/>
        </w:rPr>
      </w:pPr>
      <w:r w:rsidRPr="00233DD3">
        <w:rPr>
          <w:rFonts w:ascii="Times New Roman" w:hAnsi="Times New Roman" w:cs="Times New Roman"/>
          <w:szCs w:val="24"/>
        </w:rPr>
        <w:t>Zlepšenie pohodlia cestujúcic</w:t>
      </w:r>
      <w:r>
        <w:rPr>
          <w:rFonts w:ascii="Times New Roman" w:hAnsi="Times New Roman" w:cs="Times New Roman"/>
          <w:szCs w:val="24"/>
        </w:rPr>
        <w:t>h tiež nie je priamym výstupom modernizácie železničnej trate</w:t>
      </w:r>
      <w:r w:rsidRPr="00233DD3">
        <w:rPr>
          <w:rFonts w:ascii="Times New Roman" w:hAnsi="Times New Roman" w:cs="Times New Roman"/>
          <w:szCs w:val="24"/>
        </w:rPr>
        <w:t xml:space="preserve">, hoci isté zlepšenie (napr. redukcia „shaking“ vozňov na opotrebovaných výhybkách, či spojoch koľají) </w:t>
      </w:r>
      <w:r>
        <w:rPr>
          <w:rFonts w:ascii="Times New Roman" w:hAnsi="Times New Roman" w:cs="Times New Roman"/>
          <w:szCs w:val="24"/>
        </w:rPr>
        <w:t>sú</w:t>
      </w:r>
      <w:r w:rsidRPr="00233DD3">
        <w:rPr>
          <w:rFonts w:ascii="Times New Roman" w:hAnsi="Times New Roman" w:cs="Times New Roman"/>
          <w:szCs w:val="24"/>
        </w:rPr>
        <w:t xml:space="preserve"> reálne</w:t>
      </w:r>
      <w:r>
        <w:rPr>
          <w:rFonts w:ascii="Times New Roman" w:hAnsi="Times New Roman" w:cs="Times New Roman"/>
          <w:szCs w:val="24"/>
        </w:rPr>
        <w:t>. Z dôvodu viacerých spoločných komplexných navzájom podporujúcich sa faktorov zvyšujúcich pohodlie cestujúcich (napr. aj nasadzovanie nových železničných vozidiel) nezohľadňujeme zlepšenie pohodlia cestujúcich z dôvodu iba samotnej modernizácie železničnej trate.</w:t>
      </w:r>
    </w:p>
    <w:p w14:paraId="27875C07" w14:textId="01F1F81E" w:rsidR="009C48E2" w:rsidRDefault="009C48E2" w:rsidP="00931169">
      <w:pPr>
        <w:ind w:firstLine="708"/>
        <w:rPr>
          <w:rFonts w:ascii="Times New Roman" w:hAnsi="Times New Roman" w:cs="Times New Roman"/>
          <w:szCs w:val="24"/>
        </w:rPr>
      </w:pPr>
      <w:r w:rsidRPr="00C03D2F">
        <w:rPr>
          <w:rFonts w:ascii="Times New Roman" w:hAnsi="Times New Roman" w:cs="Times New Roman"/>
          <w:szCs w:val="24"/>
        </w:rPr>
        <w:t xml:space="preserve">Príručka Passanger Demand Forecastin Handbook používa koncepciu GJT skôr z hľadiska uplynulého času než z hľadiska peňažných hodnôt pričom straty alebo multiplikátory sú spojené s časom stráveným mimo železničného vozidla. Príručka Passanger Demand Forecastin Handbook poskytuje usmernenie o váhach alebo sankciách, ktoré sa majú </w:t>
      </w:r>
      <w:r w:rsidRPr="00C03D2F">
        <w:rPr>
          <w:rFonts w:ascii="Times New Roman" w:hAnsi="Times New Roman" w:cs="Times New Roman"/>
          <w:szCs w:val="24"/>
        </w:rPr>
        <w:lastRenderedPageBreak/>
        <w:t xml:space="preserve">uplatniť na rôzne atribúty železničnej cesty. Napríklad cestujúci, ktorí cestujú na kratšie vzdialenosti vnímajú prestup ako hodnotu, ktorá sa rovná približné 10 minútam dodatočného času jazdy. Cestujúci, ktorý cestujú na dlhé vzdialenosti môžu mať čas strávený prestupom medzi dvoma vlakmi až 40 minút. S úpravou prestupových hodnôt sa pristúpilo na základe toho či je alebo nie je zaručené spojenie a na základe podmienok v prestupnej stanici. Hodnoty sú pripisované čakaniu a času chôdze. Preto zložka „Interchange penalty“, ktorá je jednou zo základných faktorov v rámci kalkulácie zovšeobecnenej doby cestovania (GJT), bola stanovená na základe metodiky Passanger Demand Forecastin Handbook, ako rozdiel vnímaných cestovných časov na každej z predmetných O-D relácií pred projektom a po realizácii projektu, hodnôt „Interchange penalty“ odporúčaných v metodike PDFH v tabuľke B4.10, a umocnený elasticitou na úrovni –1,1.  Zvolená bola hodnota na základe vzdialenosti, ktorá predstavuje penalizácie prestupov pre plné, resp. zľavnené cestovné. </w:t>
      </w:r>
    </w:p>
    <w:p w14:paraId="0EE251C9" w14:textId="77777777" w:rsidR="009C48E2" w:rsidRPr="00C03D2F" w:rsidRDefault="009C48E2" w:rsidP="00931169">
      <w:pPr>
        <w:ind w:firstLine="708"/>
        <w:rPr>
          <w:szCs w:val="24"/>
        </w:rPr>
      </w:pPr>
      <w:r>
        <w:rPr>
          <w:rFonts w:ascii="Times New Roman" w:hAnsi="Times New Roman" w:cs="Times New Roman"/>
          <w:szCs w:val="24"/>
        </w:rPr>
        <w:t xml:space="preserve">Zároveň stojí za zmienku, že z dôvodu zavedenia bezplatnej prepravy pre žiakov, študentov a dôchodcov,  sa nepristúpilo k zohľadneniu multikátora peňažnej hodnoty. </w:t>
      </w:r>
    </w:p>
    <w:p w14:paraId="1B684C50" w14:textId="77777777" w:rsidR="009C48E2" w:rsidRDefault="009C48E2" w:rsidP="00931169">
      <w:pPr>
        <w:ind w:firstLine="708"/>
        <w:rPr>
          <w:rFonts w:ascii="Times New Roman" w:hAnsi="Times New Roman" w:cs="Times New Roman"/>
          <w:szCs w:val="24"/>
        </w:rPr>
      </w:pPr>
      <w:r w:rsidRPr="000D4454">
        <w:rPr>
          <w:rFonts w:ascii="Times New Roman" w:hAnsi="Times New Roman" w:cs="Times New Roman"/>
          <w:szCs w:val="24"/>
        </w:rPr>
        <w:t>V prípade nových služieb alebo staníc nie je možné odhadnúť dopyt podľa požiadaviek existenčného faktora v iných častiach PDFH.</w:t>
      </w:r>
      <w:r>
        <w:rPr>
          <w:rFonts w:ascii="Times New Roman" w:hAnsi="Times New Roman" w:cs="Times New Roman"/>
          <w:szCs w:val="24"/>
        </w:rPr>
        <w:t xml:space="preserve"> Preto sa takéto mo</w:t>
      </w:r>
      <w:r w:rsidRPr="000D4454">
        <w:rPr>
          <w:rFonts w:ascii="Times New Roman" w:hAnsi="Times New Roman" w:cs="Times New Roman"/>
          <w:szCs w:val="24"/>
        </w:rPr>
        <w:t xml:space="preserve">dely spoliehajú na odhad cesty na základe skúseností v porovnateľných situáciách. Existujú rôzne formy, z ktorých všetky zahŕňajú odhady sadzieb ciest pre ľudí žijúcich v spádovej oblasti stanice. </w:t>
      </w:r>
    </w:p>
    <w:p w14:paraId="0B4446B3" w14:textId="77777777" w:rsidR="009C48E2" w:rsidRDefault="009C48E2" w:rsidP="00931169">
      <w:pPr>
        <w:rPr>
          <w:rFonts w:ascii="Times New Roman" w:hAnsi="Times New Roman" w:cs="Times New Roman"/>
          <w:szCs w:val="24"/>
        </w:rPr>
      </w:pPr>
    </w:p>
    <w:p w14:paraId="5558E5E4" w14:textId="77777777" w:rsidR="009C48E2" w:rsidRPr="000D4454" w:rsidRDefault="009C48E2" w:rsidP="00931169">
      <w:pPr>
        <w:rPr>
          <w:rFonts w:ascii="Times New Roman" w:hAnsi="Times New Roman" w:cs="Times New Roman"/>
          <w:b/>
          <w:i/>
          <w:szCs w:val="24"/>
        </w:rPr>
      </w:pPr>
      <w:r w:rsidRPr="000D4454">
        <w:rPr>
          <w:rFonts w:ascii="Times New Roman" w:hAnsi="Times New Roman" w:cs="Times New Roman"/>
          <w:b/>
          <w:i/>
          <w:szCs w:val="24"/>
        </w:rPr>
        <w:t xml:space="preserve">Nová zastávka TIOP Krásno nad Kysucou – mesto </w:t>
      </w:r>
    </w:p>
    <w:p w14:paraId="4E7843C1" w14:textId="77777777" w:rsidR="009C48E2" w:rsidRDefault="009C48E2" w:rsidP="00931169">
      <w:pPr>
        <w:ind w:firstLine="708"/>
        <w:rPr>
          <w:rFonts w:ascii="Times New Roman" w:hAnsi="Times New Roman" w:cs="Times New Roman"/>
          <w:szCs w:val="24"/>
        </w:rPr>
      </w:pPr>
      <w:r>
        <w:rPr>
          <w:rFonts w:ascii="Times New Roman" w:hAnsi="Times New Roman" w:cs="Times New Roman"/>
          <w:szCs w:val="24"/>
        </w:rPr>
        <w:t xml:space="preserve">Poloha súčasnej železničnej stanice Krásno nad Kysucou je excentrická, preto sa uvažuje aj s vybudovaním novej zastávky pre osobnú železničnú dopravu na úrovni centra mesta (t.j. na sútoku riek Kysuca a Bystrica). Preto v rámci modernizácie železničnej trate Krásno nad Kysucou (mimo) – Čadca – št. hr. SR/ČR  je uvažované s vybudovaním novej železničnej zastávky Krásno nad Kysucou – mesto. Táto zastávka ma zároveň plniť funkciu terminálu integrovanej prepravy pre oblasti Oščadnica a mikroregiónu Bystrická dolina. </w:t>
      </w:r>
    </w:p>
    <w:p w14:paraId="76CC1A7A" w14:textId="77777777" w:rsidR="009C48E2" w:rsidRDefault="009C48E2" w:rsidP="00931169">
      <w:pPr>
        <w:ind w:firstLine="708"/>
        <w:rPr>
          <w:rStyle w:val="tlid-translation"/>
          <w:rFonts w:ascii="Times New Roman" w:hAnsi="Times New Roman" w:cs="Times New Roman"/>
          <w:szCs w:val="24"/>
        </w:rPr>
      </w:pPr>
      <w:r>
        <w:rPr>
          <w:rFonts w:ascii="Times New Roman" w:hAnsi="Times New Roman" w:cs="Times New Roman"/>
          <w:szCs w:val="24"/>
        </w:rPr>
        <w:t xml:space="preserve">V prípade zriadenia novej zastávky Krásno nad Kysucou - mesto potrebné odhadnúť dopyt po železničnej osobnej preprave. Príručka  Passanger Demand Forecastin Handbook poskytuje viacero usmernení (metód) na modelovanie účinkov nových staníc alebo poskytovaných služieb. </w:t>
      </w:r>
      <w:r w:rsidRPr="00D25E6F">
        <w:rPr>
          <w:rFonts w:ascii="Times New Roman" w:hAnsi="Times New Roman" w:cs="Times New Roman"/>
          <w:szCs w:val="24"/>
        </w:rPr>
        <w:t xml:space="preserve">Veľká časť týchto </w:t>
      </w:r>
      <w:r w:rsidRPr="00D25E6F">
        <w:rPr>
          <w:rStyle w:val="tlid-translation"/>
          <w:rFonts w:ascii="Times New Roman" w:hAnsi="Times New Roman" w:cs="Times New Roman"/>
          <w:szCs w:val="24"/>
        </w:rPr>
        <w:t xml:space="preserve"> usmernení je zameraná na vytvorenie špecifických modelov založených buď na konvenčnom štvorstupňovom modeli multimodálnej dopravy, alebo na použití zjednodušeného modelu „gravitácie alebo priameho dopytu“ na odhad dopytu v novej stanici a na určenie rozsahu, v akom sa tento dopyt prav</w:t>
      </w:r>
      <w:r>
        <w:rPr>
          <w:rStyle w:val="tlid-translation"/>
          <w:rFonts w:ascii="Times New Roman" w:hAnsi="Times New Roman" w:cs="Times New Roman"/>
          <w:szCs w:val="24"/>
        </w:rPr>
        <w:t>depodobne previedol abstrakciou</w:t>
      </w:r>
      <w:r w:rsidRPr="00D25E6F">
        <w:rPr>
          <w:rStyle w:val="tlid-translation"/>
          <w:rFonts w:ascii="Times New Roman" w:hAnsi="Times New Roman" w:cs="Times New Roman"/>
          <w:szCs w:val="24"/>
        </w:rPr>
        <w:t xml:space="preserve"> z iných staníc.</w:t>
      </w:r>
    </w:p>
    <w:p w14:paraId="0F20B295" w14:textId="77777777" w:rsidR="009C48E2" w:rsidRDefault="009C48E2" w:rsidP="00931169">
      <w:pPr>
        <w:ind w:firstLine="708"/>
        <w:rPr>
          <w:rFonts w:ascii="Times New Roman" w:hAnsi="Times New Roman" w:cs="Times New Roman"/>
          <w:szCs w:val="24"/>
        </w:rPr>
      </w:pPr>
      <w:r>
        <w:rPr>
          <w:rFonts w:ascii="Times New Roman" w:hAnsi="Times New Roman" w:cs="Times New Roman"/>
          <w:szCs w:val="24"/>
        </w:rPr>
        <w:t>Vybudovaná zastávka v Krásne nad Kysucou – mesto bude zároveň slúžiť aj ako prestupné miesto pre cestujúcich medzi viacerými dopravnými módmi. Zároveň vybudovanie novej zastávky Krásno nad Kysucou – mesto podporí budovanie systému integrovanej verejnej dopravy v ťažiskovom sídelnom regióne mesta Žilina a ich okolie. Špecifickým cieľom vybudovania novej zastávky Krásno nad Kysucou – mesto je zlepšenie dostupnosti a kvality železničnej dopravy pre sídelnú lokalitu Krásno nad Kysucou a podpora rastu počtu cestujúcich na železničnej trati Žilina – Čadca – Čadca št. hr..</w:t>
      </w:r>
    </w:p>
    <w:p w14:paraId="746FC622" w14:textId="77777777" w:rsidR="009C48E2"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t>Predikcia dopytu po železničnej osobnej preprave vybudovaním novej železničnej zastávky je priamo odvodená z autobusovej dopravy a na základe intenzity dopravy na cestnej sieti v lokalite Krásno nad Kysucou.</w:t>
      </w:r>
    </w:p>
    <w:p w14:paraId="7F10F58B" w14:textId="77777777" w:rsidR="009C48E2" w:rsidRDefault="009C48E2" w:rsidP="00931169">
      <w:pPr>
        <w:ind w:firstLine="360"/>
        <w:rPr>
          <w:rStyle w:val="tlid-translation"/>
          <w:rFonts w:ascii="Times New Roman" w:hAnsi="Times New Roman" w:cs="Times New Roman"/>
          <w:szCs w:val="24"/>
        </w:rPr>
      </w:pPr>
      <w:r>
        <w:rPr>
          <w:rStyle w:val="tlid-translation"/>
          <w:rFonts w:ascii="Times New Roman" w:hAnsi="Times New Roman" w:cs="Times New Roman"/>
          <w:szCs w:val="24"/>
        </w:rPr>
        <w:t>Východiskové údaje pre modelovanie a predikciu osobnej železničnej dopravy v novo navrhovanej zastávke Krásno nad Kysucou mesto boli primárne prevzaté z:</w:t>
      </w:r>
    </w:p>
    <w:p w14:paraId="48A8C49D" w14:textId="77777777" w:rsidR="009C48E2" w:rsidRPr="00412407" w:rsidRDefault="009C48E2" w:rsidP="00931169">
      <w:pPr>
        <w:pStyle w:val="Odsekzoznamu"/>
        <w:numPr>
          <w:ilvl w:val="0"/>
          <w:numId w:val="12"/>
        </w:numPr>
        <w:spacing w:before="120" w:after="0"/>
        <w:jc w:val="both"/>
        <w:rPr>
          <w:rStyle w:val="tlid-translation"/>
          <w:szCs w:val="24"/>
        </w:rPr>
      </w:pPr>
      <w:r>
        <w:rPr>
          <w:rStyle w:val="tlid-translation"/>
          <w:szCs w:val="24"/>
        </w:rPr>
        <w:t xml:space="preserve">počtu </w:t>
      </w:r>
      <w:r w:rsidRPr="00412407">
        <w:rPr>
          <w:rStyle w:val="tlid-translation"/>
          <w:szCs w:val="24"/>
        </w:rPr>
        <w:t xml:space="preserve">cestujúcich v autobusovej </w:t>
      </w:r>
      <w:r>
        <w:rPr>
          <w:rStyle w:val="tlid-translation"/>
          <w:szCs w:val="24"/>
        </w:rPr>
        <w:t>doprave</w:t>
      </w:r>
      <w:r w:rsidRPr="008812ED">
        <w:rPr>
          <w:szCs w:val="24"/>
        </w:rPr>
        <w:t>;</w:t>
      </w:r>
    </w:p>
    <w:p w14:paraId="0D8BA344" w14:textId="77777777" w:rsidR="009C48E2" w:rsidRDefault="009C48E2" w:rsidP="00931169">
      <w:pPr>
        <w:pStyle w:val="Odsekzoznamu"/>
        <w:numPr>
          <w:ilvl w:val="0"/>
          <w:numId w:val="12"/>
        </w:numPr>
        <w:spacing w:before="120" w:after="0"/>
        <w:jc w:val="both"/>
        <w:rPr>
          <w:rStyle w:val="tlid-translation"/>
          <w:szCs w:val="24"/>
        </w:rPr>
      </w:pPr>
      <w:r>
        <w:rPr>
          <w:rStyle w:val="tlid-translation"/>
          <w:szCs w:val="24"/>
        </w:rPr>
        <w:lastRenderedPageBreak/>
        <w:t>v</w:t>
      </w:r>
      <w:r w:rsidRPr="00412407">
        <w:rPr>
          <w:rStyle w:val="tlid-translation"/>
          <w:szCs w:val="24"/>
        </w:rPr>
        <w:t>ýsledk</w:t>
      </w:r>
      <w:r>
        <w:rPr>
          <w:rStyle w:val="tlid-translation"/>
          <w:szCs w:val="24"/>
        </w:rPr>
        <w:t>ov</w:t>
      </w:r>
      <w:r w:rsidRPr="00412407">
        <w:rPr>
          <w:rStyle w:val="tlid-translation"/>
          <w:szCs w:val="24"/>
        </w:rPr>
        <w:t xml:space="preserve"> celoštátneho sčítania dopravy v roku 2015 pre lokalitu Krásno nad Kysucou</w:t>
      </w:r>
      <w:r>
        <w:rPr>
          <w:rStyle w:val="tlid-translation"/>
          <w:szCs w:val="24"/>
        </w:rPr>
        <w:t>.</w:t>
      </w:r>
      <w:r w:rsidRPr="00412407">
        <w:rPr>
          <w:rStyle w:val="tlid-translation"/>
          <w:szCs w:val="24"/>
        </w:rPr>
        <w:t xml:space="preserve"> </w:t>
      </w:r>
    </w:p>
    <w:p w14:paraId="41030E37" w14:textId="77777777" w:rsidR="009C48E2" w:rsidRPr="006F508E" w:rsidRDefault="009C48E2" w:rsidP="00931169">
      <w:pPr>
        <w:rPr>
          <w:rStyle w:val="tlid-translation"/>
          <w:szCs w:val="24"/>
        </w:rPr>
      </w:pPr>
    </w:p>
    <w:p w14:paraId="2D453BC2" w14:textId="77777777" w:rsidR="009C48E2"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t xml:space="preserve">Na základe získaných dostupných údajov o preprave cestujúcich v autobusovej doprave a individuálnej doprave je použitá metóda priameho dopytu. </w:t>
      </w:r>
    </w:p>
    <w:p w14:paraId="54124AE8" w14:textId="77777777" w:rsidR="009C48E2" w:rsidRDefault="009C48E2" w:rsidP="00931169">
      <w:pPr>
        <w:rPr>
          <w:rStyle w:val="tlid-translation"/>
          <w:rFonts w:ascii="Times New Roman" w:hAnsi="Times New Roman" w:cs="Times New Roman"/>
          <w:szCs w:val="24"/>
        </w:rPr>
      </w:pPr>
      <w:r>
        <w:rPr>
          <w:rStyle w:val="tlid-translation"/>
          <w:rFonts w:ascii="Times New Roman" w:hAnsi="Times New Roman" w:cs="Times New Roman"/>
          <w:szCs w:val="24"/>
        </w:rPr>
        <w:t>Priamy dopyt po železničnej osobnej preprave je odvodení od existujúceho dopytu, ktorý je zaznamenaný:</w:t>
      </w:r>
    </w:p>
    <w:p w14:paraId="5CD0806B" w14:textId="77777777" w:rsidR="009C48E2" w:rsidRPr="00412407" w:rsidRDefault="009C48E2" w:rsidP="00931169">
      <w:pPr>
        <w:pStyle w:val="Odsekzoznamu"/>
        <w:numPr>
          <w:ilvl w:val="0"/>
          <w:numId w:val="13"/>
        </w:numPr>
        <w:spacing w:before="120" w:after="0"/>
        <w:jc w:val="both"/>
        <w:rPr>
          <w:rStyle w:val="tlid-translation"/>
          <w:szCs w:val="24"/>
        </w:rPr>
      </w:pPr>
      <w:r w:rsidRPr="00412407">
        <w:rPr>
          <w:rStyle w:val="tlid-translation"/>
          <w:szCs w:val="24"/>
        </w:rPr>
        <w:t>v autobusových linkách smerujúcich z Oščadnice a z mikroregiónu Bystrická dolina (autobusové linky z Oščadnice smer Krásno nad Kysucou žel. st. sú zavedené až v roku 2019) do železničnej stanice Krásno nad Kysucou</w:t>
      </w:r>
      <w:r w:rsidRPr="008812ED">
        <w:rPr>
          <w:szCs w:val="24"/>
        </w:rPr>
        <w:t>;</w:t>
      </w:r>
    </w:p>
    <w:p w14:paraId="45DB766B" w14:textId="77777777" w:rsidR="009C48E2" w:rsidRPr="00412407" w:rsidRDefault="009C48E2" w:rsidP="00931169">
      <w:pPr>
        <w:pStyle w:val="Odsekzoznamu"/>
        <w:numPr>
          <w:ilvl w:val="0"/>
          <w:numId w:val="13"/>
        </w:numPr>
        <w:spacing w:before="120" w:after="0"/>
        <w:jc w:val="both"/>
        <w:rPr>
          <w:rStyle w:val="tlid-translation"/>
          <w:szCs w:val="24"/>
        </w:rPr>
      </w:pPr>
      <w:r w:rsidRPr="00412407">
        <w:rPr>
          <w:rStyle w:val="tlid-translation"/>
          <w:szCs w:val="24"/>
        </w:rPr>
        <w:t>a z autobusových liniek, ktoré premávajú medzi centrom mesta Krásno nad Kysucou a dôležitý</w:t>
      </w:r>
      <w:r>
        <w:rPr>
          <w:rStyle w:val="tlid-translation"/>
          <w:szCs w:val="24"/>
        </w:rPr>
        <w:t>mi spádovými oblasťami.</w:t>
      </w:r>
      <w:r w:rsidRPr="00412407">
        <w:rPr>
          <w:rStyle w:val="tlid-translation"/>
          <w:szCs w:val="24"/>
        </w:rPr>
        <w:t xml:space="preserve"> </w:t>
      </w:r>
    </w:p>
    <w:p w14:paraId="0F5AAFC8" w14:textId="77777777" w:rsidR="009C48E2" w:rsidRDefault="009C48E2" w:rsidP="00931169">
      <w:pPr>
        <w:rPr>
          <w:rFonts w:ascii="Times New Roman" w:hAnsi="Times New Roman" w:cs="Times New Roman"/>
          <w:szCs w:val="24"/>
        </w:rPr>
      </w:pPr>
    </w:p>
    <w:p w14:paraId="25163505" w14:textId="77777777" w:rsidR="009C48E2" w:rsidRDefault="009C48E2" w:rsidP="00931169">
      <w:pPr>
        <w:ind w:firstLine="708"/>
        <w:rPr>
          <w:rFonts w:ascii="Times New Roman" w:hAnsi="Times New Roman" w:cs="Times New Roman"/>
          <w:szCs w:val="24"/>
        </w:rPr>
      </w:pPr>
      <w:r>
        <w:rPr>
          <w:rFonts w:ascii="Times New Roman" w:hAnsi="Times New Roman" w:cs="Times New Roman"/>
          <w:szCs w:val="24"/>
        </w:rPr>
        <w:t xml:space="preserve">Po vybudovaní novej železničnej zastávky Krásno nad Kysucou mesto dôjde k presmerovaniu prímestských autobusov smerujúcich z Oščadnice a Bystrickej doliny do Krásna nad Kysucou železničná stanica do novovybudovanej zastávky  Krásno nad Kysucou – mesto. </w:t>
      </w:r>
    </w:p>
    <w:p w14:paraId="7E246153" w14:textId="5A9FA50E" w:rsidR="009C48E2"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t xml:space="preserve">Ďalší potenciálny dopyt novej zastávky Krásno nad Kysucou mesto je odvodení z existujúceho dopytu v autobusovej doprave, ktorý je zaznamenaný na autobusovej zastávke Krásno nad Kysucou, mestský úrad. Potenciálny dopyt je odvodený z uskutočnených ciest cestujúcich, ktorí využívajú autobusovú dopravu na autobusovej zastávka Krásno nad Kysucou mestský úrad do zastávok autobusovej dopravy v blízkosti železničných staníc. Keďže z centra mesta nie je priame spojene s krajským mestom Žilina a cestovné časy autobusovej dopravy z centra mesta Krásno nad Kysucou do ostatných spádových miest Kysucké Nové Mesto a Čadca budú dlhšie ako v železničnej doprave predpokladá sa, že prevažná časť cestujúcich, ktorí využívali autobusovú zastávku Krásno nad Kysucou, mestský úrad do spádových oblastí presadnú do osobnej železničnej dopravy. </w:t>
      </w:r>
    </w:p>
    <w:p w14:paraId="54B6BBE4" w14:textId="77777777" w:rsidR="009C48E2"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t xml:space="preserve">Údaje o počet cestujúcich boli poskytnuté a spracované v požadovanej štruktúre spoločnosťou Integrovaná doprava Žilinského kraja s. r. o.. Spoločnosť bola založená za účelom prevádzkovania integrovaného dopravného systému vo verejnom záujme na území Žilinského kraja a priľahlých regiónov. Medzi hlavné doterajšie výstupy spoločnosti Integrovaná doprava Žilinského kraja patria nadväzujúce spoje z Bystrickej doliny a Oščadnice. </w:t>
      </w:r>
    </w:p>
    <w:p w14:paraId="47044926" w14:textId="77777777" w:rsidR="001E52B3" w:rsidRDefault="001E52B3" w:rsidP="00931169">
      <w:pPr>
        <w:rPr>
          <w:rStyle w:val="tlid-translation"/>
          <w:rFonts w:ascii="Times New Roman" w:hAnsi="Times New Roman" w:cs="Times New Roman"/>
          <w:szCs w:val="24"/>
        </w:rPr>
      </w:pPr>
    </w:p>
    <w:p w14:paraId="0152F4B8" w14:textId="398BE606" w:rsidR="009C48E2" w:rsidRDefault="009C48E2" w:rsidP="00931169">
      <w:pPr>
        <w:rPr>
          <w:rStyle w:val="tlid-translation"/>
          <w:rFonts w:ascii="Times New Roman" w:hAnsi="Times New Roman" w:cs="Times New Roman"/>
          <w:szCs w:val="24"/>
        </w:rPr>
      </w:pPr>
      <w:r>
        <w:rPr>
          <w:rStyle w:val="tlid-translation"/>
          <w:rFonts w:ascii="Times New Roman" w:hAnsi="Times New Roman" w:cs="Times New Roman"/>
          <w:szCs w:val="24"/>
        </w:rPr>
        <w:t>V prílohách sú spracované údaje:</w:t>
      </w:r>
    </w:p>
    <w:p w14:paraId="6682F6FB" w14:textId="77777777" w:rsidR="009C48E2" w:rsidRDefault="009C48E2" w:rsidP="00931169">
      <w:pPr>
        <w:pStyle w:val="Odsekzoznamu"/>
        <w:numPr>
          <w:ilvl w:val="0"/>
          <w:numId w:val="6"/>
        </w:numPr>
        <w:spacing w:before="120" w:after="0"/>
        <w:jc w:val="both"/>
        <w:rPr>
          <w:rStyle w:val="tlid-translation"/>
          <w:szCs w:val="24"/>
        </w:rPr>
      </w:pPr>
      <w:r>
        <w:rPr>
          <w:rStyle w:val="tlid-translation"/>
          <w:szCs w:val="24"/>
        </w:rPr>
        <w:t xml:space="preserve">o </w:t>
      </w:r>
      <w:r w:rsidRPr="00BE40BE">
        <w:rPr>
          <w:rStyle w:val="tlid-translation"/>
          <w:szCs w:val="24"/>
        </w:rPr>
        <w:t>priemernom počte cestujúcich, ktorí využívajú prestupnú stanicu Krásno nad Kysucou</w:t>
      </w:r>
      <w:r>
        <w:rPr>
          <w:rStyle w:val="tlid-translation"/>
          <w:szCs w:val="24"/>
        </w:rPr>
        <w:t xml:space="preserve"> (príloha 1) t. j. prestup z autobusu na vlak a opačne z Oščadnice a z Bystrickej doliny</w:t>
      </w:r>
      <w:r w:rsidRPr="008812ED">
        <w:rPr>
          <w:szCs w:val="24"/>
        </w:rPr>
        <w:t>;</w:t>
      </w:r>
    </w:p>
    <w:p w14:paraId="4949E79B" w14:textId="77777777" w:rsidR="009C48E2" w:rsidRDefault="009C48E2" w:rsidP="00931169">
      <w:pPr>
        <w:pStyle w:val="Odsekzoznamu"/>
        <w:numPr>
          <w:ilvl w:val="0"/>
          <w:numId w:val="6"/>
        </w:numPr>
        <w:spacing w:before="120" w:after="0"/>
        <w:jc w:val="both"/>
        <w:rPr>
          <w:rStyle w:val="tlid-translation"/>
          <w:szCs w:val="24"/>
        </w:rPr>
      </w:pPr>
      <w:r>
        <w:rPr>
          <w:rStyle w:val="tlid-translation"/>
          <w:szCs w:val="24"/>
        </w:rPr>
        <w:t>o vývoji celkového počtu cestujúcich v autobusovej doprave v smere na Kysucké Nové Mesto a Žilinu</w:t>
      </w:r>
      <w:r w:rsidRPr="008812ED">
        <w:rPr>
          <w:szCs w:val="24"/>
        </w:rPr>
        <w:t>;</w:t>
      </w:r>
      <w:r>
        <w:rPr>
          <w:rStyle w:val="tlid-translation"/>
          <w:szCs w:val="24"/>
        </w:rPr>
        <w:t xml:space="preserve"> </w:t>
      </w:r>
    </w:p>
    <w:p w14:paraId="3347043E" w14:textId="77777777" w:rsidR="009C48E2" w:rsidRDefault="009C48E2" w:rsidP="00931169">
      <w:pPr>
        <w:pStyle w:val="Odsekzoznamu"/>
        <w:numPr>
          <w:ilvl w:val="0"/>
          <w:numId w:val="6"/>
        </w:numPr>
        <w:spacing w:before="120" w:after="0"/>
        <w:jc w:val="both"/>
        <w:rPr>
          <w:rStyle w:val="tlid-translation"/>
          <w:szCs w:val="24"/>
        </w:rPr>
      </w:pPr>
      <w:r>
        <w:rPr>
          <w:rStyle w:val="tlid-translation"/>
          <w:szCs w:val="24"/>
        </w:rPr>
        <w:t xml:space="preserve">o štruktúre a výške prúdov cestujúcich: </w:t>
      </w:r>
    </w:p>
    <w:p w14:paraId="467A9DAF"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t xml:space="preserve">z Krásna nad Kysucou, </w:t>
      </w:r>
    </w:p>
    <w:p w14:paraId="69001046"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t xml:space="preserve">do Krásna nad Kysucou, </w:t>
      </w:r>
    </w:p>
    <w:p w14:paraId="427D3521"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t xml:space="preserve">z Oščadnice smer Žilina a Kysucké Nové Mesto, </w:t>
      </w:r>
    </w:p>
    <w:p w14:paraId="586C1BD0"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t>zo Žiliny a Kysuckého Nového Mesta do Oščadnice,</w:t>
      </w:r>
    </w:p>
    <w:p w14:paraId="4673D8D2"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t>z bystrickej Doliny do Kysuckého Nového Mesta a Žiliny</w:t>
      </w:r>
    </w:p>
    <w:p w14:paraId="6551DD75"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lastRenderedPageBreak/>
        <w:t>zo Žiliny a Kysuckého Nového Mesta do Bystrickej doliny</w:t>
      </w:r>
    </w:p>
    <w:p w14:paraId="10A9C44C"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t xml:space="preserve">z Čadce do Bystrickej doliny </w:t>
      </w:r>
    </w:p>
    <w:p w14:paraId="5BDC5593" w14:textId="77777777" w:rsidR="009C48E2" w:rsidRDefault="009C48E2" w:rsidP="00931169">
      <w:pPr>
        <w:pStyle w:val="Odsekzoznamu"/>
        <w:numPr>
          <w:ilvl w:val="0"/>
          <w:numId w:val="14"/>
        </w:numPr>
        <w:spacing w:before="120" w:after="0"/>
        <w:ind w:left="1418" w:hanging="284"/>
        <w:jc w:val="both"/>
        <w:rPr>
          <w:rStyle w:val="tlid-translation"/>
          <w:szCs w:val="24"/>
        </w:rPr>
      </w:pPr>
      <w:r>
        <w:rPr>
          <w:rStyle w:val="tlid-translation"/>
          <w:szCs w:val="24"/>
        </w:rPr>
        <w:t xml:space="preserve">z Bystrickej doliny do Čadce </w:t>
      </w:r>
    </w:p>
    <w:p w14:paraId="2ECBCA8F" w14:textId="77777777" w:rsidR="009C48E2" w:rsidRDefault="009C48E2" w:rsidP="00931169">
      <w:pPr>
        <w:rPr>
          <w:rStyle w:val="tlid-translation"/>
          <w:rFonts w:ascii="Times New Roman" w:hAnsi="Times New Roman" w:cs="Times New Roman"/>
          <w:szCs w:val="24"/>
        </w:rPr>
      </w:pPr>
    </w:p>
    <w:p w14:paraId="5B26A7D7" w14:textId="77777777" w:rsidR="009C48E2" w:rsidRPr="004F6513" w:rsidRDefault="009C48E2" w:rsidP="00931169">
      <w:pPr>
        <w:ind w:firstLine="708"/>
        <w:rPr>
          <w:rStyle w:val="tlid-translation"/>
          <w:rFonts w:ascii="Times New Roman" w:hAnsi="Times New Roman" w:cs="Times New Roman"/>
          <w:szCs w:val="24"/>
        </w:rPr>
      </w:pPr>
      <w:r w:rsidRPr="004F6513">
        <w:rPr>
          <w:rStyle w:val="tlid-translation"/>
          <w:rFonts w:ascii="Times New Roman" w:hAnsi="Times New Roman" w:cs="Times New Roman"/>
          <w:szCs w:val="24"/>
        </w:rPr>
        <w:t>Pre výpočet prerozdelenia ciest v rámci novo navrhovanej železničnej zastávky Krásno nad Kysucou – mesto sa používa gravitačný model, ktorý je založený na predpoklade, že prerozdelenie ciest medzi autobusovú a železničnú dopravu  je priamo úmerný vzdialeností železničnej zastávky od jednotlivých obydlí. V prospech prevedeného dopytu z autobusovej dopravy na železničnú  ovplyvňujú tieto faktory:</w:t>
      </w:r>
    </w:p>
    <w:p w14:paraId="7501BF6A" w14:textId="77777777" w:rsidR="009C48E2" w:rsidRPr="004F6513" w:rsidRDefault="009C48E2" w:rsidP="00931169">
      <w:pPr>
        <w:pStyle w:val="Odsekzoznamu"/>
        <w:numPr>
          <w:ilvl w:val="0"/>
          <w:numId w:val="15"/>
        </w:numPr>
        <w:spacing w:before="120" w:after="0"/>
        <w:jc w:val="both"/>
        <w:rPr>
          <w:rStyle w:val="tlid-translation"/>
          <w:szCs w:val="24"/>
        </w:rPr>
      </w:pPr>
      <w:r w:rsidRPr="004F6513">
        <w:rPr>
          <w:rStyle w:val="tlid-translation"/>
          <w:szCs w:val="24"/>
        </w:rPr>
        <w:t>je ukončená modernizácia železničného úseku Krásno nad Kysucou – Žilina</w:t>
      </w:r>
      <w:r w:rsidRPr="004F6513">
        <w:rPr>
          <w:szCs w:val="24"/>
        </w:rPr>
        <w:t>;</w:t>
      </w:r>
    </w:p>
    <w:p w14:paraId="5F193D51" w14:textId="77777777" w:rsidR="009C48E2" w:rsidRPr="004F6513" w:rsidRDefault="009C48E2" w:rsidP="00931169">
      <w:pPr>
        <w:pStyle w:val="Odsekzoznamu"/>
        <w:numPr>
          <w:ilvl w:val="0"/>
          <w:numId w:val="15"/>
        </w:numPr>
        <w:spacing w:before="120" w:after="0"/>
        <w:jc w:val="both"/>
        <w:rPr>
          <w:rStyle w:val="tlid-translation"/>
          <w:szCs w:val="24"/>
        </w:rPr>
      </w:pPr>
      <w:r w:rsidRPr="004F6513">
        <w:rPr>
          <w:rStyle w:val="tlid-translation"/>
          <w:szCs w:val="24"/>
        </w:rPr>
        <w:t>modernizácia železničného úseku Krásno nad Kysucou (mimo) – Čadca – štátna hranica SR/ČR</w:t>
      </w:r>
      <w:r w:rsidRPr="004F6513">
        <w:rPr>
          <w:szCs w:val="24"/>
        </w:rPr>
        <w:t>;</w:t>
      </w:r>
    </w:p>
    <w:p w14:paraId="66523759" w14:textId="77777777" w:rsidR="009C48E2" w:rsidRPr="004F6513" w:rsidRDefault="009C48E2" w:rsidP="00931169">
      <w:pPr>
        <w:pStyle w:val="Odsekzoznamu"/>
        <w:numPr>
          <w:ilvl w:val="0"/>
          <w:numId w:val="15"/>
        </w:numPr>
        <w:spacing w:before="120" w:after="0"/>
        <w:jc w:val="both"/>
        <w:rPr>
          <w:rStyle w:val="tlid-translation"/>
          <w:szCs w:val="24"/>
        </w:rPr>
      </w:pPr>
      <w:r w:rsidRPr="004F6513">
        <w:rPr>
          <w:rStyle w:val="tlid-translation"/>
          <w:szCs w:val="24"/>
        </w:rPr>
        <w:t>kratší cestovný čas v prospech železničnej dopravy smer Žilina</w:t>
      </w:r>
      <w:r w:rsidRPr="004F6513">
        <w:rPr>
          <w:szCs w:val="24"/>
        </w:rPr>
        <w:t>;</w:t>
      </w:r>
    </w:p>
    <w:p w14:paraId="7B2232E3" w14:textId="77777777" w:rsidR="009C48E2" w:rsidRPr="004F6513" w:rsidRDefault="009C48E2" w:rsidP="00931169">
      <w:pPr>
        <w:pStyle w:val="Odsekzoznamu"/>
        <w:numPr>
          <w:ilvl w:val="0"/>
          <w:numId w:val="15"/>
        </w:numPr>
        <w:spacing w:before="120" w:after="0"/>
        <w:jc w:val="both"/>
        <w:rPr>
          <w:rStyle w:val="tlid-translation"/>
          <w:szCs w:val="24"/>
        </w:rPr>
      </w:pPr>
      <w:r w:rsidRPr="004F6513">
        <w:rPr>
          <w:rStyle w:val="tlid-translation"/>
          <w:szCs w:val="24"/>
        </w:rPr>
        <w:t>podobný cestovný čas autobusovej a železničnej dopravy smer Čadca</w:t>
      </w:r>
      <w:r w:rsidRPr="004F6513">
        <w:rPr>
          <w:szCs w:val="24"/>
        </w:rPr>
        <w:t>;</w:t>
      </w:r>
    </w:p>
    <w:p w14:paraId="6A071B55" w14:textId="77777777" w:rsidR="009C48E2" w:rsidRDefault="009C48E2" w:rsidP="00931169">
      <w:pPr>
        <w:pStyle w:val="Odsekzoznamu"/>
        <w:numPr>
          <w:ilvl w:val="0"/>
          <w:numId w:val="15"/>
        </w:numPr>
        <w:spacing w:before="120" w:after="0"/>
        <w:jc w:val="both"/>
        <w:rPr>
          <w:rStyle w:val="tlid-translation"/>
          <w:szCs w:val="24"/>
        </w:rPr>
      </w:pPr>
      <w:r>
        <w:rPr>
          <w:rStyle w:val="tlid-translation"/>
          <w:szCs w:val="24"/>
        </w:rPr>
        <w:t xml:space="preserve">preťaženosť </w:t>
      </w:r>
      <w:r w:rsidRPr="00DD73EC">
        <w:rPr>
          <w:rStyle w:val="tlid-translation"/>
          <w:szCs w:val="24"/>
        </w:rPr>
        <w:t>na cest</w:t>
      </w:r>
      <w:r>
        <w:rPr>
          <w:rStyle w:val="tlid-translation"/>
          <w:szCs w:val="24"/>
        </w:rPr>
        <w:t>e E75 (I/11)</w:t>
      </w:r>
      <w:r w:rsidRPr="008812ED">
        <w:rPr>
          <w:szCs w:val="24"/>
        </w:rPr>
        <w:t>;</w:t>
      </w:r>
    </w:p>
    <w:p w14:paraId="2DB0893C" w14:textId="77777777" w:rsidR="009C48E2" w:rsidRDefault="009C48E2" w:rsidP="00931169">
      <w:pPr>
        <w:pStyle w:val="Odsekzoznamu"/>
        <w:numPr>
          <w:ilvl w:val="0"/>
          <w:numId w:val="15"/>
        </w:numPr>
        <w:spacing w:before="120" w:after="0"/>
        <w:jc w:val="both"/>
        <w:rPr>
          <w:rStyle w:val="tlid-translation"/>
          <w:szCs w:val="24"/>
        </w:rPr>
      </w:pPr>
      <w:r>
        <w:rPr>
          <w:rStyle w:val="tlid-translation"/>
          <w:szCs w:val="24"/>
        </w:rPr>
        <w:t>rast železničnej dopravy zo zavedením 60 min taktu v sedlách v 30 min. taktu v špičkách</w:t>
      </w:r>
      <w:r w:rsidRPr="008812ED">
        <w:rPr>
          <w:szCs w:val="24"/>
        </w:rPr>
        <w:t>;</w:t>
      </w:r>
    </w:p>
    <w:p w14:paraId="688D9837" w14:textId="77777777" w:rsidR="009C48E2" w:rsidRDefault="009C48E2" w:rsidP="00931169">
      <w:pPr>
        <w:pStyle w:val="Odsekzoznamu"/>
        <w:numPr>
          <w:ilvl w:val="0"/>
          <w:numId w:val="15"/>
        </w:numPr>
        <w:spacing w:before="120" w:after="0"/>
        <w:jc w:val="both"/>
        <w:rPr>
          <w:rStyle w:val="tlid-translation"/>
          <w:szCs w:val="24"/>
        </w:rPr>
      </w:pPr>
      <w:r>
        <w:rPr>
          <w:rStyle w:val="tlid-translation"/>
          <w:szCs w:val="24"/>
        </w:rPr>
        <w:t xml:space="preserve">zavedenie bezplatného cestovného lístka pre študentov a seniorov. </w:t>
      </w:r>
    </w:p>
    <w:p w14:paraId="1B155285" w14:textId="77777777" w:rsidR="009C48E2" w:rsidRPr="00DD73EC" w:rsidRDefault="009C48E2" w:rsidP="00931169">
      <w:pPr>
        <w:rPr>
          <w:rStyle w:val="tlid-translation"/>
          <w:rFonts w:ascii="Times New Roman" w:hAnsi="Times New Roman" w:cs="Times New Roman"/>
          <w:szCs w:val="24"/>
        </w:rPr>
      </w:pPr>
    </w:p>
    <w:p w14:paraId="1C0B784F" w14:textId="77777777" w:rsidR="009C48E2" w:rsidRPr="004F6513"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t>P</w:t>
      </w:r>
      <w:r w:rsidRPr="004F6513">
        <w:rPr>
          <w:rStyle w:val="tlid-translation"/>
          <w:rFonts w:ascii="Times New Roman" w:hAnsi="Times New Roman" w:cs="Times New Roman"/>
          <w:szCs w:val="24"/>
        </w:rPr>
        <w:t>otenciáln</w:t>
      </w:r>
      <w:r>
        <w:rPr>
          <w:rStyle w:val="tlid-translation"/>
          <w:rFonts w:ascii="Times New Roman" w:hAnsi="Times New Roman" w:cs="Times New Roman"/>
          <w:szCs w:val="24"/>
        </w:rPr>
        <w:t>y</w:t>
      </w:r>
      <w:r w:rsidRPr="004F6513">
        <w:rPr>
          <w:rStyle w:val="tlid-translation"/>
          <w:rFonts w:ascii="Times New Roman" w:hAnsi="Times New Roman" w:cs="Times New Roman"/>
          <w:szCs w:val="24"/>
        </w:rPr>
        <w:t xml:space="preserve"> </w:t>
      </w:r>
      <w:r>
        <w:rPr>
          <w:rStyle w:val="tlid-translation"/>
          <w:rFonts w:ascii="Times New Roman" w:hAnsi="Times New Roman" w:cs="Times New Roman"/>
          <w:szCs w:val="24"/>
        </w:rPr>
        <w:t xml:space="preserve">novovznikajúci železničný </w:t>
      </w:r>
      <w:r w:rsidRPr="004F6513">
        <w:rPr>
          <w:rStyle w:val="tlid-translation"/>
          <w:rFonts w:ascii="Times New Roman" w:hAnsi="Times New Roman" w:cs="Times New Roman"/>
          <w:szCs w:val="24"/>
        </w:rPr>
        <w:t xml:space="preserve">dopyt v rámci </w:t>
      </w:r>
      <w:r>
        <w:rPr>
          <w:rStyle w:val="tlid-translation"/>
          <w:rFonts w:ascii="Times New Roman" w:hAnsi="Times New Roman" w:cs="Times New Roman"/>
          <w:szCs w:val="24"/>
        </w:rPr>
        <w:t>navrhovanej novej železničnej zastávky Krásno nad Kysucou</w:t>
      </w:r>
      <w:r w:rsidRPr="004F6513">
        <w:rPr>
          <w:rStyle w:val="tlid-translation"/>
          <w:rFonts w:ascii="Times New Roman" w:hAnsi="Times New Roman" w:cs="Times New Roman"/>
          <w:szCs w:val="24"/>
        </w:rPr>
        <w:t xml:space="preserve"> </w:t>
      </w:r>
      <w:r>
        <w:rPr>
          <w:rStyle w:val="tlid-translation"/>
          <w:rFonts w:ascii="Times New Roman" w:hAnsi="Times New Roman" w:cs="Times New Roman"/>
          <w:szCs w:val="24"/>
        </w:rPr>
        <w:t>je modelovaný na základe p</w:t>
      </w:r>
      <w:r w:rsidRPr="004F6513">
        <w:rPr>
          <w:rStyle w:val="tlid-translation"/>
          <w:rFonts w:ascii="Times New Roman" w:hAnsi="Times New Roman" w:cs="Times New Roman"/>
          <w:szCs w:val="24"/>
        </w:rPr>
        <w:t>oč</w:t>
      </w:r>
      <w:r>
        <w:rPr>
          <w:rStyle w:val="tlid-translation"/>
          <w:rFonts w:ascii="Times New Roman" w:hAnsi="Times New Roman" w:cs="Times New Roman"/>
          <w:szCs w:val="24"/>
        </w:rPr>
        <w:t>tu</w:t>
      </w:r>
      <w:r w:rsidRPr="004F6513">
        <w:rPr>
          <w:rStyle w:val="tlid-translation"/>
          <w:rFonts w:ascii="Times New Roman" w:hAnsi="Times New Roman" w:cs="Times New Roman"/>
          <w:szCs w:val="24"/>
        </w:rPr>
        <w:t xml:space="preserve"> nastupujúcich a vystupujúcich cestujúcich na autobusových zastávkach:</w:t>
      </w:r>
    </w:p>
    <w:p w14:paraId="7F1326D1" w14:textId="77777777" w:rsidR="009C48E2" w:rsidRPr="004F6513" w:rsidRDefault="009C48E2" w:rsidP="00931169">
      <w:pPr>
        <w:pStyle w:val="Odsekzoznamu"/>
        <w:numPr>
          <w:ilvl w:val="0"/>
          <w:numId w:val="16"/>
        </w:numPr>
        <w:spacing w:before="120" w:after="0"/>
        <w:jc w:val="both"/>
        <w:rPr>
          <w:rStyle w:val="tlid-translation"/>
          <w:szCs w:val="24"/>
        </w:rPr>
      </w:pPr>
      <w:r w:rsidRPr="004F6513">
        <w:rPr>
          <w:rStyle w:val="tlid-translation"/>
          <w:szCs w:val="24"/>
        </w:rPr>
        <w:t>Krásno nad Kysucou, mestský úrad</w:t>
      </w:r>
      <w:r w:rsidRPr="004F6513">
        <w:rPr>
          <w:szCs w:val="24"/>
        </w:rPr>
        <w:t>;</w:t>
      </w:r>
      <w:r w:rsidRPr="004F6513">
        <w:rPr>
          <w:rStyle w:val="tlid-translation"/>
          <w:szCs w:val="24"/>
        </w:rPr>
        <w:t xml:space="preserve"> </w:t>
      </w:r>
    </w:p>
    <w:p w14:paraId="1CC52201" w14:textId="77777777" w:rsidR="009C48E2" w:rsidRPr="004F6513" w:rsidRDefault="009C48E2" w:rsidP="00931169">
      <w:pPr>
        <w:pStyle w:val="Odsekzoznamu"/>
        <w:numPr>
          <w:ilvl w:val="0"/>
          <w:numId w:val="16"/>
        </w:numPr>
        <w:spacing w:before="120" w:after="0"/>
        <w:jc w:val="both"/>
        <w:rPr>
          <w:rStyle w:val="tlid-translation"/>
          <w:szCs w:val="24"/>
        </w:rPr>
      </w:pPr>
      <w:r w:rsidRPr="004F6513">
        <w:rPr>
          <w:rStyle w:val="tlid-translation"/>
          <w:szCs w:val="24"/>
        </w:rPr>
        <w:t>Krásno nad Kysucou, ústredie</w:t>
      </w:r>
      <w:r w:rsidRPr="004F6513">
        <w:rPr>
          <w:szCs w:val="24"/>
        </w:rPr>
        <w:t>;</w:t>
      </w:r>
      <w:r w:rsidRPr="004F6513">
        <w:rPr>
          <w:rStyle w:val="tlid-translation"/>
          <w:szCs w:val="24"/>
        </w:rPr>
        <w:t xml:space="preserve"> </w:t>
      </w:r>
    </w:p>
    <w:p w14:paraId="51B6406D" w14:textId="77777777" w:rsidR="009C48E2" w:rsidRPr="004F6513" w:rsidRDefault="009C48E2" w:rsidP="00931169">
      <w:pPr>
        <w:pStyle w:val="Odsekzoznamu"/>
        <w:numPr>
          <w:ilvl w:val="0"/>
          <w:numId w:val="16"/>
        </w:numPr>
        <w:spacing w:before="120" w:after="0"/>
        <w:jc w:val="both"/>
        <w:rPr>
          <w:rStyle w:val="tlid-translation"/>
          <w:szCs w:val="24"/>
        </w:rPr>
      </w:pPr>
      <w:r w:rsidRPr="004F6513">
        <w:rPr>
          <w:rStyle w:val="tlid-translation"/>
          <w:szCs w:val="24"/>
        </w:rPr>
        <w:t xml:space="preserve">Krásno nad Kysucou sídlisko Struhy. </w:t>
      </w:r>
    </w:p>
    <w:p w14:paraId="57D27B0D" w14:textId="77777777" w:rsidR="009C48E2" w:rsidRPr="004F6513" w:rsidRDefault="009C48E2" w:rsidP="00931169">
      <w:pPr>
        <w:rPr>
          <w:rStyle w:val="tlid-translation"/>
          <w:rFonts w:ascii="Times New Roman" w:hAnsi="Times New Roman" w:cs="Times New Roman"/>
          <w:szCs w:val="24"/>
        </w:rPr>
      </w:pPr>
    </w:p>
    <w:p w14:paraId="40C77950" w14:textId="77777777" w:rsidR="009C48E2" w:rsidRPr="004F6513" w:rsidRDefault="009C48E2" w:rsidP="00931169">
      <w:pPr>
        <w:ind w:firstLine="708"/>
        <w:rPr>
          <w:rStyle w:val="tlid-translation"/>
          <w:rFonts w:ascii="Times New Roman" w:hAnsi="Times New Roman" w:cs="Times New Roman"/>
          <w:szCs w:val="24"/>
        </w:rPr>
      </w:pPr>
      <w:r w:rsidRPr="004F6513">
        <w:rPr>
          <w:rStyle w:val="tlid-translation"/>
          <w:rFonts w:ascii="Times New Roman" w:hAnsi="Times New Roman" w:cs="Times New Roman"/>
          <w:szCs w:val="24"/>
        </w:rPr>
        <w:t xml:space="preserve">Novo navrhovaná  železničná zastávka Krásno nad Kysucou – mesto je vzdialená chôdzou 5 min od autobusovej zastávky Krásno nad Kysucou, mestský úrad. Autobusové zastávky Krásno nad Kysucou, sídlisko Struhy a Krásno nad Kysucou, ústredie sú vzdialené chôdzou 10 až  15 min od umiestnenia novo navrhovanej  železničnej zastávky Krásno nad Kysucou – mesto. Na základe umiestnenia železničnej zástavky Krásno nad Kysucou v blízkosti  centra mesta a na základe prepravného  potenciálu (počet nastúpených a vystúpených cestujúcich) v autobusovej dopravy bol odvodený  počet prevedených  cestujúcich a jednotlivých uskutočnených ciest v O – D matici cestujúcich pre železničnú dopravu. </w:t>
      </w:r>
    </w:p>
    <w:p w14:paraId="3F85D8DD" w14:textId="77777777" w:rsidR="009C48E2" w:rsidRPr="004F6513"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t xml:space="preserve">V </w:t>
      </w:r>
      <w:r w:rsidRPr="004F6513">
        <w:rPr>
          <w:rStyle w:val="tlid-translation"/>
          <w:rFonts w:ascii="Times New Roman" w:hAnsi="Times New Roman" w:cs="Times New Roman"/>
          <w:szCs w:val="24"/>
        </w:rPr>
        <w:t>rámci budovania integr</w:t>
      </w:r>
      <w:r>
        <w:rPr>
          <w:rStyle w:val="tlid-translation"/>
          <w:rFonts w:ascii="Times New Roman" w:hAnsi="Times New Roman" w:cs="Times New Roman"/>
          <w:szCs w:val="24"/>
        </w:rPr>
        <w:t>ovaného dopravného systému je modelovaný dopyt po železničnej doprave odvodený z počtu</w:t>
      </w:r>
      <w:r w:rsidRPr="004F6513">
        <w:rPr>
          <w:rStyle w:val="tlid-translation"/>
          <w:rFonts w:ascii="Times New Roman" w:hAnsi="Times New Roman" w:cs="Times New Roman"/>
          <w:szCs w:val="24"/>
        </w:rPr>
        <w:t xml:space="preserve"> nastupujúcich a vystupujúcich cestujúcich na autobusových zastávkach z Bystrickej doliny a Oščadnice do autobusových staníc a späť:</w:t>
      </w:r>
    </w:p>
    <w:p w14:paraId="0CDD7838" w14:textId="77777777" w:rsidR="009C48E2" w:rsidRPr="004F6513" w:rsidRDefault="009C48E2" w:rsidP="00931169">
      <w:pPr>
        <w:pStyle w:val="Odsekzoznamu"/>
        <w:numPr>
          <w:ilvl w:val="0"/>
          <w:numId w:val="17"/>
        </w:numPr>
        <w:spacing w:before="120" w:after="0"/>
        <w:jc w:val="both"/>
        <w:rPr>
          <w:rStyle w:val="tlid-translation"/>
          <w:szCs w:val="24"/>
        </w:rPr>
      </w:pPr>
      <w:r w:rsidRPr="004F6513">
        <w:rPr>
          <w:rStyle w:val="tlid-translation"/>
          <w:szCs w:val="24"/>
        </w:rPr>
        <w:t>Žilina, autobusová stanica</w:t>
      </w:r>
      <w:r w:rsidRPr="004F6513">
        <w:rPr>
          <w:szCs w:val="24"/>
        </w:rPr>
        <w:t>;</w:t>
      </w:r>
    </w:p>
    <w:p w14:paraId="2759BF55" w14:textId="77777777" w:rsidR="009C48E2" w:rsidRPr="004F6513" w:rsidRDefault="009C48E2" w:rsidP="00931169">
      <w:pPr>
        <w:pStyle w:val="Odsekzoznamu"/>
        <w:numPr>
          <w:ilvl w:val="0"/>
          <w:numId w:val="17"/>
        </w:numPr>
        <w:spacing w:before="120" w:after="0"/>
        <w:jc w:val="both"/>
        <w:rPr>
          <w:rStyle w:val="tlid-translation"/>
          <w:szCs w:val="24"/>
        </w:rPr>
      </w:pPr>
      <w:r w:rsidRPr="004F6513">
        <w:rPr>
          <w:rStyle w:val="tlid-translation"/>
          <w:szCs w:val="24"/>
        </w:rPr>
        <w:t>Žilina, Kysucká</w:t>
      </w:r>
      <w:r w:rsidRPr="004F6513">
        <w:rPr>
          <w:szCs w:val="24"/>
        </w:rPr>
        <w:t>;</w:t>
      </w:r>
    </w:p>
    <w:p w14:paraId="390DE231" w14:textId="77777777" w:rsidR="009C48E2" w:rsidRDefault="009C48E2" w:rsidP="00931169">
      <w:pPr>
        <w:pStyle w:val="Odsekzoznamu"/>
        <w:numPr>
          <w:ilvl w:val="0"/>
          <w:numId w:val="17"/>
        </w:numPr>
        <w:spacing w:before="120" w:after="0"/>
        <w:jc w:val="both"/>
        <w:rPr>
          <w:rStyle w:val="tlid-translation"/>
          <w:szCs w:val="24"/>
        </w:rPr>
      </w:pPr>
      <w:r>
        <w:rPr>
          <w:rStyle w:val="tlid-translation"/>
          <w:szCs w:val="24"/>
        </w:rPr>
        <w:t>Kysucké nové Mesto, autobusová stanica,</w:t>
      </w:r>
    </w:p>
    <w:p w14:paraId="64AB421F" w14:textId="77777777" w:rsidR="009C48E2" w:rsidRDefault="009C48E2" w:rsidP="00931169">
      <w:pPr>
        <w:pStyle w:val="Odsekzoznamu"/>
        <w:numPr>
          <w:ilvl w:val="0"/>
          <w:numId w:val="17"/>
        </w:numPr>
        <w:spacing w:before="120" w:after="0"/>
        <w:jc w:val="both"/>
        <w:rPr>
          <w:rStyle w:val="tlid-translation"/>
          <w:szCs w:val="24"/>
        </w:rPr>
      </w:pPr>
      <w:r>
        <w:rPr>
          <w:rStyle w:val="tlid-translation"/>
          <w:szCs w:val="24"/>
        </w:rPr>
        <w:t>Čadca, železničná zastávka mesto</w:t>
      </w:r>
    </w:p>
    <w:p w14:paraId="191494AD" w14:textId="77777777" w:rsidR="009C48E2" w:rsidRDefault="009C48E2" w:rsidP="00931169">
      <w:pPr>
        <w:pStyle w:val="Odsekzoznamu"/>
        <w:numPr>
          <w:ilvl w:val="0"/>
          <w:numId w:val="17"/>
        </w:numPr>
        <w:spacing w:before="120" w:after="0"/>
        <w:jc w:val="both"/>
        <w:rPr>
          <w:rStyle w:val="tlid-translation"/>
          <w:szCs w:val="24"/>
        </w:rPr>
      </w:pPr>
      <w:r>
        <w:rPr>
          <w:rStyle w:val="tlid-translation"/>
          <w:szCs w:val="24"/>
        </w:rPr>
        <w:t xml:space="preserve">Čadca, autobusová stanica, </w:t>
      </w:r>
    </w:p>
    <w:p w14:paraId="45987C86" w14:textId="77777777" w:rsidR="009C48E2" w:rsidRPr="00EB5F98" w:rsidRDefault="009C48E2" w:rsidP="00931169">
      <w:pPr>
        <w:rPr>
          <w:rStyle w:val="tlid-translation"/>
          <w:rFonts w:ascii="Times New Roman" w:hAnsi="Times New Roman" w:cs="Times New Roman"/>
          <w:szCs w:val="24"/>
        </w:rPr>
      </w:pPr>
    </w:p>
    <w:p w14:paraId="05EE0C0E" w14:textId="77777777" w:rsidR="009C48E2"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lastRenderedPageBreak/>
        <w:t xml:space="preserve">Modelovanie novovznikajúceho dopytu z dôvodu presunu cestujúcich z autobusovej dopravy na železničnú je ovplyvňované na základe  porovnania cestovných časov najvýznamnejších záujmových oblastí. </w:t>
      </w:r>
    </w:p>
    <w:p w14:paraId="14A99CE9" w14:textId="77777777" w:rsidR="001E52B3" w:rsidRDefault="001E52B3" w:rsidP="00931169">
      <w:pPr>
        <w:rPr>
          <w:rStyle w:val="tlid-translation"/>
          <w:rFonts w:ascii="Times New Roman" w:hAnsi="Times New Roman" w:cs="Times New Roman"/>
          <w:szCs w:val="24"/>
        </w:rPr>
      </w:pPr>
    </w:p>
    <w:p w14:paraId="185133BB" w14:textId="0A770FE6" w:rsidR="009C48E2" w:rsidRPr="004F6513" w:rsidRDefault="009C48E2" w:rsidP="00931169">
      <w:pPr>
        <w:ind w:firstLine="708"/>
        <w:rPr>
          <w:rStyle w:val="tlid-translation"/>
          <w:rFonts w:ascii="Times New Roman" w:hAnsi="Times New Roman" w:cs="Times New Roman"/>
          <w:szCs w:val="24"/>
        </w:rPr>
      </w:pPr>
      <w:r w:rsidRPr="004F6513">
        <w:rPr>
          <w:rStyle w:val="tlid-translation"/>
          <w:rFonts w:ascii="Times New Roman" w:hAnsi="Times New Roman" w:cs="Times New Roman"/>
          <w:szCs w:val="24"/>
        </w:rPr>
        <w:t xml:space="preserve">V nasledujúcich tabuľkách sú porovnávané cestovné časy pri používaní integrovanej dopravy (autobus a vlak) oproti autobusovej  doprave pre záujmové oblasti a lokality </w:t>
      </w:r>
      <w:r>
        <w:rPr>
          <w:rStyle w:val="tlid-translation"/>
          <w:rFonts w:ascii="Times New Roman" w:hAnsi="Times New Roman" w:cs="Times New Roman"/>
          <w:szCs w:val="24"/>
        </w:rPr>
        <w:t>.</w:t>
      </w:r>
    </w:p>
    <w:p w14:paraId="628554CB" w14:textId="77777777" w:rsidR="001E52B3" w:rsidRDefault="001E52B3" w:rsidP="00931169">
      <w:pPr>
        <w:rPr>
          <w:rStyle w:val="tlid-translation"/>
          <w:rFonts w:ascii="Times New Roman" w:hAnsi="Times New Roman" w:cs="Times New Roman"/>
          <w:szCs w:val="24"/>
        </w:rPr>
      </w:pPr>
    </w:p>
    <w:p w14:paraId="5EF6ECB1" w14:textId="77777777" w:rsidR="001E52B3" w:rsidRDefault="001E52B3" w:rsidP="00931169">
      <w:pPr>
        <w:rPr>
          <w:rStyle w:val="tlid-translation"/>
          <w:rFonts w:ascii="Times New Roman" w:hAnsi="Times New Roman" w:cs="Times New Roman"/>
          <w:szCs w:val="24"/>
        </w:rPr>
      </w:pPr>
    </w:p>
    <w:p w14:paraId="7E3A3AB6" w14:textId="1EA78592" w:rsidR="009C48E2" w:rsidRPr="007751FE" w:rsidRDefault="009C48E2" w:rsidP="00931169">
      <w:pPr>
        <w:rPr>
          <w:rStyle w:val="tlid-translation"/>
          <w:rFonts w:ascii="Times New Roman" w:hAnsi="Times New Roman" w:cs="Times New Roman"/>
          <w:szCs w:val="24"/>
        </w:rPr>
      </w:pPr>
      <w:r w:rsidRPr="007751FE">
        <w:rPr>
          <w:rStyle w:val="tlid-translation"/>
          <w:rFonts w:ascii="Times New Roman" w:hAnsi="Times New Roman" w:cs="Times New Roman"/>
          <w:szCs w:val="24"/>
        </w:rPr>
        <w:t xml:space="preserve">Tabuľka </w:t>
      </w:r>
      <w:r w:rsidR="00DA0B84">
        <w:rPr>
          <w:rStyle w:val="tlid-translation"/>
          <w:rFonts w:ascii="Times New Roman" w:hAnsi="Times New Roman" w:cs="Times New Roman"/>
          <w:szCs w:val="24"/>
        </w:rPr>
        <w:t>21</w:t>
      </w:r>
      <w:r w:rsidRPr="007751FE">
        <w:rPr>
          <w:rStyle w:val="tlid-translation"/>
          <w:rFonts w:ascii="Times New Roman" w:hAnsi="Times New Roman" w:cs="Times New Roman"/>
          <w:szCs w:val="24"/>
        </w:rPr>
        <w:t>: Cestovné časy autobusovej a integrovanej dopravy – súčasný stav</w:t>
      </w:r>
    </w:p>
    <w:tbl>
      <w:tblPr>
        <w:tblW w:w="9300" w:type="dxa"/>
        <w:tblInd w:w="65" w:type="dxa"/>
        <w:tblCellMar>
          <w:left w:w="70" w:type="dxa"/>
          <w:right w:w="70" w:type="dxa"/>
        </w:tblCellMar>
        <w:tblLook w:val="04A0" w:firstRow="1" w:lastRow="0" w:firstColumn="1" w:lastColumn="0" w:noHBand="0" w:noVBand="1"/>
      </w:tblPr>
      <w:tblGrid>
        <w:gridCol w:w="4940"/>
        <w:gridCol w:w="2180"/>
        <w:gridCol w:w="2180"/>
      </w:tblGrid>
      <w:tr w:rsidR="009C48E2" w:rsidRPr="004F6513" w14:paraId="1C3A0729" w14:textId="77777777" w:rsidTr="00C5567E">
        <w:trPr>
          <w:trHeight w:val="507"/>
        </w:trPr>
        <w:tc>
          <w:tcPr>
            <w:tcW w:w="4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EB57A6" w14:textId="77777777" w:rsidR="009C48E2" w:rsidRPr="004F6513" w:rsidRDefault="009C48E2" w:rsidP="00931169">
            <w:pPr>
              <w:rPr>
                <w:rFonts w:ascii="Times New Roman" w:eastAsia="Times New Roman" w:hAnsi="Times New Roman" w:cs="Times New Roman"/>
                <w:color w:val="000000"/>
                <w:sz w:val="18"/>
                <w:lang w:eastAsia="sk-SK"/>
              </w:rPr>
            </w:pPr>
          </w:p>
        </w:tc>
        <w:tc>
          <w:tcPr>
            <w:tcW w:w="2180" w:type="dxa"/>
            <w:tcBorders>
              <w:top w:val="single" w:sz="4" w:space="0" w:color="auto"/>
              <w:left w:val="nil"/>
              <w:bottom w:val="single" w:sz="4" w:space="0" w:color="auto"/>
              <w:right w:val="single" w:sz="4" w:space="0" w:color="auto"/>
            </w:tcBorders>
            <w:shd w:val="clear" w:color="auto" w:fill="auto"/>
            <w:vAlign w:val="center"/>
            <w:hideMark/>
          </w:tcPr>
          <w:p w14:paraId="518E34C6" w14:textId="77777777" w:rsidR="009C48E2" w:rsidRPr="004F6513" w:rsidRDefault="009C48E2" w:rsidP="00931169">
            <w:pPr>
              <w:rPr>
                <w:rFonts w:ascii="Times New Roman" w:eastAsia="Times New Roman" w:hAnsi="Times New Roman" w:cs="Times New Roman"/>
                <w:b/>
                <w:bCs/>
                <w:color w:val="000000"/>
                <w:sz w:val="18"/>
                <w:lang w:eastAsia="sk-SK"/>
              </w:rPr>
            </w:pPr>
            <w:r w:rsidRPr="004F6513">
              <w:rPr>
                <w:rFonts w:ascii="Times New Roman" w:eastAsia="Times New Roman" w:hAnsi="Times New Roman" w:cs="Times New Roman"/>
                <w:b/>
                <w:bCs/>
                <w:color w:val="000000"/>
                <w:sz w:val="18"/>
                <w:lang w:eastAsia="sk-SK"/>
              </w:rPr>
              <w:t>Autobusová doprava (min)</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14:paraId="578B75FB" w14:textId="77777777" w:rsidR="009C48E2" w:rsidRPr="004F6513" w:rsidRDefault="009C48E2" w:rsidP="00931169">
            <w:pPr>
              <w:rPr>
                <w:rFonts w:ascii="Times New Roman" w:eastAsia="Times New Roman" w:hAnsi="Times New Roman" w:cs="Times New Roman"/>
                <w:b/>
                <w:bCs/>
                <w:color w:val="000000"/>
                <w:sz w:val="18"/>
                <w:lang w:eastAsia="sk-SK"/>
              </w:rPr>
            </w:pPr>
            <w:r w:rsidRPr="004F6513">
              <w:rPr>
                <w:rFonts w:ascii="Times New Roman" w:eastAsia="Times New Roman" w:hAnsi="Times New Roman" w:cs="Times New Roman"/>
                <w:b/>
                <w:bCs/>
                <w:color w:val="000000"/>
                <w:sz w:val="18"/>
                <w:lang w:eastAsia="sk-SK"/>
              </w:rPr>
              <w:t>Železničná doprava + autobusová doprava</w:t>
            </w:r>
          </w:p>
        </w:tc>
      </w:tr>
      <w:tr w:rsidR="009C48E2" w:rsidRPr="004F6513" w14:paraId="4D1F0614"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793175B9"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Stará Bystrica – Kysucké Nové Mesto</w:t>
            </w:r>
          </w:p>
        </w:tc>
        <w:tc>
          <w:tcPr>
            <w:tcW w:w="2180" w:type="dxa"/>
            <w:tcBorders>
              <w:top w:val="nil"/>
              <w:left w:val="nil"/>
              <w:bottom w:val="nil"/>
              <w:right w:val="nil"/>
            </w:tcBorders>
            <w:shd w:val="clear" w:color="auto" w:fill="auto"/>
            <w:noWrap/>
            <w:vAlign w:val="center"/>
            <w:hideMark/>
          </w:tcPr>
          <w:p w14:paraId="797E457F"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46,0</w:t>
            </w:r>
          </w:p>
        </w:tc>
        <w:tc>
          <w:tcPr>
            <w:tcW w:w="2180" w:type="dxa"/>
            <w:tcBorders>
              <w:top w:val="nil"/>
              <w:left w:val="single" w:sz="4" w:space="0" w:color="auto"/>
              <w:bottom w:val="single" w:sz="4" w:space="0" w:color="auto"/>
              <w:right w:val="single" w:sz="4" w:space="0" w:color="auto"/>
            </w:tcBorders>
            <w:shd w:val="clear" w:color="000000" w:fill="92D050"/>
            <w:noWrap/>
            <w:vAlign w:val="center"/>
            <w:hideMark/>
          </w:tcPr>
          <w:p w14:paraId="7C3D0CBF"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44,0</w:t>
            </w:r>
          </w:p>
        </w:tc>
      </w:tr>
      <w:tr w:rsidR="009C48E2" w:rsidRPr="004F6513" w14:paraId="177B8DD7"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3A390F7F"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 xml:space="preserve">Stará Bystrica – Žilina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3A1459FF"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63,0</w:t>
            </w:r>
          </w:p>
        </w:tc>
        <w:tc>
          <w:tcPr>
            <w:tcW w:w="2180" w:type="dxa"/>
            <w:tcBorders>
              <w:top w:val="nil"/>
              <w:left w:val="nil"/>
              <w:bottom w:val="single" w:sz="4" w:space="0" w:color="auto"/>
              <w:right w:val="single" w:sz="4" w:space="0" w:color="auto"/>
            </w:tcBorders>
            <w:shd w:val="clear" w:color="000000" w:fill="92D050"/>
            <w:noWrap/>
            <w:vAlign w:val="center"/>
            <w:hideMark/>
          </w:tcPr>
          <w:p w14:paraId="39CD63D4"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57,0</w:t>
            </w:r>
          </w:p>
        </w:tc>
      </w:tr>
      <w:tr w:rsidR="009C48E2" w:rsidRPr="004F6513" w14:paraId="71307EC0"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79FD3211"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Stará Bystrica – Čadca - mesto</w:t>
            </w:r>
          </w:p>
        </w:tc>
        <w:tc>
          <w:tcPr>
            <w:tcW w:w="2180" w:type="dxa"/>
            <w:tcBorders>
              <w:top w:val="nil"/>
              <w:left w:val="nil"/>
              <w:bottom w:val="single" w:sz="4" w:space="0" w:color="auto"/>
              <w:right w:val="single" w:sz="4" w:space="0" w:color="auto"/>
            </w:tcBorders>
            <w:shd w:val="clear" w:color="000000" w:fill="92D050"/>
            <w:noWrap/>
            <w:vAlign w:val="center"/>
            <w:hideMark/>
          </w:tcPr>
          <w:p w14:paraId="0176A287"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36,0</w:t>
            </w:r>
          </w:p>
        </w:tc>
        <w:tc>
          <w:tcPr>
            <w:tcW w:w="2180" w:type="dxa"/>
            <w:tcBorders>
              <w:top w:val="nil"/>
              <w:left w:val="nil"/>
              <w:bottom w:val="single" w:sz="4" w:space="0" w:color="auto"/>
              <w:right w:val="single" w:sz="4" w:space="0" w:color="auto"/>
            </w:tcBorders>
            <w:shd w:val="clear" w:color="auto" w:fill="auto"/>
            <w:noWrap/>
            <w:vAlign w:val="center"/>
            <w:hideMark/>
          </w:tcPr>
          <w:p w14:paraId="3F45BB55"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70,0</w:t>
            </w:r>
          </w:p>
        </w:tc>
      </w:tr>
      <w:tr w:rsidR="009C48E2" w:rsidRPr="004F6513" w14:paraId="4E7BE746"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6C7B6D01"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Stará Bystrica – Čadca - autobusová stanica</w:t>
            </w:r>
          </w:p>
        </w:tc>
        <w:tc>
          <w:tcPr>
            <w:tcW w:w="2180" w:type="dxa"/>
            <w:tcBorders>
              <w:top w:val="nil"/>
              <w:left w:val="nil"/>
              <w:bottom w:val="single" w:sz="4" w:space="0" w:color="auto"/>
              <w:right w:val="single" w:sz="4" w:space="0" w:color="auto"/>
            </w:tcBorders>
            <w:shd w:val="clear" w:color="000000" w:fill="92D050"/>
            <w:noWrap/>
            <w:vAlign w:val="center"/>
            <w:hideMark/>
          </w:tcPr>
          <w:p w14:paraId="5611B6DF"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38,0</w:t>
            </w:r>
          </w:p>
        </w:tc>
        <w:tc>
          <w:tcPr>
            <w:tcW w:w="2180" w:type="dxa"/>
            <w:tcBorders>
              <w:top w:val="nil"/>
              <w:left w:val="nil"/>
              <w:bottom w:val="single" w:sz="4" w:space="0" w:color="auto"/>
              <w:right w:val="single" w:sz="4" w:space="0" w:color="auto"/>
            </w:tcBorders>
            <w:shd w:val="clear" w:color="auto" w:fill="auto"/>
            <w:noWrap/>
            <w:vAlign w:val="center"/>
            <w:hideMark/>
          </w:tcPr>
          <w:p w14:paraId="00A17E6E"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72,0</w:t>
            </w:r>
          </w:p>
        </w:tc>
      </w:tr>
    </w:tbl>
    <w:p w14:paraId="026453CF" w14:textId="77777777" w:rsidR="009C48E2" w:rsidRPr="007751FE" w:rsidRDefault="009C48E2" w:rsidP="00931169">
      <w:pPr>
        <w:rPr>
          <w:rStyle w:val="tlid-translation"/>
          <w:rFonts w:ascii="Times New Roman" w:hAnsi="Times New Roman" w:cs="Times New Roman"/>
          <w:i/>
          <w:sz w:val="16"/>
          <w:szCs w:val="24"/>
        </w:rPr>
      </w:pPr>
      <w:r w:rsidRPr="007751FE">
        <w:rPr>
          <w:rStyle w:val="tlid-translation"/>
          <w:rFonts w:ascii="Times New Roman" w:hAnsi="Times New Roman" w:cs="Times New Roman"/>
          <w:i/>
          <w:sz w:val="16"/>
          <w:szCs w:val="24"/>
        </w:rPr>
        <w:t>Pozn</w:t>
      </w:r>
      <w:r>
        <w:rPr>
          <w:rStyle w:val="tlid-translation"/>
          <w:rFonts w:ascii="Times New Roman" w:hAnsi="Times New Roman" w:cs="Times New Roman"/>
          <w:i/>
          <w:sz w:val="16"/>
          <w:szCs w:val="24"/>
        </w:rPr>
        <w:t>ámka</w:t>
      </w:r>
      <w:r w:rsidRPr="007751FE">
        <w:rPr>
          <w:rStyle w:val="tlid-translation"/>
          <w:rFonts w:ascii="Times New Roman" w:hAnsi="Times New Roman" w:cs="Times New Roman"/>
          <w:i/>
          <w:sz w:val="16"/>
          <w:szCs w:val="24"/>
        </w:rPr>
        <w:t xml:space="preserve">: </w:t>
      </w:r>
      <w:r>
        <w:rPr>
          <w:rStyle w:val="tlid-translation"/>
          <w:rFonts w:ascii="Times New Roman" w:hAnsi="Times New Roman" w:cs="Times New Roman"/>
          <w:i/>
          <w:sz w:val="16"/>
          <w:szCs w:val="24"/>
        </w:rPr>
        <w:t xml:space="preserve">Prestup v železničnej stanici  </w:t>
      </w:r>
      <w:r w:rsidRPr="007751FE">
        <w:rPr>
          <w:rStyle w:val="tlid-translation"/>
          <w:rFonts w:ascii="Times New Roman" w:hAnsi="Times New Roman" w:cs="Times New Roman"/>
          <w:i/>
          <w:sz w:val="16"/>
          <w:szCs w:val="24"/>
        </w:rPr>
        <w:t>Krásno nad Kysucou, nie sú zabezpečené ideálne prestupy smer Čadca</w:t>
      </w:r>
    </w:p>
    <w:p w14:paraId="44BAB4B6" w14:textId="77777777" w:rsidR="001E52B3" w:rsidRDefault="001E52B3" w:rsidP="00931169">
      <w:pPr>
        <w:ind w:left="1134" w:hanging="1134"/>
        <w:rPr>
          <w:rStyle w:val="tlid-translation"/>
          <w:rFonts w:ascii="Times New Roman" w:hAnsi="Times New Roman" w:cs="Times New Roman"/>
          <w:szCs w:val="24"/>
        </w:rPr>
      </w:pPr>
    </w:p>
    <w:p w14:paraId="5DEFCFF0" w14:textId="0279B1FB" w:rsidR="009C48E2" w:rsidRPr="007751FE" w:rsidRDefault="009C48E2" w:rsidP="00931169">
      <w:pPr>
        <w:ind w:left="1134" w:hanging="1134"/>
        <w:rPr>
          <w:rStyle w:val="tlid-translation"/>
          <w:rFonts w:ascii="Times New Roman" w:hAnsi="Times New Roman" w:cs="Times New Roman"/>
          <w:szCs w:val="24"/>
        </w:rPr>
      </w:pPr>
      <w:r w:rsidRPr="007751FE">
        <w:rPr>
          <w:rStyle w:val="tlid-translation"/>
          <w:rFonts w:ascii="Times New Roman" w:hAnsi="Times New Roman" w:cs="Times New Roman"/>
          <w:szCs w:val="24"/>
        </w:rPr>
        <w:t xml:space="preserve">Tabuľka </w:t>
      </w:r>
      <w:r w:rsidR="00DA0B84">
        <w:rPr>
          <w:rStyle w:val="tlid-translation"/>
          <w:rFonts w:ascii="Times New Roman" w:hAnsi="Times New Roman" w:cs="Times New Roman"/>
          <w:szCs w:val="24"/>
        </w:rPr>
        <w:t>22</w:t>
      </w:r>
      <w:r w:rsidRPr="007751FE">
        <w:rPr>
          <w:rStyle w:val="tlid-translation"/>
          <w:rFonts w:ascii="Times New Roman" w:hAnsi="Times New Roman" w:cs="Times New Roman"/>
          <w:szCs w:val="24"/>
        </w:rPr>
        <w:t>: Cestovné časy autobusovej a integrovanej dopravy – súčasný stav, pri zabezpečení prestupov (nasledujúcich prípojných vlakov) smer Čadca</w:t>
      </w:r>
    </w:p>
    <w:tbl>
      <w:tblPr>
        <w:tblW w:w="9300" w:type="dxa"/>
        <w:tblInd w:w="65" w:type="dxa"/>
        <w:tblCellMar>
          <w:left w:w="70" w:type="dxa"/>
          <w:right w:w="70" w:type="dxa"/>
        </w:tblCellMar>
        <w:tblLook w:val="04A0" w:firstRow="1" w:lastRow="0" w:firstColumn="1" w:lastColumn="0" w:noHBand="0" w:noVBand="1"/>
      </w:tblPr>
      <w:tblGrid>
        <w:gridCol w:w="4940"/>
        <w:gridCol w:w="2180"/>
        <w:gridCol w:w="2180"/>
      </w:tblGrid>
      <w:tr w:rsidR="009C48E2" w:rsidRPr="007751FE" w14:paraId="26C8D6F5" w14:textId="77777777" w:rsidTr="00C5567E">
        <w:trPr>
          <w:trHeight w:val="600"/>
        </w:trPr>
        <w:tc>
          <w:tcPr>
            <w:tcW w:w="494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091CAE"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 </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14:paraId="7C9E1EAB" w14:textId="77777777" w:rsidR="009C48E2" w:rsidRPr="004F6513" w:rsidRDefault="009C48E2" w:rsidP="00931169">
            <w:pPr>
              <w:rPr>
                <w:rFonts w:ascii="Times New Roman" w:eastAsia="Times New Roman" w:hAnsi="Times New Roman" w:cs="Times New Roman"/>
                <w:b/>
                <w:bCs/>
                <w:color w:val="000000"/>
                <w:sz w:val="18"/>
                <w:lang w:eastAsia="sk-SK"/>
              </w:rPr>
            </w:pPr>
            <w:r w:rsidRPr="004F6513">
              <w:rPr>
                <w:rFonts w:ascii="Times New Roman" w:eastAsia="Times New Roman" w:hAnsi="Times New Roman" w:cs="Times New Roman"/>
                <w:b/>
                <w:bCs/>
                <w:color w:val="000000"/>
                <w:sz w:val="18"/>
                <w:lang w:eastAsia="sk-SK"/>
              </w:rPr>
              <w:t>Autobusová doprava (min)</w:t>
            </w:r>
          </w:p>
        </w:tc>
        <w:tc>
          <w:tcPr>
            <w:tcW w:w="2180" w:type="dxa"/>
            <w:tcBorders>
              <w:top w:val="single" w:sz="4" w:space="0" w:color="auto"/>
              <w:left w:val="nil"/>
              <w:bottom w:val="single" w:sz="4" w:space="0" w:color="auto"/>
              <w:right w:val="single" w:sz="4" w:space="0" w:color="auto"/>
            </w:tcBorders>
            <w:shd w:val="clear" w:color="auto" w:fill="auto"/>
            <w:vAlign w:val="center"/>
            <w:hideMark/>
          </w:tcPr>
          <w:p w14:paraId="590B6FB2" w14:textId="77777777" w:rsidR="009C48E2" w:rsidRPr="004F6513" w:rsidRDefault="009C48E2" w:rsidP="00931169">
            <w:pPr>
              <w:rPr>
                <w:rFonts w:ascii="Times New Roman" w:eastAsia="Times New Roman" w:hAnsi="Times New Roman" w:cs="Times New Roman"/>
                <w:b/>
                <w:bCs/>
                <w:color w:val="000000"/>
                <w:sz w:val="18"/>
                <w:lang w:eastAsia="sk-SK"/>
              </w:rPr>
            </w:pPr>
            <w:r w:rsidRPr="004F6513">
              <w:rPr>
                <w:rFonts w:ascii="Times New Roman" w:eastAsia="Times New Roman" w:hAnsi="Times New Roman" w:cs="Times New Roman"/>
                <w:b/>
                <w:bCs/>
                <w:color w:val="000000"/>
                <w:sz w:val="18"/>
                <w:lang w:eastAsia="sk-SK"/>
              </w:rPr>
              <w:t>Železničná doprava + Autobusová doprava</w:t>
            </w:r>
          </w:p>
        </w:tc>
      </w:tr>
      <w:tr w:rsidR="009C48E2" w:rsidRPr="007751FE" w14:paraId="41144479"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01EB3FF0"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Stará Bystrica – Kysucké Nové Mesto</w:t>
            </w:r>
          </w:p>
        </w:tc>
        <w:tc>
          <w:tcPr>
            <w:tcW w:w="2180" w:type="dxa"/>
            <w:tcBorders>
              <w:top w:val="nil"/>
              <w:left w:val="nil"/>
              <w:bottom w:val="nil"/>
              <w:right w:val="nil"/>
            </w:tcBorders>
            <w:shd w:val="clear" w:color="auto" w:fill="auto"/>
            <w:noWrap/>
            <w:vAlign w:val="center"/>
            <w:hideMark/>
          </w:tcPr>
          <w:p w14:paraId="39007FE1"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46,0</w:t>
            </w:r>
          </w:p>
        </w:tc>
        <w:tc>
          <w:tcPr>
            <w:tcW w:w="2180" w:type="dxa"/>
            <w:tcBorders>
              <w:top w:val="nil"/>
              <w:left w:val="single" w:sz="4" w:space="0" w:color="auto"/>
              <w:bottom w:val="single" w:sz="4" w:space="0" w:color="auto"/>
              <w:right w:val="single" w:sz="4" w:space="0" w:color="auto"/>
            </w:tcBorders>
            <w:shd w:val="clear" w:color="000000" w:fill="92D050"/>
            <w:noWrap/>
            <w:vAlign w:val="center"/>
            <w:hideMark/>
          </w:tcPr>
          <w:p w14:paraId="63369C3A"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44,0</w:t>
            </w:r>
          </w:p>
        </w:tc>
      </w:tr>
      <w:tr w:rsidR="009C48E2" w:rsidRPr="007751FE" w14:paraId="3D4527B6"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4193A2E9"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 xml:space="preserve">Stará Bystrica – Žilina </w:t>
            </w:r>
          </w:p>
        </w:tc>
        <w:tc>
          <w:tcPr>
            <w:tcW w:w="2180" w:type="dxa"/>
            <w:tcBorders>
              <w:top w:val="single" w:sz="4" w:space="0" w:color="auto"/>
              <w:left w:val="nil"/>
              <w:bottom w:val="single" w:sz="4" w:space="0" w:color="auto"/>
              <w:right w:val="single" w:sz="4" w:space="0" w:color="auto"/>
            </w:tcBorders>
            <w:shd w:val="clear" w:color="auto" w:fill="auto"/>
            <w:noWrap/>
            <w:vAlign w:val="center"/>
            <w:hideMark/>
          </w:tcPr>
          <w:p w14:paraId="57DD8D06"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63,0</w:t>
            </w:r>
          </w:p>
        </w:tc>
        <w:tc>
          <w:tcPr>
            <w:tcW w:w="2180" w:type="dxa"/>
            <w:tcBorders>
              <w:top w:val="nil"/>
              <w:left w:val="nil"/>
              <w:bottom w:val="single" w:sz="4" w:space="0" w:color="auto"/>
              <w:right w:val="single" w:sz="4" w:space="0" w:color="auto"/>
            </w:tcBorders>
            <w:shd w:val="clear" w:color="000000" w:fill="92D050"/>
            <w:noWrap/>
            <w:vAlign w:val="center"/>
            <w:hideMark/>
          </w:tcPr>
          <w:p w14:paraId="69780AD9"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57,0</w:t>
            </w:r>
          </w:p>
        </w:tc>
      </w:tr>
      <w:tr w:rsidR="009C48E2" w:rsidRPr="007751FE" w14:paraId="71C55E5D"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211134C8"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Stará Bystrica – Čadca - mesto</w:t>
            </w:r>
          </w:p>
        </w:tc>
        <w:tc>
          <w:tcPr>
            <w:tcW w:w="2180" w:type="dxa"/>
            <w:tcBorders>
              <w:top w:val="nil"/>
              <w:left w:val="nil"/>
              <w:bottom w:val="single" w:sz="4" w:space="0" w:color="auto"/>
              <w:right w:val="single" w:sz="4" w:space="0" w:color="auto"/>
            </w:tcBorders>
            <w:shd w:val="clear" w:color="000000" w:fill="92D050"/>
            <w:noWrap/>
            <w:vAlign w:val="center"/>
            <w:hideMark/>
          </w:tcPr>
          <w:p w14:paraId="2C2290F5"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36,0</w:t>
            </w:r>
          </w:p>
        </w:tc>
        <w:tc>
          <w:tcPr>
            <w:tcW w:w="2180" w:type="dxa"/>
            <w:tcBorders>
              <w:top w:val="nil"/>
              <w:left w:val="nil"/>
              <w:bottom w:val="single" w:sz="4" w:space="0" w:color="auto"/>
              <w:right w:val="single" w:sz="4" w:space="0" w:color="auto"/>
            </w:tcBorders>
            <w:shd w:val="clear" w:color="auto" w:fill="auto"/>
            <w:noWrap/>
            <w:vAlign w:val="center"/>
            <w:hideMark/>
          </w:tcPr>
          <w:p w14:paraId="451FD89A"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46,0</w:t>
            </w:r>
          </w:p>
        </w:tc>
      </w:tr>
      <w:tr w:rsidR="009C48E2" w:rsidRPr="007751FE" w14:paraId="42236728" w14:textId="77777777" w:rsidTr="00C5567E">
        <w:trPr>
          <w:trHeight w:val="300"/>
        </w:trPr>
        <w:tc>
          <w:tcPr>
            <w:tcW w:w="4940" w:type="dxa"/>
            <w:tcBorders>
              <w:top w:val="nil"/>
              <w:left w:val="single" w:sz="4" w:space="0" w:color="auto"/>
              <w:bottom w:val="single" w:sz="4" w:space="0" w:color="auto"/>
              <w:right w:val="single" w:sz="4" w:space="0" w:color="auto"/>
            </w:tcBorders>
            <w:shd w:val="clear" w:color="auto" w:fill="auto"/>
            <w:noWrap/>
            <w:vAlign w:val="center"/>
            <w:hideMark/>
          </w:tcPr>
          <w:p w14:paraId="3BC20E7F"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Stará Bystrica – Čadca - autobusová stanica</w:t>
            </w:r>
          </w:p>
        </w:tc>
        <w:tc>
          <w:tcPr>
            <w:tcW w:w="2180" w:type="dxa"/>
            <w:tcBorders>
              <w:top w:val="nil"/>
              <w:left w:val="nil"/>
              <w:bottom w:val="single" w:sz="4" w:space="0" w:color="auto"/>
              <w:right w:val="single" w:sz="4" w:space="0" w:color="auto"/>
            </w:tcBorders>
            <w:shd w:val="clear" w:color="000000" w:fill="92D050"/>
            <w:noWrap/>
            <w:vAlign w:val="center"/>
            <w:hideMark/>
          </w:tcPr>
          <w:p w14:paraId="1EB2E998"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38,0</w:t>
            </w:r>
          </w:p>
        </w:tc>
        <w:tc>
          <w:tcPr>
            <w:tcW w:w="2180" w:type="dxa"/>
            <w:tcBorders>
              <w:top w:val="nil"/>
              <w:left w:val="nil"/>
              <w:bottom w:val="single" w:sz="4" w:space="0" w:color="auto"/>
              <w:right w:val="single" w:sz="4" w:space="0" w:color="auto"/>
            </w:tcBorders>
            <w:shd w:val="clear" w:color="auto" w:fill="auto"/>
            <w:noWrap/>
            <w:vAlign w:val="center"/>
            <w:hideMark/>
          </w:tcPr>
          <w:p w14:paraId="50B81C52"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48,0</w:t>
            </w:r>
          </w:p>
        </w:tc>
      </w:tr>
    </w:tbl>
    <w:p w14:paraId="63393C8D" w14:textId="77777777" w:rsidR="009C48E2" w:rsidRPr="007751FE" w:rsidRDefault="009C48E2" w:rsidP="00931169">
      <w:pPr>
        <w:rPr>
          <w:rStyle w:val="tlid-translation"/>
          <w:rFonts w:ascii="Times New Roman" w:hAnsi="Times New Roman" w:cs="Times New Roman"/>
          <w:i/>
          <w:sz w:val="16"/>
          <w:szCs w:val="24"/>
        </w:rPr>
      </w:pPr>
      <w:r w:rsidRPr="007751FE">
        <w:rPr>
          <w:rStyle w:val="tlid-translation"/>
          <w:rFonts w:ascii="Times New Roman" w:hAnsi="Times New Roman" w:cs="Times New Roman"/>
          <w:i/>
          <w:sz w:val="16"/>
          <w:szCs w:val="24"/>
        </w:rPr>
        <w:t>Pozn</w:t>
      </w:r>
      <w:r>
        <w:rPr>
          <w:rStyle w:val="tlid-translation"/>
          <w:rFonts w:ascii="Times New Roman" w:hAnsi="Times New Roman" w:cs="Times New Roman"/>
          <w:i/>
          <w:sz w:val="16"/>
          <w:szCs w:val="24"/>
        </w:rPr>
        <w:t>ámka</w:t>
      </w:r>
      <w:r w:rsidRPr="007751FE">
        <w:rPr>
          <w:rStyle w:val="tlid-translation"/>
          <w:rFonts w:ascii="Times New Roman" w:hAnsi="Times New Roman" w:cs="Times New Roman"/>
          <w:i/>
          <w:sz w:val="16"/>
          <w:szCs w:val="24"/>
        </w:rPr>
        <w:t xml:space="preserve">: </w:t>
      </w:r>
      <w:r>
        <w:rPr>
          <w:rStyle w:val="tlid-translation"/>
          <w:rFonts w:ascii="Times New Roman" w:hAnsi="Times New Roman" w:cs="Times New Roman"/>
          <w:i/>
          <w:sz w:val="16"/>
          <w:szCs w:val="24"/>
        </w:rPr>
        <w:t xml:space="preserve">Prestup v železničnej stanici  Krásno nad Kysucou, je zabezpečená nadväznosť spojov , </w:t>
      </w:r>
      <w:r w:rsidRPr="007751FE">
        <w:rPr>
          <w:rStyle w:val="tlid-translation"/>
          <w:rFonts w:ascii="Times New Roman" w:hAnsi="Times New Roman" w:cs="Times New Roman"/>
          <w:i/>
          <w:sz w:val="16"/>
          <w:szCs w:val="24"/>
        </w:rPr>
        <w:t xml:space="preserve"> zabezpečené ideálne prestupy smer Čadca</w:t>
      </w:r>
    </w:p>
    <w:p w14:paraId="25D4D0F4" w14:textId="77777777" w:rsidR="009C48E2" w:rsidRPr="007751FE" w:rsidRDefault="009C48E2" w:rsidP="00931169">
      <w:pPr>
        <w:rPr>
          <w:rStyle w:val="tlid-translation"/>
          <w:rFonts w:ascii="Times New Roman" w:hAnsi="Times New Roman" w:cs="Times New Roman"/>
          <w:szCs w:val="24"/>
        </w:rPr>
      </w:pPr>
    </w:p>
    <w:p w14:paraId="7060F169" w14:textId="4145F3C8" w:rsidR="009C48E2" w:rsidRPr="007751FE" w:rsidRDefault="009C48E2" w:rsidP="00931169">
      <w:pPr>
        <w:rPr>
          <w:rStyle w:val="tlid-translation"/>
          <w:rFonts w:ascii="Times New Roman" w:hAnsi="Times New Roman" w:cs="Times New Roman"/>
          <w:szCs w:val="24"/>
        </w:rPr>
      </w:pPr>
      <w:r w:rsidRPr="007751FE">
        <w:rPr>
          <w:rStyle w:val="tlid-translation"/>
          <w:rFonts w:ascii="Times New Roman" w:hAnsi="Times New Roman" w:cs="Times New Roman"/>
          <w:szCs w:val="24"/>
        </w:rPr>
        <w:t xml:space="preserve">Tabuľka </w:t>
      </w:r>
      <w:r w:rsidR="00DA0B84">
        <w:rPr>
          <w:rStyle w:val="tlid-translation"/>
          <w:rFonts w:ascii="Times New Roman" w:hAnsi="Times New Roman" w:cs="Times New Roman"/>
          <w:szCs w:val="24"/>
        </w:rPr>
        <w:t>23</w:t>
      </w:r>
      <w:r w:rsidRPr="007751FE">
        <w:rPr>
          <w:rStyle w:val="tlid-translation"/>
          <w:rFonts w:ascii="Times New Roman" w:hAnsi="Times New Roman" w:cs="Times New Roman"/>
          <w:szCs w:val="24"/>
        </w:rPr>
        <w:t>: Cestovné časy autobusovej a integrovanej dopravy – stav po modernizácií</w:t>
      </w:r>
    </w:p>
    <w:tbl>
      <w:tblPr>
        <w:tblW w:w="9361" w:type="dxa"/>
        <w:tblInd w:w="65" w:type="dxa"/>
        <w:tblLayout w:type="fixed"/>
        <w:tblCellMar>
          <w:left w:w="57" w:type="dxa"/>
          <w:right w:w="57" w:type="dxa"/>
        </w:tblCellMar>
        <w:tblLook w:val="04A0" w:firstRow="1" w:lastRow="0" w:firstColumn="1" w:lastColumn="0" w:noHBand="0" w:noVBand="1"/>
      </w:tblPr>
      <w:tblGrid>
        <w:gridCol w:w="3266"/>
        <w:gridCol w:w="1134"/>
        <w:gridCol w:w="1653"/>
        <w:gridCol w:w="1654"/>
        <w:gridCol w:w="1654"/>
      </w:tblGrid>
      <w:tr w:rsidR="009C48E2" w:rsidRPr="004F6513" w14:paraId="038A6960" w14:textId="77777777" w:rsidTr="00C5567E">
        <w:trPr>
          <w:trHeight w:val="667"/>
        </w:trPr>
        <w:tc>
          <w:tcPr>
            <w:tcW w:w="326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1A4201" w14:textId="77777777" w:rsidR="009C48E2" w:rsidRPr="004F6513" w:rsidRDefault="009C48E2" w:rsidP="00931169">
            <w:pPr>
              <w:rPr>
                <w:rFonts w:ascii="Times New Roman" w:eastAsia="Times New Roman" w:hAnsi="Times New Roman" w:cs="Times New Roman"/>
                <w:color w:val="000000"/>
                <w:sz w:val="18"/>
                <w:lang w:eastAsia="sk-SK"/>
              </w:rPr>
            </w:pP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5462F9C0" w14:textId="77777777" w:rsidR="009C48E2" w:rsidRPr="004F6513" w:rsidRDefault="009C48E2" w:rsidP="00931169">
            <w:pPr>
              <w:rPr>
                <w:rFonts w:ascii="Times New Roman" w:eastAsia="Times New Roman" w:hAnsi="Times New Roman" w:cs="Times New Roman"/>
                <w:b/>
                <w:bCs/>
                <w:color w:val="000000"/>
                <w:sz w:val="18"/>
                <w:lang w:eastAsia="sk-SK"/>
              </w:rPr>
            </w:pPr>
            <w:r w:rsidRPr="004F6513">
              <w:rPr>
                <w:rFonts w:ascii="Times New Roman" w:eastAsia="Times New Roman" w:hAnsi="Times New Roman" w:cs="Times New Roman"/>
                <w:b/>
                <w:bCs/>
                <w:color w:val="000000"/>
                <w:sz w:val="18"/>
                <w:lang w:eastAsia="sk-SK"/>
              </w:rPr>
              <w:t>Autobusová doprava</w:t>
            </w:r>
          </w:p>
        </w:tc>
        <w:tc>
          <w:tcPr>
            <w:tcW w:w="1653" w:type="dxa"/>
            <w:tcBorders>
              <w:top w:val="single" w:sz="4" w:space="0" w:color="auto"/>
              <w:left w:val="nil"/>
              <w:bottom w:val="single" w:sz="4" w:space="0" w:color="auto"/>
              <w:right w:val="single" w:sz="4" w:space="0" w:color="auto"/>
            </w:tcBorders>
            <w:shd w:val="clear" w:color="auto" w:fill="auto"/>
            <w:vAlign w:val="center"/>
            <w:hideMark/>
          </w:tcPr>
          <w:p w14:paraId="74142F56" w14:textId="77777777" w:rsidR="009C48E2" w:rsidRDefault="009C48E2" w:rsidP="00931169">
            <w:pPr>
              <w:rPr>
                <w:rFonts w:ascii="Times New Roman" w:eastAsia="Times New Roman" w:hAnsi="Times New Roman" w:cs="Times New Roman"/>
                <w:b/>
                <w:bCs/>
                <w:color w:val="000000"/>
                <w:sz w:val="18"/>
                <w:lang w:eastAsia="sk-SK"/>
              </w:rPr>
            </w:pPr>
            <w:r>
              <w:rPr>
                <w:rFonts w:ascii="Times New Roman" w:eastAsia="Times New Roman" w:hAnsi="Times New Roman" w:cs="Times New Roman"/>
                <w:b/>
                <w:bCs/>
                <w:color w:val="000000"/>
                <w:sz w:val="18"/>
                <w:lang w:eastAsia="sk-SK"/>
              </w:rPr>
              <w:t xml:space="preserve">Integrovaná doprava ** – </w:t>
            </w:r>
          </w:p>
          <w:p w14:paraId="4568E85C" w14:textId="77777777" w:rsidR="009C48E2" w:rsidRPr="004F6513" w:rsidRDefault="009C48E2" w:rsidP="00931169">
            <w:pPr>
              <w:rPr>
                <w:rFonts w:ascii="Times New Roman" w:eastAsia="Times New Roman" w:hAnsi="Times New Roman" w:cs="Times New Roman"/>
                <w:b/>
                <w:bCs/>
                <w:color w:val="000000"/>
                <w:sz w:val="18"/>
                <w:lang w:eastAsia="sk-SK"/>
              </w:rPr>
            </w:pPr>
            <w:r>
              <w:rPr>
                <w:rFonts w:ascii="Times New Roman" w:eastAsia="Times New Roman" w:hAnsi="Times New Roman" w:cs="Times New Roman"/>
                <w:b/>
                <w:bCs/>
                <w:color w:val="000000"/>
                <w:sz w:val="18"/>
                <w:lang w:eastAsia="sk-SK"/>
              </w:rPr>
              <w:t>minimálny variant</w:t>
            </w:r>
          </w:p>
        </w:tc>
        <w:tc>
          <w:tcPr>
            <w:tcW w:w="1654" w:type="dxa"/>
            <w:tcBorders>
              <w:top w:val="single" w:sz="4" w:space="0" w:color="auto"/>
              <w:left w:val="nil"/>
              <w:bottom w:val="single" w:sz="4" w:space="0" w:color="auto"/>
              <w:right w:val="single" w:sz="4" w:space="0" w:color="auto"/>
            </w:tcBorders>
          </w:tcPr>
          <w:p w14:paraId="64A6DD79" w14:textId="77777777" w:rsidR="009C48E2" w:rsidRDefault="009C48E2" w:rsidP="00931169">
            <w:pPr>
              <w:rPr>
                <w:rFonts w:ascii="Times New Roman" w:eastAsia="Times New Roman" w:hAnsi="Times New Roman" w:cs="Times New Roman"/>
                <w:b/>
                <w:bCs/>
                <w:color w:val="000000"/>
                <w:sz w:val="18"/>
                <w:lang w:eastAsia="sk-SK"/>
              </w:rPr>
            </w:pPr>
            <w:r>
              <w:rPr>
                <w:rFonts w:ascii="Times New Roman" w:eastAsia="Times New Roman" w:hAnsi="Times New Roman" w:cs="Times New Roman"/>
                <w:b/>
                <w:bCs/>
                <w:color w:val="000000"/>
                <w:sz w:val="18"/>
                <w:lang w:eastAsia="sk-SK"/>
              </w:rPr>
              <w:t xml:space="preserve">Integrovaná doprava** – </w:t>
            </w:r>
          </w:p>
          <w:p w14:paraId="708B52CE" w14:textId="77777777" w:rsidR="009C48E2" w:rsidRPr="004F6513" w:rsidRDefault="009C48E2" w:rsidP="00931169">
            <w:pPr>
              <w:rPr>
                <w:rFonts w:ascii="Times New Roman" w:eastAsia="Times New Roman" w:hAnsi="Times New Roman" w:cs="Times New Roman"/>
                <w:b/>
                <w:bCs/>
                <w:color w:val="000000"/>
                <w:sz w:val="18"/>
                <w:lang w:eastAsia="sk-SK"/>
              </w:rPr>
            </w:pPr>
            <w:r>
              <w:rPr>
                <w:rFonts w:ascii="Times New Roman" w:eastAsia="Times New Roman" w:hAnsi="Times New Roman" w:cs="Times New Roman"/>
                <w:b/>
                <w:bCs/>
                <w:color w:val="000000"/>
                <w:sz w:val="18"/>
                <w:lang w:eastAsia="sk-SK"/>
              </w:rPr>
              <w:t>základný variant</w:t>
            </w:r>
          </w:p>
        </w:tc>
        <w:tc>
          <w:tcPr>
            <w:tcW w:w="1654" w:type="dxa"/>
            <w:tcBorders>
              <w:top w:val="single" w:sz="4" w:space="0" w:color="auto"/>
              <w:left w:val="nil"/>
              <w:bottom w:val="single" w:sz="4" w:space="0" w:color="auto"/>
              <w:right w:val="single" w:sz="4" w:space="0" w:color="auto"/>
            </w:tcBorders>
          </w:tcPr>
          <w:p w14:paraId="2BF49F99" w14:textId="77777777" w:rsidR="009C48E2" w:rsidRDefault="009C48E2" w:rsidP="00931169">
            <w:pPr>
              <w:rPr>
                <w:rFonts w:ascii="Times New Roman" w:eastAsia="Times New Roman" w:hAnsi="Times New Roman" w:cs="Times New Roman"/>
                <w:b/>
                <w:bCs/>
                <w:color w:val="000000"/>
                <w:sz w:val="18"/>
                <w:lang w:eastAsia="sk-SK"/>
              </w:rPr>
            </w:pPr>
            <w:r>
              <w:rPr>
                <w:rFonts w:ascii="Times New Roman" w:eastAsia="Times New Roman" w:hAnsi="Times New Roman" w:cs="Times New Roman"/>
                <w:b/>
                <w:bCs/>
                <w:color w:val="000000"/>
                <w:sz w:val="18"/>
                <w:lang w:eastAsia="sk-SK"/>
              </w:rPr>
              <w:t xml:space="preserve">Integrovaná doprava** - </w:t>
            </w:r>
          </w:p>
          <w:p w14:paraId="629B86AC" w14:textId="77777777" w:rsidR="009C48E2" w:rsidRDefault="009C48E2" w:rsidP="00931169">
            <w:pPr>
              <w:rPr>
                <w:rFonts w:ascii="Times New Roman" w:eastAsia="Times New Roman" w:hAnsi="Times New Roman" w:cs="Times New Roman"/>
                <w:b/>
                <w:bCs/>
                <w:color w:val="000000"/>
                <w:sz w:val="18"/>
                <w:lang w:eastAsia="sk-SK"/>
              </w:rPr>
            </w:pPr>
            <w:r>
              <w:rPr>
                <w:rFonts w:ascii="Times New Roman" w:eastAsia="Times New Roman" w:hAnsi="Times New Roman" w:cs="Times New Roman"/>
                <w:b/>
                <w:bCs/>
                <w:color w:val="000000"/>
                <w:sz w:val="18"/>
                <w:lang w:eastAsia="sk-SK"/>
              </w:rPr>
              <w:t xml:space="preserve">stredný variant </w:t>
            </w:r>
          </w:p>
        </w:tc>
      </w:tr>
      <w:tr w:rsidR="009C48E2" w:rsidRPr="004F6513" w14:paraId="4FF2B684" w14:textId="77777777" w:rsidTr="00C5567E">
        <w:trPr>
          <w:trHeight w:val="300"/>
        </w:trPr>
        <w:tc>
          <w:tcPr>
            <w:tcW w:w="3266" w:type="dxa"/>
            <w:tcBorders>
              <w:top w:val="nil"/>
              <w:left w:val="single" w:sz="4" w:space="0" w:color="auto"/>
              <w:bottom w:val="single" w:sz="4" w:space="0" w:color="auto"/>
              <w:right w:val="single" w:sz="4" w:space="0" w:color="auto"/>
            </w:tcBorders>
            <w:shd w:val="clear" w:color="auto" w:fill="auto"/>
            <w:noWrap/>
            <w:vAlign w:val="center"/>
            <w:hideMark/>
          </w:tcPr>
          <w:p w14:paraId="6FF94923"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Stará Bystrica – Kysucké Nové Mesto</w:t>
            </w:r>
          </w:p>
        </w:tc>
        <w:tc>
          <w:tcPr>
            <w:tcW w:w="1134" w:type="dxa"/>
            <w:tcBorders>
              <w:top w:val="nil"/>
              <w:left w:val="nil"/>
              <w:bottom w:val="single" w:sz="4" w:space="0" w:color="auto"/>
              <w:right w:val="single" w:sz="4" w:space="0" w:color="auto"/>
            </w:tcBorders>
            <w:shd w:val="clear" w:color="auto" w:fill="auto"/>
            <w:noWrap/>
            <w:vAlign w:val="center"/>
            <w:hideMark/>
          </w:tcPr>
          <w:p w14:paraId="4977A592"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46,0</w:t>
            </w:r>
          </w:p>
        </w:tc>
        <w:tc>
          <w:tcPr>
            <w:tcW w:w="1653" w:type="dxa"/>
            <w:tcBorders>
              <w:top w:val="nil"/>
              <w:left w:val="nil"/>
              <w:bottom w:val="single" w:sz="4" w:space="0" w:color="auto"/>
              <w:right w:val="single" w:sz="4" w:space="0" w:color="auto"/>
            </w:tcBorders>
            <w:shd w:val="clear" w:color="000000" w:fill="92D050"/>
            <w:noWrap/>
            <w:vAlign w:val="center"/>
            <w:hideMark/>
          </w:tcPr>
          <w:p w14:paraId="0E17B493"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42,5</w:t>
            </w:r>
          </w:p>
        </w:tc>
        <w:tc>
          <w:tcPr>
            <w:tcW w:w="1654" w:type="dxa"/>
            <w:tcBorders>
              <w:top w:val="nil"/>
              <w:left w:val="nil"/>
              <w:bottom w:val="single" w:sz="4" w:space="0" w:color="auto"/>
              <w:right w:val="single" w:sz="4" w:space="0" w:color="auto"/>
            </w:tcBorders>
            <w:shd w:val="clear" w:color="auto" w:fill="92D050"/>
            <w:vAlign w:val="center"/>
          </w:tcPr>
          <w:p w14:paraId="3E771969"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42,5</w:t>
            </w:r>
          </w:p>
        </w:tc>
        <w:tc>
          <w:tcPr>
            <w:tcW w:w="1654" w:type="dxa"/>
            <w:tcBorders>
              <w:top w:val="nil"/>
              <w:left w:val="nil"/>
              <w:bottom w:val="single" w:sz="4" w:space="0" w:color="auto"/>
              <w:right w:val="single" w:sz="4" w:space="0" w:color="auto"/>
            </w:tcBorders>
            <w:shd w:val="clear" w:color="000000" w:fill="92D050"/>
            <w:vAlign w:val="center"/>
          </w:tcPr>
          <w:p w14:paraId="7A1698D9"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42,5</w:t>
            </w:r>
          </w:p>
        </w:tc>
      </w:tr>
      <w:tr w:rsidR="009C48E2" w:rsidRPr="004F6513" w14:paraId="41BE80B0" w14:textId="77777777" w:rsidTr="00C5567E">
        <w:trPr>
          <w:trHeight w:val="300"/>
        </w:trPr>
        <w:tc>
          <w:tcPr>
            <w:tcW w:w="3266" w:type="dxa"/>
            <w:tcBorders>
              <w:top w:val="nil"/>
              <w:left w:val="single" w:sz="4" w:space="0" w:color="auto"/>
              <w:bottom w:val="single" w:sz="4" w:space="0" w:color="auto"/>
              <w:right w:val="single" w:sz="4" w:space="0" w:color="auto"/>
            </w:tcBorders>
            <w:shd w:val="clear" w:color="auto" w:fill="auto"/>
            <w:noWrap/>
            <w:vAlign w:val="center"/>
            <w:hideMark/>
          </w:tcPr>
          <w:p w14:paraId="2D50BF32"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 xml:space="preserve">Stará Bystrica – Žilina </w:t>
            </w:r>
          </w:p>
        </w:tc>
        <w:tc>
          <w:tcPr>
            <w:tcW w:w="1134" w:type="dxa"/>
            <w:tcBorders>
              <w:top w:val="nil"/>
              <w:left w:val="nil"/>
              <w:bottom w:val="single" w:sz="4" w:space="0" w:color="auto"/>
              <w:right w:val="single" w:sz="4" w:space="0" w:color="auto"/>
            </w:tcBorders>
            <w:shd w:val="clear" w:color="auto" w:fill="auto"/>
            <w:noWrap/>
            <w:vAlign w:val="center"/>
            <w:hideMark/>
          </w:tcPr>
          <w:p w14:paraId="0DC3A175"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63,0</w:t>
            </w:r>
          </w:p>
        </w:tc>
        <w:tc>
          <w:tcPr>
            <w:tcW w:w="1653" w:type="dxa"/>
            <w:tcBorders>
              <w:top w:val="nil"/>
              <w:left w:val="nil"/>
              <w:bottom w:val="single" w:sz="4" w:space="0" w:color="auto"/>
              <w:right w:val="single" w:sz="4" w:space="0" w:color="auto"/>
            </w:tcBorders>
            <w:shd w:val="clear" w:color="000000" w:fill="92D050"/>
            <w:noWrap/>
            <w:vAlign w:val="center"/>
            <w:hideMark/>
          </w:tcPr>
          <w:p w14:paraId="2515B323"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55,5</w:t>
            </w:r>
          </w:p>
        </w:tc>
        <w:tc>
          <w:tcPr>
            <w:tcW w:w="1654" w:type="dxa"/>
            <w:tcBorders>
              <w:top w:val="nil"/>
              <w:left w:val="nil"/>
              <w:bottom w:val="single" w:sz="4" w:space="0" w:color="auto"/>
              <w:right w:val="single" w:sz="4" w:space="0" w:color="auto"/>
            </w:tcBorders>
            <w:shd w:val="clear" w:color="000000" w:fill="92D050"/>
            <w:vAlign w:val="center"/>
          </w:tcPr>
          <w:p w14:paraId="4C8610F1"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55,5</w:t>
            </w:r>
          </w:p>
        </w:tc>
        <w:tc>
          <w:tcPr>
            <w:tcW w:w="1654" w:type="dxa"/>
            <w:tcBorders>
              <w:top w:val="nil"/>
              <w:left w:val="nil"/>
              <w:bottom w:val="single" w:sz="4" w:space="0" w:color="auto"/>
              <w:right w:val="single" w:sz="4" w:space="0" w:color="auto"/>
            </w:tcBorders>
            <w:shd w:val="clear" w:color="000000" w:fill="92D050"/>
            <w:vAlign w:val="center"/>
          </w:tcPr>
          <w:p w14:paraId="4E44D57A"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55,5</w:t>
            </w:r>
          </w:p>
        </w:tc>
      </w:tr>
      <w:tr w:rsidR="009C48E2" w:rsidRPr="004F6513" w14:paraId="549F6227" w14:textId="77777777" w:rsidTr="00C5567E">
        <w:trPr>
          <w:trHeight w:val="300"/>
        </w:trPr>
        <w:tc>
          <w:tcPr>
            <w:tcW w:w="3266" w:type="dxa"/>
            <w:tcBorders>
              <w:top w:val="nil"/>
              <w:left w:val="single" w:sz="4" w:space="0" w:color="auto"/>
              <w:bottom w:val="single" w:sz="4" w:space="0" w:color="auto"/>
              <w:right w:val="single" w:sz="4" w:space="0" w:color="auto"/>
            </w:tcBorders>
            <w:shd w:val="clear" w:color="auto" w:fill="auto"/>
            <w:noWrap/>
            <w:vAlign w:val="center"/>
            <w:hideMark/>
          </w:tcPr>
          <w:p w14:paraId="445BB1D6"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 xml:space="preserve">Stará Bystrica – Čadca </w:t>
            </w:r>
            <w:r>
              <w:rPr>
                <w:rFonts w:ascii="Times New Roman" w:eastAsia="Times New Roman" w:hAnsi="Times New Roman" w:cs="Times New Roman"/>
                <w:color w:val="000000"/>
                <w:sz w:val="18"/>
                <w:lang w:eastAsia="sk-SK"/>
              </w:rPr>
              <w:t>–</w:t>
            </w:r>
            <w:r w:rsidRPr="004F6513">
              <w:rPr>
                <w:rFonts w:ascii="Times New Roman" w:eastAsia="Times New Roman" w:hAnsi="Times New Roman" w:cs="Times New Roman"/>
                <w:color w:val="000000"/>
                <w:sz w:val="18"/>
                <w:lang w:eastAsia="sk-SK"/>
              </w:rPr>
              <w:t xml:space="preserve"> mesto</w:t>
            </w:r>
            <w:r>
              <w:rPr>
                <w:rFonts w:ascii="Times New Roman" w:eastAsia="Times New Roman" w:hAnsi="Times New Roman" w:cs="Times New Roman"/>
                <w:color w:val="000000"/>
                <w:sz w:val="18"/>
                <w:lang w:eastAsia="sk-SK"/>
              </w:rPr>
              <w:t>*</w:t>
            </w:r>
          </w:p>
        </w:tc>
        <w:tc>
          <w:tcPr>
            <w:tcW w:w="1134" w:type="dxa"/>
            <w:tcBorders>
              <w:top w:val="nil"/>
              <w:left w:val="nil"/>
              <w:bottom w:val="single" w:sz="4" w:space="0" w:color="auto"/>
              <w:right w:val="single" w:sz="4" w:space="0" w:color="auto"/>
            </w:tcBorders>
            <w:shd w:val="clear" w:color="auto" w:fill="auto"/>
            <w:noWrap/>
            <w:vAlign w:val="center"/>
            <w:hideMark/>
          </w:tcPr>
          <w:p w14:paraId="0CC226AD"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36,0</w:t>
            </w:r>
          </w:p>
        </w:tc>
        <w:tc>
          <w:tcPr>
            <w:tcW w:w="1653" w:type="dxa"/>
            <w:tcBorders>
              <w:top w:val="nil"/>
              <w:left w:val="nil"/>
              <w:bottom w:val="single" w:sz="4" w:space="0" w:color="auto"/>
              <w:right w:val="single" w:sz="4" w:space="0" w:color="auto"/>
            </w:tcBorders>
            <w:shd w:val="clear" w:color="auto" w:fill="auto"/>
            <w:noWrap/>
            <w:vAlign w:val="center"/>
            <w:hideMark/>
          </w:tcPr>
          <w:p w14:paraId="0F527CB7" w14:textId="77777777" w:rsidR="009C48E2" w:rsidRPr="004F6513" w:rsidRDefault="009C48E2" w:rsidP="00931169">
            <w:pPr>
              <w:rPr>
                <w:rFonts w:ascii="Times New Roman" w:eastAsia="Times New Roman" w:hAnsi="Times New Roman" w:cs="Times New Roman"/>
                <w:color w:val="000000"/>
                <w:sz w:val="18"/>
                <w:lang w:eastAsia="sk-SK"/>
              </w:rPr>
            </w:pPr>
            <w:r>
              <w:rPr>
                <w:rFonts w:ascii="Times New Roman" w:eastAsia="Times New Roman" w:hAnsi="Times New Roman" w:cs="Times New Roman"/>
                <w:color w:val="000000"/>
                <w:sz w:val="18"/>
                <w:lang w:eastAsia="sk-SK"/>
              </w:rPr>
              <w:t>39</w:t>
            </w:r>
            <w:r w:rsidRPr="004F6513">
              <w:rPr>
                <w:rFonts w:ascii="Times New Roman" w:eastAsia="Times New Roman" w:hAnsi="Times New Roman" w:cs="Times New Roman"/>
                <w:color w:val="000000"/>
                <w:sz w:val="18"/>
                <w:lang w:eastAsia="sk-SK"/>
              </w:rPr>
              <w:t>,0</w:t>
            </w:r>
          </w:p>
        </w:tc>
        <w:tc>
          <w:tcPr>
            <w:tcW w:w="1654" w:type="dxa"/>
            <w:tcBorders>
              <w:top w:val="nil"/>
              <w:left w:val="nil"/>
              <w:bottom w:val="single" w:sz="4" w:space="0" w:color="auto"/>
              <w:right w:val="single" w:sz="4" w:space="0" w:color="auto"/>
            </w:tcBorders>
            <w:shd w:val="clear" w:color="auto" w:fill="92D050"/>
            <w:vAlign w:val="center"/>
          </w:tcPr>
          <w:p w14:paraId="6A871EFE" w14:textId="77777777" w:rsidR="009C48E2" w:rsidRPr="004F6513" w:rsidRDefault="009C48E2" w:rsidP="00931169">
            <w:pPr>
              <w:rPr>
                <w:rFonts w:ascii="Times New Roman" w:eastAsia="Times New Roman" w:hAnsi="Times New Roman" w:cs="Times New Roman"/>
                <w:color w:val="000000"/>
                <w:sz w:val="18"/>
                <w:lang w:eastAsia="sk-SK"/>
              </w:rPr>
            </w:pPr>
            <w:r>
              <w:rPr>
                <w:rFonts w:ascii="Times New Roman" w:eastAsia="Times New Roman" w:hAnsi="Times New Roman" w:cs="Times New Roman"/>
                <w:color w:val="000000"/>
                <w:sz w:val="18"/>
                <w:lang w:eastAsia="sk-SK"/>
              </w:rPr>
              <w:t>36</w:t>
            </w:r>
            <w:r w:rsidRPr="004F6513">
              <w:rPr>
                <w:rFonts w:ascii="Times New Roman" w:eastAsia="Times New Roman" w:hAnsi="Times New Roman" w:cs="Times New Roman"/>
                <w:color w:val="000000"/>
                <w:sz w:val="18"/>
                <w:lang w:eastAsia="sk-SK"/>
              </w:rPr>
              <w:t>,0</w:t>
            </w:r>
          </w:p>
        </w:tc>
        <w:tc>
          <w:tcPr>
            <w:tcW w:w="1654" w:type="dxa"/>
            <w:tcBorders>
              <w:top w:val="nil"/>
              <w:left w:val="nil"/>
              <w:bottom w:val="single" w:sz="4" w:space="0" w:color="auto"/>
              <w:right w:val="single" w:sz="4" w:space="0" w:color="auto"/>
            </w:tcBorders>
            <w:shd w:val="clear" w:color="auto" w:fill="92D050"/>
            <w:vAlign w:val="center"/>
          </w:tcPr>
          <w:p w14:paraId="5CBCDE0C" w14:textId="77777777" w:rsidR="009C48E2" w:rsidRPr="004F6513" w:rsidRDefault="009C48E2" w:rsidP="00931169">
            <w:pPr>
              <w:rPr>
                <w:rFonts w:ascii="Times New Roman" w:eastAsia="Times New Roman" w:hAnsi="Times New Roman" w:cs="Times New Roman"/>
                <w:color w:val="000000"/>
                <w:sz w:val="18"/>
                <w:lang w:eastAsia="sk-SK"/>
              </w:rPr>
            </w:pPr>
            <w:r>
              <w:rPr>
                <w:rFonts w:ascii="Times New Roman" w:eastAsia="Times New Roman" w:hAnsi="Times New Roman" w:cs="Times New Roman"/>
                <w:color w:val="000000"/>
                <w:sz w:val="18"/>
                <w:lang w:eastAsia="sk-SK"/>
              </w:rPr>
              <w:t>35</w:t>
            </w:r>
            <w:r w:rsidRPr="004F6513">
              <w:rPr>
                <w:rFonts w:ascii="Times New Roman" w:eastAsia="Times New Roman" w:hAnsi="Times New Roman" w:cs="Times New Roman"/>
                <w:color w:val="000000"/>
                <w:sz w:val="18"/>
                <w:lang w:eastAsia="sk-SK"/>
              </w:rPr>
              <w:t>,0</w:t>
            </w:r>
          </w:p>
        </w:tc>
      </w:tr>
      <w:tr w:rsidR="009C48E2" w:rsidRPr="004F6513" w14:paraId="3B2BF389" w14:textId="77777777" w:rsidTr="00C5567E">
        <w:trPr>
          <w:trHeight w:val="300"/>
        </w:trPr>
        <w:tc>
          <w:tcPr>
            <w:tcW w:w="3266" w:type="dxa"/>
            <w:tcBorders>
              <w:top w:val="nil"/>
              <w:left w:val="single" w:sz="4" w:space="0" w:color="auto"/>
              <w:bottom w:val="single" w:sz="4" w:space="0" w:color="auto"/>
              <w:right w:val="single" w:sz="4" w:space="0" w:color="auto"/>
            </w:tcBorders>
            <w:shd w:val="clear" w:color="auto" w:fill="auto"/>
            <w:noWrap/>
            <w:vAlign w:val="center"/>
            <w:hideMark/>
          </w:tcPr>
          <w:p w14:paraId="01854C50"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 xml:space="preserve">Stará Bystrica – Čadca </w:t>
            </w:r>
            <w:r>
              <w:rPr>
                <w:rFonts w:ascii="Times New Roman" w:eastAsia="Times New Roman" w:hAnsi="Times New Roman" w:cs="Times New Roman"/>
                <w:color w:val="000000"/>
                <w:sz w:val="18"/>
                <w:lang w:eastAsia="sk-SK"/>
              </w:rPr>
              <w:t>–</w:t>
            </w:r>
            <w:r w:rsidRPr="004F6513">
              <w:rPr>
                <w:rFonts w:ascii="Times New Roman" w:eastAsia="Times New Roman" w:hAnsi="Times New Roman" w:cs="Times New Roman"/>
                <w:color w:val="000000"/>
                <w:sz w:val="18"/>
                <w:lang w:eastAsia="sk-SK"/>
              </w:rPr>
              <w:t xml:space="preserve"> autobus</w:t>
            </w:r>
            <w:r>
              <w:rPr>
                <w:rFonts w:ascii="Times New Roman" w:eastAsia="Times New Roman" w:hAnsi="Times New Roman" w:cs="Times New Roman"/>
                <w:color w:val="000000"/>
                <w:sz w:val="18"/>
                <w:lang w:eastAsia="sk-SK"/>
              </w:rPr>
              <w:t>.</w:t>
            </w:r>
            <w:r w:rsidRPr="004F6513">
              <w:rPr>
                <w:rFonts w:ascii="Times New Roman" w:eastAsia="Times New Roman" w:hAnsi="Times New Roman" w:cs="Times New Roman"/>
                <w:color w:val="000000"/>
                <w:sz w:val="18"/>
                <w:lang w:eastAsia="sk-SK"/>
              </w:rPr>
              <w:t xml:space="preserve"> stanica</w:t>
            </w:r>
            <w:r>
              <w:rPr>
                <w:rFonts w:ascii="Times New Roman" w:eastAsia="Times New Roman" w:hAnsi="Times New Roman" w:cs="Times New Roman"/>
                <w:color w:val="000000"/>
                <w:sz w:val="18"/>
                <w:lang w:eastAsia="sk-SK"/>
              </w:rPr>
              <w:t>*</w:t>
            </w:r>
          </w:p>
        </w:tc>
        <w:tc>
          <w:tcPr>
            <w:tcW w:w="1134" w:type="dxa"/>
            <w:tcBorders>
              <w:top w:val="nil"/>
              <w:left w:val="nil"/>
              <w:bottom w:val="single" w:sz="4" w:space="0" w:color="auto"/>
              <w:right w:val="single" w:sz="4" w:space="0" w:color="auto"/>
            </w:tcBorders>
            <w:shd w:val="clear" w:color="auto" w:fill="auto"/>
            <w:noWrap/>
            <w:vAlign w:val="center"/>
            <w:hideMark/>
          </w:tcPr>
          <w:p w14:paraId="71CD39E1" w14:textId="77777777" w:rsidR="009C48E2" w:rsidRPr="004F6513" w:rsidRDefault="009C48E2" w:rsidP="00931169">
            <w:pPr>
              <w:rPr>
                <w:rFonts w:ascii="Times New Roman" w:eastAsia="Times New Roman" w:hAnsi="Times New Roman" w:cs="Times New Roman"/>
                <w:color w:val="000000"/>
                <w:sz w:val="18"/>
                <w:lang w:eastAsia="sk-SK"/>
              </w:rPr>
            </w:pPr>
            <w:r w:rsidRPr="004F6513">
              <w:rPr>
                <w:rFonts w:ascii="Times New Roman" w:eastAsia="Times New Roman" w:hAnsi="Times New Roman" w:cs="Times New Roman"/>
                <w:color w:val="000000"/>
                <w:sz w:val="18"/>
                <w:lang w:eastAsia="sk-SK"/>
              </w:rPr>
              <w:t>38,0</w:t>
            </w:r>
          </w:p>
        </w:tc>
        <w:tc>
          <w:tcPr>
            <w:tcW w:w="1653" w:type="dxa"/>
            <w:tcBorders>
              <w:top w:val="nil"/>
              <w:left w:val="nil"/>
              <w:bottom w:val="single" w:sz="4" w:space="0" w:color="auto"/>
              <w:right w:val="single" w:sz="4" w:space="0" w:color="auto"/>
            </w:tcBorders>
            <w:shd w:val="clear" w:color="auto" w:fill="auto"/>
            <w:noWrap/>
            <w:vAlign w:val="center"/>
            <w:hideMark/>
          </w:tcPr>
          <w:p w14:paraId="69325C01" w14:textId="77777777" w:rsidR="009C48E2" w:rsidRPr="004F6513" w:rsidRDefault="009C48E2" w:rsidP="00931169">
            <w:pPr>
              <w:rPr>
                <w:rFonts w:ascii="Times New Roman" w:eastAsia="Times New Roman" w:hAnsi="Times New Roman" w:cs="Times New Roman"/>
                <w:color w:val="000000"/>
                <w:sz w:val="18"/>
                <w:lang w:eastAsia="sk-SK"/>
              </w:rPr>
            </w:pPr>
            <w:r>
              <w:rPr>
                <w:rFonts w:ascii="Times New Roman" w:eastAsia="Times New Roman" w:hAnsi="Times New Roman" w:cs="Times New Roman"/>
                <w:color w:val="000000"/>
                <w:sz w:val="18"/>
                <w:lang w:eastAsia="sk-SK"/>
              </w:rPr>
              <w:t>41</w:t>
            </w:r>
            <w:r w:rsidRPr="004F6513">
              <w:rPr>
                <w:rFonts w:ascii="Times New Roman" w:eastAsia="Times New Roman" w:hAnsi="Times New Roman" w:cs="Times New Roman"/>
                <w:color w:val="000000"/>
                <w:sz w:val="18"/>
                <w:lang w:eastAsia="sk-SK"/>
              </w:rPr>
              <w:t>,0</w:t>
            </w:r>
          </w:p>
        </w:tc>
        <w:tc>
          <w:tcPr>
            <w:tcW w:w="1654" w:type="dxa"/>
            <w:tcBorders>
              <w:top w:val="nil"/>
              <w:left w:val="nil"/>
              <w:bottom w:val="single" w:sz="4" w:space="0" w:color="auto"/>
              <w:right w:val="single" w:sz="4" w:space="0" w:color="auto"/>
            </w:tcBorders>
            <w:shd w:val="clear" w:color="auto" w:fill="92D050"/>
            <w:vAlign w:val="center"/>
          </w:tcPr>
          <w:p w14:paraId="4C009410" w14:textId="77777777" w:rsidR="009C48E2" w:rsidRPr="004F6513" w:rsidRDefault="009C48E2" w:rsidP="00931169">
            <w:pPr>
              <w:rPr>
                <w:rFonts w:ascii="Times New Roman" w:eastAsia="Times New Roman" w:hAnsi="Times New Roman" w:cs="Times New Roman"/>
                <w:color w:val="000000"/>
                <w:sz w:val="18"/>
                <w:lang w:eastAsia="sk-SK"/>
              </w:rPr>
            </w:pPr>
            <w:r>
              <w:rPr>
                <w:rFonts w:ascii="Times New Roman" w:eastAsia="Times New Roman" w:hAnsi="Times New Roman" w:cs="Times New Roman"/>
                <w:color w:val="000000"/>
                <w:sz w:val="18"/>
                <w:lang w:eastAsia="sk-SK"/>
              </w:rPr>
              <w:t>38</w:t>
            </w:r>
            <w:r w:rsidRPr="004F6513">
              <w:rPr>
                <w:rFonts w:ascii="Times New Roman" w:eastAsia="Times New Roman" w:hAnsi="Times New Roman" w:cs="Times New Roman"/>
                <w:color w:val="000000"/>
                <w:sz w:val="18"/>
                <w:lang w:eastAsia="sk-SK"/>
              </w:rPr>
              <w:t>,0</w:t>
            </w:r>
          </w:p>
        </w:tc>
        <w:tc>
          <w:tcPr>
            <w:tcW w:w="1654" w:type="dxa"/>
            <w:tcBorders>
              <w:top w:val="nil"/>
              <w:left w:val="nil"/>
              <w:bottom w:val="single" w:sz="4" w:space="0" w:color="auto"/>
              <w:right w:val="single" w:sz="4" w:space="0" w:color="auto"/>
            </w:tcBorders>
            <w:shd w:val="clear" w:color="auto" w:fill="92D050"/>
            <w:vAlign w:val="center"/>
          </w:tcPr>
          <w:p w14:paraId="4D3D13C3" w14:textId="77777777" w:rsidR="009C48E2" w:rsidRPr="004F6513" w:rsidRDefault="009C48E2" w:rsidP="00931169">
            <w:pPr>
              <w:rPr>
                <w:rFonts w:ascii="Times New Roman" w:eastAsia="Times New Roman" w:hAnsi="Times New Roman" w:cs="Times New Roman"/>
                <w:color w:val="000000"/>
                <w:sz w:val="18"/>
                <w:lang w:eastAsia="sk-SK"/>
              </w:rPr>
            </w:pPr>
            <w:r>
              <w:rPr>
                <w:rFonts w:ascii="Times New Roman" w:eastAsia="Times New Roman" w:hAnsi="Times New Roman" w:cs="Times New Roman"/>
                <w:color w:val="000000"/>
                <w:sz w:val="18"/>
                <w:lang w:eastAsia="sk-SK"/>
              </w:rPr>
              <w:t>37</w:t>
            </w:r>
            <w:r w:rsidRPr="004F6513">
              <w:rPr>
                <w:rFonts w:ascii="Times New Roman" w:eastAsia="Times New Roman" w:hAnsi="Times New Roman" w:cs="Times New Roman"/>
                <w:color w:val="000000"/>
                <w:sz w:val="18"/>
                <w:lang w:eastAsia="sk-SK"/>
              </w:rPr>
              <w:t>,0</w:t>
            </w:r>
          </w:p>
        </w:tc>
      </w:tr>
    </w:tbl>
    <w:p w14:paraId="202AA47D" w14:textId="77777777" w:rsidR="009C48E2" w:rsidRDefault="009C48E2" w:rsidP="00931169">
      <w:pPr>
        <w:rPr>
          <w:rStyle w:val="tlid-translation"/>
          <w:rFonts w:ascii="Times New Roman" w:hAnsi="Times New Roman" w:cs="Times New Roman"/>
          <w:i/>
          <w:sz w:val="16"/>
          <w:szCs w:val="24"/>
        </w:rPr>
      </w:pPr>
      <w:r>
        <w:rPr>
          <w:rStyle w:val="tlid-translation"/>
          <w:rFonts w:ascii="Times New Roman" w:hAnsi="Times New Roman" w:cs="Times New Roman"/>
          <w:i/>
          <w:sz w:val="16"/>
          <w:szCs w:val="24"/>
        </w:rPr>
        <w:t>*</w:t>
      </w:r>
      <w:r w:rsidRPr="007751FE">
        <w:rPr>
          <w:rStyle w:val="tlid-translation"/>
          <w:rFonts w:ascii="Times New Roman" w:hAnsi="Times New Roman" w:cs="Times New Roman"/>
          <w:i/>
          <w:sz w:val="16"/>
          <w:szCs w:val="24"/>
        </w:rPr>
        <w:t xml:space="preserve"> </w:t>
      </w:r>
      <w:r>
        <w:rPr>
          <w:rStyle w:val="tlid-translation"/>
          <w:rFonts w:ascii="Times New Roman" w:hAnsi="Times New Roman" w:cs="Times New Roman"/>
          <w:i/>
          <w:sz w:val="16"/>
          <w:szCs w:val="24"/>
        </w:rPr>
        <w:t xml:space="preserve">Prestup v TIOP  </w:t>
      </w:r>
      <w:r w:rsidRPr="007751FE">
        <w:rPr>
          <w:rStyle w:val="tlid-translation"/>
          <w:rFonts w:ascii="Times New Roman" w:hAnsi="Times New Roman" w:cs="Times New Roman"/>
          <w:i/>
          <w:sz w:val="16"/>
          <w:szCs w:val="24"/>
        </w:rPr>
        <w:t>Krásno nad Kysucou</w:t>
      </w:r>
      <w:r>
        <w:rPr>
          <w:rStyle w:val="tlid-translation"/>
          <w:rFonts w:ascii="Times New Roman" w:hAnsi="Times New Roman" w:cs="Times New Roman"/>
          <w:i/>
          <w:sz w:val="16"/>
          <w:szCs w:val="24"/>
        </w:rPr>
        <w:t xml:space="preserve"> - mesto</w:t>
      </w:r>
      <w:r w:rsidRPr="007751FE">
        <w:rPr>
          <w:rStyle w:val="tlid-translation"/>
          <w:rFonts w:ascii="Times New Roman" w:hAnsi="Times New Roman" w:cs="Times New Roman"/>
          <w:i/>
          <w:sz w:val="16"/>
          <w:szCs w:val="24"/>
        </w:rPr>
        <w:t>, sú zabezpečené ideálne prestupy smer Čadca</w:t>
      </w:r>
    </w:p>
    <w:p w14:paraId="1EF52175" w14:textId="77777777" w:rsidR="009C48E2" w:rsidRPr="007751FE" w:rsidRDefault="009C48E2" w:rsidP="00931169">
      <w:pPr>
        <w:rPr>
          <w:rStyle w:val="tlid-translation"/>
          <w:rFonts w:ascii="Times New Roman" w:hAnsi="Times New Roman" w:cs="Times New Roman"/>
          <w:i/>
          <w:sz w:val="16"/>
          <w:szCs w:val="24"/>
        </w:rPr>
      </w:pPr>
      <w:r>
        <w:rPr>
          <w:rStyle w:val="tlid-translation"/>
          <w:rFonts w:ascii="Times New Roman" w:hAnsi="Times New Roman" w:cs="Times New Roman"/>
          <w:i/>
          <w:sz w:val="16"/>
          <w:szCs w:val="24"/>
        </w:rPr>
        <w:t>**kombinácia vlak + autobus</w:t>
      </w:r>
    </w:p>
    <w:p w14:paraId="3D115B5F" w14:textId="77777777" w:rsidR="009C48E2" w:rsidRDefault="009C48E2" w:rsidP="00931169">
      <w:pPr>
        <w:rPr>
          <w:rStyle w:val="tlid-translation"/>
          <w:rFonts w:ascii="Times New Roman" w:hAnsi="Times New Roman" w:cs="Times New Roman"/>
          <w:szCs w:val="24"/>
        </w:rPr>
      </w:pPr>
    </w:p>
    <w:p w14:paraId="21F074C4" w14:textId="17F47D07" w:rsidR="009C48E2" w:rsidRDefault="009C48E2" w:rsidP="00931169">
      <w:pPr>
        <w:ind w:firstLine="708"/>
        <w:rPr>
          <w:rStyle w:val="tlid-translation"/>
          <w:rFonts w:ascii="Times New Roman" w:hAnsi="Times New Roman" w:cs="Times New Roman"/>
          <w:szCs w:val="24"/>
        </w:rPr>
      </w:pPr>
      <w:r>
        <w:rPr>
          <w:rStyle w:val="tlid-translation"/>
          <w:rFonts w:ascii="Times New Roman" w:hAnsi="Times New Roman" w:cs="Times New Roman"/>
          <w:szCs w:val="24"/>
        </w:rPr>
        <w:t>Na základe vyčíslených cestovných časov  integrovanej dopravy variantne s prestupom  v novo navrhovanom TIOP-e  Krásno nad Kysucou – mesto, kde preprava autobusom z pohľadu cestovných časov  je oproti súčasnej integrovanej doprave veľmi podobná,  je žiaduce zaviesť integrované autobusové spoje z Bystrickej doliny aj na smer Čadca minimálne pre variant 100 km/hod a variant  120/140 km/hod.</w:t>
      </w:r>
      <w:r w:rsidR="001E52B3">
        <w:rPr>
          <w:rStyle w:val="tlid-translation"/>
          <w:rFonts w:ascii="Times New Roman" w:hAnsi="Times New Roman" w:cs="Times New Roman"/>
          <w:szCs w:val="24"/>
        </w:rPr>
        <w:t xml:space="preserve"> </w:t>
      </w:r>
      <w:r>
        <w:rPr>
          <w:rStyle w:val="tlid-translation"/>
          <w:rFonts w:ascii="Times New Roman" w:hAnsi="Times New Roman" w:cs="Times New Roman"/>
          <w:szCs w:val="24"/>
        </w:rPr>
        <w:t>Keďže neexitujú komplexné informácie o časoch cestovania a nákladoch cestovania všetkých druhoch dopravných tokoch a z dôvodu budovania integrovaného dopravného systému v tejto lokalite je uplatnené pravidlo polovice čo ta týka počtu ciest v O – D matici, ktoré prešli z autobusovej dopravy na železničnú.</w:t>
      </w:r>
    </w:p>
    <w:p w14:paraId="7092F6FB" w14:textId="0F12D0BA" w:rsidR="009C48E2" w:rsidRPr="001E52B3" w:rsidRDefault="009C48E2" w:rsidP="00931169">
      <w:pPr>
        <w:rPr>
          <w:rStyle w:val="tlid-translation"/>
          <w:rFonts w:ascii="Times New Roman" w:hAnsi="Times New Roman" w:cs="Times New Roman"/>
        </w:rPr>
      </w:pPr>
      <w:r w:rsidRPr="008C07B5">
        <w:rPr>
          <w:rFonts w:ascii="Times New Roman" w:hAnsi="Times New Roman" w:cs="Times New Roman"/>
        </w:rPr>
        <w:lastRenderedPageBreak/>
        <w:t>Viac informácií o výpočte a porovnaní cestovných časoch sú v priložených súboroch programu EXCEL v hárku „Porovnanie”.</w:t>
      </w:r>
      <w:r w:rsidR="001E52B3">
        <w:rPr>
          <w:rFonts w:ascii="Times New Roman" w:hAnsi="Times New Roman" w:cs="Times New Roman"/>
        </w:rPr>
        <w:t xml:space="preserve"> </w:t>
      </w:r>
      <w:r w:rsidRPr="007751FE">
        <w:rPr>
          <w:rStyle w:val="tlid-translation"/>
          <w:rFonts w:ascii="Times New Roman" w:hAnsi="Times New Roman" w:cs="Times New Roman"/>
          <w:szCs w:val="24"/>
        </w:rPr>
        <w:t xml:space="preserve">Približná poloha novej železničnej zastávky Krásno nad Kysucou – mesto a súčasné rozmiestnenie autobusových zastávok v meste Krásno nad Kysucou je zobrazené v nasledujúcej mape. </w:t>
      </w:r>
    </w:p>
    <w:p w14:paraId="5119FF6E" w14:textId="5FDE3ADF" w:rsidR="009C48E2" w:rsidRDefault="009C48E2" w:rsidP="00931169">
      <w:pPr>
        <w:rPr>
          <w:rStyle w:val="tlid-translation"/>
          <w:rFonts w:ascii="Times New Roman" w:hAnsi="Times New Roman" w:cs="Times New Roman"/>
          <w:szCs w:val="24"/>
        </w:rPr>
      </w:pPr>
    </w:p>
    <w:p w14:paraId="6B856BE7" w14:textId="78897686" w:rsidR="001E52B3" w:rsidRDefault="001E52B3" w:rsidP="00931169">
      <w:pPr>
        <w:rPr>
          <w:rStyle w:val="tlid-translation"/>
          <w:rFonts w:ascii="Times New Roman" w:hAnsi="Times New Roman" w:cs="Times New Roman"/>
          <w:szCs w:val="24"/>
        </w:rPr>
      </w:pPr>
    </w:p>
    <w:p w14:paraId="4C94EB64" w14:textId="081726C9" w:rsidR="001E52B3" w:rsidRDefault="001E52B3" w:rsidP="00931169">
      <w:pPr>
        <w:rPr>
          <w:rStyle w:val="tlid-translation"/>
          <w:rFonts w:ascii="Times New Roman" w:hAnsi="Times New Roman" w:cs="Times New Roman"/>
          <w:szCs w:val="24"/>
        </w:rPr>
      </w:pPr>
    </w:p>
    <w:p w14:paraId="7B379D1F" w14:textId="1F939FA1" w:rsidR="001E52B3" w:rsidRDefault="001E52B3" w:rsidP="00931169">
      <w:pPr>
        <w:rPr>
          <w:rStyle w:val="tlid-translation"/>
          <w:rFonts w:ascii="Times New Roman" w:hAnsi="Times New Roman" w:cs="Times New Roman"/>
          <w:szCs w:val="24"/>
        </w:rPr>
      </w:pPr>
    </w:p>
    <w:p w14:paraId="7D5FB695" w14:textId="5BEC5CD3" w:rsidR="001E52B3" w:rsidRDefault="001E52B3" w:rsidP="00931169">
      <w:pPr>
        <w:rPr>
          <w:rStyle w:val="tlid-translation"/>
          <w:rFonts w:ascii="Times New Roman" w:hAnsi="Times New Roman" w:cs="Times New Roman"/>
          <w:szCs w:val="24"/>
        </w:rPr>
      </w:pPr>
    </w:p>
    <w:p w14:paraId="3B59378C" w14:textId="5D0C8380" w:rsidR="001A24C3" w:rsidRDefault="001A24C3">
      <w:pPr>
        <w:spacing w:after="200" w:line="276" w:lineRule="auto"/>
        <w:jc w:val="left"/>
        <w:rPr>
          <w:rStyle w:val="tlid-translation"/>
          <w:rFonts w:ascii="Times New Roman" w:hAnsi="Times New Roman" w:cs="Times New Roman"/>
          <w:szCs w:val="24"/>
        </w:rPr>
      </w:pPr>
      <w:r>
        <w:rPr>
          <w:rStyle w:val="tlid-translation"/>
          <w:rFonts w:ascii="Times New Roman" w:hAnsi="Times New Roman" w:cs="Times New Roman"/>
          <w:szCs w:val="24"/>
        </w:rPr>
        <w:br w:type="page"/>
      </w:r>
    </w:p>
    <w:p w14:paraId="441DA170" w14:textId="77777777" w:rsidR="001E52B3" w:rsidRPr="007751FE" w:rsidRDefault="001E52B3" w:rsidP="00931169">
      <w:pPr>
        <w:rPr>
          <w:rStyle w:val="tlid-translation"/>
          <w:rFonts w:ascii="Times New Roman" w:hAnsi="Times New Roman" w:cs="Times New Roman"/>
          <w:szCs w:val="24"/>
        </w:rPr>
      </w:pPr>
    </w:p>
    <w:p w14:paraId="6D690FBA" w14:textId="77777777" w:rsidR="009C48E2" w:rsidRDefault="009C48E2" w:rsidP="00931169">
      <w:pPr>
        <w:rPr>
          <w:rStyle w:val="tlid-translation"/>
          <w:rFonts w:ascii="Times New Roman" w:hAnsi="Times New Roman" w:cs="Times New Roman"/>
          <w:szCs w:val="24"/>
        </w:rPr>
      </w:pPr>
      <w:r>
        <w:rPr>
          <w:rStyle w:val="tlid-translation"/>
          <w:rFonts w:ascii="Times New Roman" w:hAnsi="Times New Roman" w:cs="Times New Roman"/>
          <w:szCs w:val="24"/>
        </w:rPr>
        <w:t>Mapa 1: Rozmiestnenie železničných a autobusových zastávok v Krásne nad Kysucou</w:t>
      </w:r>
    </w:p>
    <w:p w14:paraId="728D3A91" w14:textId="77777777" w:rsidR="009C48E2" w:rsidRDefault="009C48E2" w:rsidP="00931169">
      <w:pPr>
        <w:rPr>
          <w:rStyle w:val="tlid-translation"/>
          <w:szCs w:val="24"/>
        </w:rPr>
      </w:pPr>
      <w:r w:rsidRPr="003045B7">
        <w:rPr>
          <w:noProof/>
          <w:lang w:eastAsia="sk-SK"/>
        </w:rPr>
        <w:drawing>
          <wp:inline distT="0" distB="0" distL="0" distR="0" wp14:anchorId="220AD340" wp14:editId="14570CDA">
            <wp:extent cx="5760720" cy="5801605"/>
            <wp:effectExtent l="0" t="0" r="0" b="8890"/>
            <wp:docPr id="14"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60720" cy="5801605"/>
                    </a:xfrm>
                    <a:prstGeom prst="rect">
                      <a:avLst/>
                    </a:prstGeom>
                    <a:noFill/>
                    <a:ln>
                      <a:noFill/>
                    </a:ln>
                  </pic:spPr>
                </pic:pic>
              </a:graphicData>
            </a:graphic>
          </wp:inline>
        </w:drawing>
      </w:r>
    </w:p>
    <w:p w14:paraId="2F0CD160" w14:textId="77777777" w:rsidR="009C48E2" w:rsidRPr="00EB4BF9" w:rsidRDefault="009C48E2" w:rsidP="00931169">
      <w:pPr>
        <w:rPr>
          <w:rStyle w:val="tlid-translation"/>
          <w:rFonts w:ascii="Times New Roman" w:hAnsi="Times New Roman" w:cs="Times New Roman"/>
          <w:szCs w:val="24"/>
        </w:rPr>
      </w:pPr>
      <w:r>
        <w:rPr>
          <w:rStyle w:val="tlid-translation"/>
          <w:rFonts w:ascii="Times New Roman" w:hAnsi="Times New Roman" w:cs="Times New Roman"/>
          <w:color w:val="FF0000"/>
          <w:szCs w:val="24"/>
        </w:rPr>
        <w:br w:type="page"/>
      </w:r>
    </w:p>
    <w:p w14:paraId="19C91DBA" w14:textId="77777777" w:rsidR="009C48E2" w:rsidRPr="00AB5894" w:rsidRDefault="009C48E2" w:rsidP="00931169">
      <w:pPr>
        <w:rPr>
          <w:rFonts w:ascii="Times New Roman" w:hAnsi="Times New Roman" w:cs="Times New Roman"/>
          <w:b/>
          <w:i/>
          <w:szCs w:val="24"/>
        </w:rPr>
      </w:pPr>
      <w:r w:rsidRPr="00AB5894">
        <w:rPr>
          <w:rFonts w:ascii="Times New Roman" w:hAnsi="Times New Roman" w:cs="Times New Roman"/>
          <w:b/>
          <w:i/>
          <w:szCs w:val="24"/>
        </w:rPr>
        <w:lastRenderedPageBreak/>
        <w:t xml:space="preserve">Záver </w:t>
      </w:r>
    </w:p>
    <w:p w14:paraId="538637D8" w14:textId="77777777" w:rsidR="009C48E2" w:rsidRPr="00AB5894" w:rsidRDefault="009C48E2" w:rsidP="00931169">
      <w:pPr>
        <w:ind w:firstLine="708"/>
        <w:rPr>
          <w:rFonts w:ascii="Times New Roman" w:hAnsi="Times New Roman" w:cs="Times New Roman"/>
          <w:szCs w:val="24"/>
        </w:rPr>
      </w:pPr>
      <w:r w:rsidRPr="00AB5894">
        <w:rPr>
          <w:rFonts w:ascii="Times New Roman" w:hAnsi="Times New Roman" w:cs="Times New Roman"/>
          <w:szCs w:val="24"/>
        </w:rPr>
        <w:t xml:space="preserve">Model podľa PDFH bol využitý najmä pre stanovenie prevedenej dopravy, ktorá je tvorená rozdielom celkového počtu cestujúcich na medzistaničných úsekoch a celkového počtu cestujúcich na medzistaničných úsekov vynásobených GJT maticou. GJT matica tvorí potenciál cestujúcich tvorený porovnaním GJT v základnom stave a v stave po projekte, pričom GJT je tvorené troma zložkami: </w:t>
      </w:r>
    </w:p>
    <w:p w14:paraId="5F193A0D" w14:textId="77777777" w:rsidR="009C48E2" w:rsidRPr="00AB5894" w:rsidRDefault="009C48E2" w:rsidP="00931169">
      <w:pPr>
        <w:pStyle w:val="Odsekzoznamu"/>
        <w:numPr>
          <w:ilvl w:val="0"/>
          <w:numId w:val="18"/>
        </w:numPr>
        <w:spacing w:before="120" w:after="0"/>
        <w:jc w:val="both"/>
        <w:rPr>
          <w:szCs w:val="24"/>
        </w:rPr>
      </w:pPr>
      <w:r w:rsidRPr="00AB5894">
        <w:rPr>
          <w:szCs w:val="24"/>
        </w:rPr>
        <w:t>cestovný čas na predmetných úsekoch pred a po realizácii projektu</w:t>
      </w:r>
      <w:r w:rsidRPr="004F6513">
        <w:rPr>
          <w:szCs w:val="24"/>
        </w:rPr>
        <w:t>;</w:t>
      </w:r>
      <w:r w:rsidRPr="00AB5894">
        <w:rPr>
          <w:szCs w:val="24"/>
        </w:rPr>
        <w:t xml:space="preserve"> </w:t>
      </w:r>
    </w:p>
    <w:p w14:paraId="65D4E3BB" w14:textId="77777777" w:rsidR="009C48E2" w:rsidRPr="00AB5894" w:rsidRDefault="009C48E2" w:rsidP="00931169">
      <w:pPr>
        <w:pStyle w:val="Odsekzoznamu"/>
        <w:numPr>
          <w:ilvl w:val="0"/>
          <w:numId w:val="18"/>
        </w:numPr>
        <w:spacing w:before="120" w:after="0"/>
        <w:jc w:val="both"/>
        <w:rPr>
          <w:szCs w:val="24"/>
        </w:rPr>
      </w:pPr>
      <w:r w:rsidRPr="00AB5894">
        <w:rPr>
          <w:szCs w:val="24"/>
        </w:rPr>
        <w:t>frekvencia spojov – obsluha dopravných bodov pred a po projekte</w:t>
      </w:r>
      <w:r w:rsidRPr="004F6513">
        <w:rPr>
          <w:szCs w:val="24"/>
        </w:rPr>
        <w:t>;</w:t>
      </w:r>
      <w:r w:rsidRPr="00AB5894">
        <w:rPr>
          <w:szCs w:val="24"/>
        </w:rPr>
        <w:t xml:space="preserve"> </w:t>
      </w:r>
    </w:p>
    <w:p w14:paraId="33316310" w14:textId="77777777" w:rsidR="009C48E2" w:rsidRPr="00AB5894" w:rsidRDefault="009C48E2" w:rsidP="00931169">
      <w:pPr>
        <w:pStyle w:val="Odsekzoznamu"/>
        <w:numPr>
          <w:ilvl w:val="0"/>
          <w:numId w:val="18"/>
        </w:numPr>
        <w:spacing w:before="120" w:after="0"/>
        <w:jc w:val="both"/>
        <w:rPr>
          <w:szCs w:val="24"/>
        </w:rPr>
      </w:pPr>
      <w:r w:rsidRPr="00AB5894">
        <w:rPr>
          <w:szCs w:val="24"/>
        </w:rPr>
        <w:t>nutnosť vykonať prestup, na predmetných reláciách pred a po projekte.</w:t>
      </w:r>
    </w:p>
    <w:p w14:paraId="08B22665" w14:textId="77777777" w:rsidR="009C48E2" w:rsidRPr="00AB5894" w:rsidRDefault="009C48E2" w:rsidP="00931169">
      <w:pPr>
        <w:rPr>
          <w:rFonts w:ascii="Times New Roman" w:hAnsi="Times New Roman" w:cs="Times New Roman"/>
          <w:szCs w:val="24"/>
        </w:rPr>
      </w:pPr>
    </w:p>
    <w:p w14:paraId="3577B268" w14:textId="77777777" w:rsidR="009C48E2" w:rsidRDefault="009C48E2" w:rsidP="00931169">
      <w:pPr>
        <w:ind w:firstLine="708"/>
        <w:rPr>
          <w:rFonts w:ascii="Times New Roman" w:hAnsi="Times New Roman" w:cs="Times New Roman"/>
          <w:szCs w:val="24"/>
        </w:rPr>
      </w:pPr>
      <w:r w:rsidRPr="00AB5894">
        <w:rPr>
          <w:rFonts w:ascii="Times New Roman" w:hAnsi="Times New Roman" w:cs="Times New Roman"/>
          <w:szCs w:val="24"/>
        </w:rPr>
        <w:t>Z modelu bol odvodený reálny presun na základe implementačnej tabuľky zohľadňujúcej uvedenie jednotlivých modernizovaných úsekov do prevádzky, a teda ich schopnosti stimulovať zmenu deľby prepravnej práce</w:t>
      </w:r>
      <w:r>
        <w:rPr>
          <w:rFonts w:ascii="Times New Roman" w:hAnsi="Times New Roman" w:cs="Times New Roman"/>
          <w:szCs w:val="24"/>
        </w:rPr>
        <w:t xml:space="preserve"> aj v rátane novo navrhovanej železničnej zastávky Krásno nad Kysucou - mesto</w:t>
      </w:r>
      <w:r w:rsidRPr="00AB5894">
        <w:rPr>
          <w:rFonts w:ascii="Times New Roman" w:hAnsi="Times New Roman" w:cs="Times New Roman"/>
          <w:szCs w:val="24"/>
        </w:rPr>
        <w:t>. V rámci modelu boli priamo kalkulované aj časové úspory cestujúcich, stanovené na základe cestovných časov na jednotlivých reláciách v stave pred projektom a po projekte.</w:t>
      </w:r>
      <w:r>
        <w:rPr>
          <w:rFonts w:ascii="Times New Roman" w:hAnsi="Times New Roman" w:cs="Times New Roman"/>
          <w:szCs w:val="24"/>
        </w:rPr>
        <w:t xml:space="preserve"> Model je rozšírený o medzinárodnú železničnú dopravu.  </w:t>
      </w:r>
    </w:p>
    <w:p w14:paraId="4C03FEB8" w14:textId="77777777" w:rsidR="009C48E2" w:rsidRDefault="009C48E2" w:rsidP="00931169">
      <w:pPr>
        <w:rPr>
          <w:rFonts w:ascii="Times New Roman" w:hAnsi="Times New Roman" w:cs="Times New Roman"/>
          <w:szCs w:val="24"/>
        </w:rPr>
      </w:pPr>
      <w:r>
        <w:rPr>
          <w:rFonts w:ascii="Times New Roman" w:hAnsi="Times New Roman" w:cs="Times New Roman"/>
          <w:szCs w:val="24"/>
        </w:rPr>
        <w:t xml:space="preserve">Zároveň do predikcie prepravných výkonov bol zahrnutý aj vplyv dostavby diaľnice D3 na celom úseku Žilina – Čadca. </w:t>
      </w:r>
    </w:p>
    <w:p w14:paraId="504FC8DC" w14:textId="77777777" w:rsidR="009C48E2" w:rsidRPr="00BD7DFC" w:rsidRDefault="009C48E2" w:rsidP="00931169">
      <w:pPr>
        <w:rPr>
          <w:rFonts w:ascii="Times New Roman" w:hAnsi="Times New Roman" w:cs="Times New Roman"/>
        </w:rPr>
      </w:pPr>
      <w:r w:rsidRPr="00BD7DFC">
        <w:rPr>
          <w:rFonts w:ascii="Times New Roman" w:hAnsi="Times New Roman" w:cs="Times New Roman"/>
        </w:rPr>
        <w:t xml:space="preserve">Porovnanie predikcie počtu cestujúcich podľa jednotlivých investičných zámerov je zobrazené v nasledujúcej tabuľke a grafe. </w:t>
      </w:r>
    </w:p>
    <w:p w14:paraId="7C8AEC72" w14:textId="77777777" w:rsidR="001E52B3" w:rsidRDefault="001E52B3" w:rsidP="00931169">
      <w:pPr>
        <w:ind w:left="1276" w:hanging="1276"/>
        <w:rPr>
          <w:rStyle w:val="tlid-translation"/>
          <w:rFonts w:ascii="Times New Roman" w:hAnsi="Times New Roman" w:cs="Times New Roman"/>
          <w:szCs w:val="24"/>
        </w:rPr>
      </w:pPr>
    </w:p>
    <w:p w14:paraId="1FD98EF8" w14:textId="63C280DC" w:rsidR="009C48E2" w:rsidRPr="007751FE" w:rsidRDefault="009C48E2" w:rsidP="00931169">
      <w:pPr>
        <w:ind w:left="1276" w:hanging="1276"/>
        <w:rPr>
          <w:rStyle w:val="tlid-translation"/>
          <w:rFonts w:ascii="Times New Roman" w:hAnsi="Times New Roman" w:cs="Times New Roman"/>
          <w:szCs w:val="24"/>
        </w:rPr>
      </w:pPr>
      <w:r w:rsidRPr="007751FE">
        <w:rPr>
          <w:rStyle w:val="tlid-translation"/>
          <w:rFonts w:ascii="Times New Roman" w:hAnsi="Times New Roman" w:cs="Times New Roman"/>
          <w:szCs w:val="24"/>
        </w:rPr>
        <w:t xml:space="preserve">Tabuľka </w:t>
      </w:r>
      <w:r w:rsidR="00DA0B84">
        <w:rPr>
          <w:rStyle w:val="tlid-translation"/>
          <w:rFonts w:ascii="Times New Roman" w:hAnsi="Times New Roman" w:cs="Times New Roman"/>
          <w:szCs w:val="24"/>
        </w:rPr>
        <w:t>24</w:t>
      </w:r>
      <w:r w:rsidRPr="007751FE">
        <w:rPr>
          <w:rStyle w:val="tlid-translation"/>
          <w:rFonts w:ascii="Times New Roman" w:hAnsi="Times New Roman" w:cs="Times New Roman"/>
          <w:szCs w:val="24"/>
        </w:rPr>
        <w:t xml:space="preserve">: </w:t>
      </w:r>
      <w:r>
        <w:rPr>
          <w:rStyle w:val="tlid-translation"/>
          <w:rFonts w:ascii="Times New Roman" w:hAnsi="Times New Roman" w:cs="Times New Roman"/>
          <w:szCs w:val="24"/>
        </w:rPr>
        <w:tab/>
        <w:t xml:space="preserve">Porovnanie predikcie počtu cestujúcich </w:t>
      </w:r>
    </w:p>
    <w:tbl>
      <w:tblPr>
        <w:tblStyle w:val="Mriekatabuky"/>
        <w:tblW w:w="0" w:type="auto"/>
        <w:tblLook w:val="04A0" w:firstRow="1" w:lastRow="0" w:firstColumn="1" w:lastColumn="0" w:noHBand="0" w:noVBand="1"/>
      </w:tblPr>
      <w:tblGrid>
        <w:gridCol w:w="2007"/>
        <w:gridCol w:w="1598"/>
        <w:gridCol w:w="1819"/>
        <w:gridCol w:w="1819"/>
        <w:gridCol w:w="1819"/>
      </w:tblGrid>
      <w:tr w:rsidR="009C48E2" w:rsidRPr="003928C5" w14:paraId="1F843D5B" w14:textId="77777777" w:rsidTr="00C5567E">
        <w:trPr>
          <w:trHeight w:val="348"/>
        </w:trPr>
        <w:tc>
          <w:tcPr>
            <w:tcW w:w="2038" w:type="dxa"/>
            <w:vAlign w:val="center"/>
          </w:tcPr>
          <w:p w14:paraId="784E7AE9" w14:textId="77777777" w:rsidR="009C48E2" w:rsidRPr="003928C5" w:rsidRDefault="009C48E2" w:rsidP="00931169">
            <w:pPr>
              <w:rPr>
                <w:rFonts w:ascii="Times New Roman" w:hAnsi="Times New Roman" w:cs="Times New Roman"/>
                <w:b/>
                <w:sz w:val="18"/>
              </w:rPr>
            </w:pPr>
            <w:r w:rsidRPr="003928C5">
              <w:rPr>
                <w:rFonts w:ascii="Times New Roman" w:hAnsi="Times New Roman" w:cs="Times New Roman"/>
                <w:b/>
                <w:sz w:val="18"/>
              </w:rPr>
              <w:t>Alternatíva/Rok</w:t>
            </w:r>
          </w:p>
        </w:tc>
        <w:tc>
          <w:tcPr>
            <w:tcW w:w="1643" w:type="dxa"/>
          </w:tcPr>
          <w:p w14:paraId="75CE2D09" w14:textId="77777777" w:rsidR="009C48E2" w:rsidRPr="003928C5" w:rsidRDefault="009C48E2" w:rsidP="00931169">
            <w:pPr>
              <w:rPr>
                <w:rFonts w:ascii="Times New Roman" w:hAnsi="Times New Roman" w:cs="Times New Roman"/>
                <w:b/>
                <w:sz w:val="18"/>
              </w:rPr>
            </w:pPr>
            <w:r>
              <w:rPr>
                <w:rFonts w:ascii="Times New Roman" w:hAnsi="Times New Roman" w:cs="Times New Roman"/>
                <w:b/>
                <w:sz w:val="18"/>
              </w:rPr>
              <w:t>2020</w:t>
            </w:r>
          </w:p>
        </w:tc>
        <w:tc>
          <w:tcPr>
            <w:tcW w:w="1869" w:type="dxa"/>
            <w:vAlign w:val="center"/>
          </w:tcPr>
          <w:p w14:paraId="01A29DCC" w14:textId="77777777" w:rsidR="009C48E2" w:rsidRPr="003928C5" w:rsidRDefault="009C48E2" w:rsidP="00931169">
            <w:pPr>
              <w:rPr>
                <w:rFonts w:ascii="Times New Roman" w:hAnsi="Times New Roman" w:cs="Times New Roman"/>
                <w:b/>
                <w:sz w:val="18"/>
              </w:rPr>
            </w:pPr>
            <w:r w:rsidRPr="003928C5">
              <w:rPr>
                <w:rFonts w:ascii="Times New Roman" w:hAnsi="Times New Roman" w:cs="Times New Roman"/>
                <w:b/>
                <w:sz w:val="18"/>
              </w:rPr>
              <w:t>2030</w:t>
            </w:r>
          </w:p>
        </w:tc>
        <w:tc>
          <w:tcPr>
            <w:tcW w:w="1869" w:type="dxa"/>
            <w:vAlign w:val="center"/>
          </w:tcPr>
          <w:p w14:paraId="568C4166" w14:textId="77777777" w:rsidR="009C48E2" w:rsidRPr="003928C5" w:rsidRDefault="009C48E2" w:rsidP="00931169">
            <w:pPr>
              <w:rPr>
                <w:rFonts w:ascii="Times New Roman" w:hAnsi="Times New Roman" w:cs="Times New Roman"/>
                <w:b/>
                <w:sz w:val="18"/>
              </w:rPr>
            </w:pPr>
            <w:r w:rsidRPr="003928C5">
              <w:rPr>
                <w:rFonts w:ascii="Times New Roman" w:hAnsi="Times New Roman" w:cs="Times New Roman"/>
                <w:b/>
                <w:sz w:val="18"/>
              </w:rPr>
              <w:t>2040</w:t>
            </w:r>
          </w:p>
        </w:tc>
        <w:tc>
          <w:tcPr>
            <w:tcW w:w="1869" w:type="dxa"/>
            <w:vAlign w:val="center"/>
          </w:tcPr>
          <w:p w14:paraId="5DB5B8ED" w14:textId="77777777" w:rsidR="009C48E2" w:rsidRPr="003928C5" w:rsidRDefault="009C48E2" w:rsidP="00931169">
            <w:pPr>
              <w:rPr>
                <w:rFonts w:ascii="Times New Roman" w:hAnsi="Times New Roman" w:cs="Times New Roman"/>
                <w:b/>
                <w:sz w:val="18"/>
              </w:rPr>
            </w:pPr>
            <w:r w:rsidRPr="003928C5">
              <w:rPr>
                <w:rFonts w:ascii="Times New Roman" w:hAnsi="Times New Roman" w:cs="Times New Roman"/>
                <w:b/>
                <w:sz w:val="18"/>
              </w:rPr>
              <w:t>2050</w:t>
            </w:r>
          </w:p>
        </w:tc>
      </w:tr>
      <w:tr w:rsidR="009C48E2" w:rsidRPr="003928C5" w14:paraId="0A459BFA" w14:textId="77777777" w:rsidTr="00C5567E">
        <w:trPr>
          <w:trHeight w:val="258"/>
        </w:trPr>
        <w:tc>
          <w:tcPr>
            <w:tcW w:w="2038" w:type="dxa"/>
            <w:vAlign w:val="center"/>
          </w:tcPr>
          <w:p w14:paraId="2F329D0F" w14:textId="77777777" w:rsidR="009C48E2" w:rsidRDefault="009C48E2" w:rsidP="00931169">
            <w:pPr>
              <w:rPr>
                <w:rFonts w:ascii="Times New Roman" w:hAnsi="Times New Roman" w:cs="Times New Roman"/>
                <w:sz w:val="18"/>
              </w:rPr>
            </w:pPr>
            <w:r>
              <w:rPr>
                <w:rFonts w:ascii="Times New Roman" w:hAnsi="Times New Roman" w:cs="Times New Roman"/>
                <w:sz w:val="18"/>
              </w:rPr>
              <w:t>Bez realizácie projektu</w:t>
            </w:r>
          </w:p>
        </w:tc>
        <w:tc>
          <w:tcPr>
            <w:tcW w:w="1643" w:type="dxa"/>
            <w:vAlign w:val="center"/>
          </w:tcPr>
          <w:p w14:paraId="43C0097D" w14:textId="77777777" w:rsidR="009C48E2" w:rsidRPr="005E7A87" w:rsidRDefault="009C48E2" w:rsidP="00931169">
            <w:pPr>
              <w:rPr>
                <w:rFonts w:ascii="Times New Roman" w:hAnsi="Times New Roman" w:cs="Times New Roman"/>
                <w:sz w:val="18"/>
              </w:rPr>
            </w:pPr>
            <w:r w:rsidRPr="005E7A87">
              <w:rPr>
                <w:rFonts w:ascii="Times New Roman" w:hAnsi="Times New Roman" w:cs="Times New Roman"/>
                <w:sz w:val="18"/>
              </w:rPr>
              <w:t>1 759 350</w:t>
            </w:r>
          </w:p>
        </w:tc>
        <w:tc>
          <w:tcPr>
            <w:tcW w:w="1869" w:type="dxa"/>
            <w:vAlign w:val="center"/>
          </w:tcPr>
          <w:p w14:paraId="3938CD5D" w14:textId="77777777" w:rsidR="009C48E2" w:rsidRPr="005E7A87" w:rsidRDefault="009C48E2" w:rsidP="00931169">
            <w:pPr>
              <w:rPr>
                <w:rFonts w:ascii="Times New Roman" w:hAnsi="Times New Roman" w:cs="Times New Roman"/>
                <w:sz w:val="18"/>
              </w:rPr>
            </w:pPr>
            <w:r w:rsidRPr="005E7A87">
              <w:rPr>
                <w:rFonts w:ascii="Times New Roman" w:hAnsi="Times New Roman" w:cs="Times New Roman"/>
                <w:sz w:val="18"/>
              </w:rPr>
              <w:t>1 918 722</w:t>
            </w:r>
          </w:p>
        </w:tc>
        <w:tc>
          <w:tcPr>
            <w:tcW w:w="1869" w:type="dxa"/>
            <w:vAlign w:val="center"/>
          </w:tcPr>
          <w:p w14:paraId="532B312A" w14:textId="77777777" w:rsidR="009C48E2" w:rsidRPr="005E7A87" w:rsidRDefault="009C48E2" w:rsidP="00931169">
            <w:pPr>
              <w:rPr>
                <w:rFonts w:ascii="Times New Roman" w:hAnsi="Times New Roman" w:cs="Times New Roman"/>
                <w:sz w:val="18"/>
              </w:rPr>
            </w:pPr>
            <w:r w:rsidRPr="005E7A87">
              <w:rPr>
                <w:rFonts w:ascii="Times New Roman" w:hAnsi="Times New Roman" w:cs="Times New Roman"/>
                <w:sz w:val="18"/>
              </w:rPr>
              <w:t>1 858 864</w:t>
            </w:r>
          </w:p>
        </w:tc>
        <w:tc>
          <w:tcPr>
            <w:tcW w:w="1869" w:type="dxa"/>
            <w:vAlign w:val="center"/>
          </w:tcPr>
          <w:p w14:paraId="3B0A03EE" w14:textId="77777777" w:rsidR="009C48E2" w:rsidRPr="005E7A87" w:rsidRDefault="009C48E2" w:rsidP="00931169">
            <w:pPr>
              <w:rPr>
                <w:rFonts w:ascii="Times New Roman" w:hAnsi="Times New Roman" w:cs="Times New Roman"/>
                <w:sz w:val="18"/>
              </w:rPr>
            </w:pPr>
            <w:r w:rsidRPr="005E7A87">
              <w:rPr>
                <w:rFonts w:ascii="Times New Roman" w:hAnsi="Times New Roman" w:cs="Times New Roman"/>
                <w:sz w:val="18"/>
              </w:rPr>
              <w:t>1 856 725</w:t>
            </w:r>
          </w:p>
        </w:tc>
      </w:tr>
      <w:tr w:rsidR="009C48E2" w:rsidRPr="003928C5" w14:paraId="19898428" w14:textId="77777777" w:rsidTr="00C5567E">
        <w:trPr>
          <w:trHeight w:val="258"/>
        </w:trPr>
        <w:tc>
          <w:tcPr>
            <w:tcW w:w="2038" w:type="dxa"/>
            <w:vAlign w:val="center"/>
          </w:tcPr>
          <w:p w14:paraId="2B7D897B" w14:textId="77777777" w:rsidR="009C48E2" w:rsidRPr="003928C5" w:rsidRDefault="009C48E2" w:rsidP="00931169">
            <w:pPr>
              <w:rPr>
                <w:rFonts w:ascii="Times New Roman" w:hAnsi="Times New Roman" w:cs="Times New Roman"/>
                <w:sz w:val="18"/>
              </w:rPr>
            </w:pPr>
            <w:r>
              <w:rPr>
                <w:rFonts w:ascii="Times New Roman" w:hAnsi="Times New Roman" w:cs="Times New Roman"/>
                <w:sz w:val="18"/>
              </w:rPr>
              <w:t>Minimálny</w:t>
            </w:r>
            <w:r w:rsidRPr="003928C5">
              <w:rPr>
                <w:rFonts w:ascii="Times New Roman" w:hAnsi="Times New Roman" w:cs="Times New Roman"/>
                <w:sz w:val="18"/>
              </w:rPr>
              <w:t xml:space="preserve"> variant</w:t>
            </w:r>
          </w:p>
        </w:tc>
        <w:tc>
          <w:tcPr>
            <w:tcW w:w="1643" w:type="dxa"/>
            <w:vAlign w:val="center"/>
          </w:tcPr>
          <w:p w14:paraId="0A100E5A"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1 945 572</w:t>
            </w:r>
          </w:p>
        </w:tc>
        <w:tc>
          <w:tcPr>
            <w:tcW w:w="1869" w:type="dxa"/>
            <w:vAlign w:val="center"/>
          </w:tcPr>
          <w:p w14:paraId="25033DEE"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2 283 863</w:t>
            </w:r>
          </w:p>
        </w:tc>
        <w:tc>
          <w:tcPr>
            <w:tcW w:w="1869" w:type="dxa"/>
            <w:vAlign w:val="center"/>
          </w:tcPr>
          <w:p w14:paraId="086BA5E3"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2 219 037</w:t>
            </w:r>
          </w:p>
        </w:tc>
        <w:tc>
          <w:tcPr>
            <w:tcW w:w="1869" w:type="dxa"/>
            <w:vAlign w:val="center"/>
          </w:tcPr>
          <w:p w14:paraId="24C7A173"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2 215 991</w:t>
            </w:r>
          </w:p>
        </w:tc>
      </w:tr>
      <w:tr w:rsidR="009C48E2" w:rsidRPr="003928C5" w14:paraId="3AD3DBDE" w14:textId="77777777" w:rsidTr="00C5567E">
        <w:trPr>
          <w:trHeight w:val="258"/>
        </w:trPr>
        <w:tc>
          <w:tcPr>
            <w:tcW w:w="2038" w:type="dxa"/>
            <w:vAlign w:val="center"/>
          </w:tcPr>
          <w:p w14:paraId="4B9FC208" w14:textId="77777777" w:rsidR="009C48E2" w:rsidRPr="003928C5" w:rsidRDefault="009C48E2" w:rsidP="00931169">
            <w:pPr>
              <w:rPr>
                <w:rFonts w:ascii="Times New Roman" w:hAnsi="Times New Roman" w:cs="Times New Roman"/>
                <w:sz w:val="18"/>
              </w:rPr>
            </w:pPr>
            <w:r>
              <w:rPr>
                <w:rFonts w:ascii="Times New Roman" w:hAnsi="Times New Roman" w:cs="Times New Roman"/>
                <w:sz w:val="18"/>
              </w:rPr>
              <w:t>Základný</w:t>
            </w:r>
            <w:r w:rsidRPr="003928C5">
              <w:rPr>
                <w:rFonts w:ascii="Times New Roman" w:hAnsi="Times New Roman" w:cs="Times New Roman"/>
                <w:sz w:val="18"/>
              </w:rPr>
              <w:t xml:space="preserve"> variant</w:t>
            </w:r>
          </w:p>
        </w:tc>
        <w:tc>
          <w:tcPr>
            <w:tcW w:w="1643" w:type="dxa"/>
            <w:vAlign w:val="center"/>
          </w:tcPr>
          <w:p w14:paraId="4AE37C08"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1 982 803</w:t>
            </w:r>
          </w:p>
        </w:tc>
        <w:tc>
          <w:tcPr>
            <w:tcW w:w="1869" w:type="dxa"/>
            <w:vAlign w:val="center"/>
          </w:tcPr>
          <w:p w14:paraId="141A118E"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2 445 467</w:t>
            </w:r>
          </w:p>
        </w:tc>
        <w:tc>
          <w:tcPr>
            <w:tcW w:w="1869" w:type="dxa"/>
            <w:vAlign w:val="center"/>
          </w:tcPr>
          <w:p w14:paraId="47203579"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2 382 779</w:t>
            </w:r>
          </w:p>
        </w:tc>
        <w:tc>
          <w:tcPr>
            <w:tcW w:w="1869" w:type="dxa"/>
            <w:vAlign w:val="center"/>
          </w:tcPr>
          <w:p w14:paraId="39B04856"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2 378 933</w:t>
            </w:r>
          </w:p>
        </w:tc>
      </w:tr>
      <w:tr w:rsidR="009C48E2" w:rsidRPr="003928C5" w14:paraId="382EC4B4" w14:textId="77777777" w:rsidTr="00C5567E">
        <w:trPr>
          <w:trHeight w:val="258"/>
        </w:trPr>
        <w:tc>
          <w:tcPr>
            <w:tcW w:w="2038" w:type="dxa"/>
            <w:vAlign w:val="center"/>
          </w:tcPr>
          <w:p w14:paraId="6CA69835" w14:textId="77777777" w:rsidR="009C48E2" w:rsidRPr="003928C5" w:rsidRDefault="009C48E2" w:rsidP="00931169">
            <w:pPr>
              <w:rPr>
                <w:rFonts w:ascii="Times New Roman" w:hAnsi="Times New Roman" w:cs="Times New Roman"/>
                <w:sz w:val="18"/>
              </w:rPr>
            </w:pPr>
            <w:r>
              <w:rPr>
                <w:rFonts w:ascii="Times New Roman" w:hAnsi="Times New Roman" w:cs="Times New Roman"/>
                <w:sz w:val="18"/>
              </w:rPr>
              <w:t>Stredný</w:t>
            </w:r>
            <w:r w:rsidRPr="003928C5">
              <w:rPr>
                <w:rFonts w:ascii="Times New Roman" w:hAnsi="Times New Roman" w:cs="Times New Roman"/>
                <w:sz w:val="18"/>
              </w:rPr>
              <w:t xml:space="preserve"> variant</w:t>
            </w:r>
          </w:p>
        </w:tc>
        <w:tc>
          <w:tcPr>
            <w:tcW w:w="1643" w:type="dxa"/>
            <w:vAlign w:val="center"/>
          </w:tcPr>
          <w:p w14:paraId="4E2A0ACF"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1 989 170</w:t>
            </w:r>
          </w:p>
        </w:tc>
        <w:tc>
          <w:tcPr>
            <w:tcW w:w="1869" w:type="dxa"/>
            <w:vAlign w:val="center"/>
          </w:tcPr>
          <w:p w14:paraId="3DED9438"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2 564 996</w:t>
            </w:r>
          </w:p>
        </w:tc>
        <w:tc>
          <w:tcPr>
            <w:tcW w:w="1869" w:type="dxa"/>
            <w:vAlign w:val="center"/>
          </w:tcPr>
          <w:p w14:paraId="5E5C0D32"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2 502 690</w:t>
            </w:r>
          </w:p>
        </w:tc>
        <w:tc>
          <w:tcPr>
            <w:tcW w:w="1869" w:type="dxa"/>
            <w:vAlign w:val="center"/>
          </w:tcPr>
          <w:p w14:paraId="0C7323BD" w14:textId="77777777" w:rsidR="009C48E2" w:rsidRPr="005E7A87" w:rsidRDefault="009C48E2" w:rsidP="00931169">
            <w:pPr>
              <w:rPr>
                <w:rFonts w:ascii="Times New Roman" w:hAnsi="Times New Roman" w:cs="Times New Roman"/>
                <w:iCs/>
                <w:sz w:val="18"/>
              </w:rPr>
            </w:pPr>
            <w:r w:rsidRPr="005E7A87">
              <w:rPr>
                <w:rFonts w:ascii="Times New Roman" w:hAnsi="Times New Roman" w:cs="Times New Roman"/>
                <w:iCs/>
                <w:sz w:val="18"/>
              </w:rPr>
              <w:t>2 498 044</w:t>
            </w:r>
          </w:p>
        </w:tc>
      </w:tr>
    </w:tbl>
    <w:p w14:paraId="753D0C52" w14:textId="77777777" w:rsidR="009C48E2" w:rsidRDefault="009C48E2" w:rsidP="00931169">
      <w:pPr>
        <w:ind w:left="993" w:hanging="993"/>
        <w:rPr>
          <w:rFonts w:ascii="Times New Roman" w:hAnsi="Times New Roman" w:cs="Times New Roman"/>
          <w:szCs w:val="24"/>
        </w:rPr>
      </w:pPr>
    </w:p>
    <w:p w14:paraId="420EAB50" w14:textId="3B93D2A4" w:rsidR="009C48E2" w:rsidRDefault="009C48E2" w:rsidP="00931169">
      <w:pPr>
        <w:ind w:left="992" w:hanging="992"/>
        <w:rPr>
          <w:rFonts w:ascii="Times New Roman" w:hAnsi="Times New Roman" w:cs="Times New Roman"/>
          <w:szCs w:val="24"/>
        </w:rPr>
      </w:pPr>
      <w:r>
        <w:rPr>
          <w:rFonts w:ascii="Times New Roman" w:hAnsi="Times New Roman" w:cs="Times New Roman"/>
          <w:szCs w:val="24"/>
        </w:rPr>
        <w:t xml:space="preserve">Graf : </w:t>
      </w:r>
      <w:r>
        <w:rPr>
          <w:rFonts w:ascii="Times New Roman" w:hAnsi="Times New Roman" w:cs="Times New Roman"/>
          <w:szCs w:val="24"/>
        </w:rPr>
        <w:tab/>
        <w:t xml:space="preserve">Porovnanie predikcie počtu cestujúcich </w:t>
      </w:r>
    </w:p>
    <w:p w14:paraId="47CEE9EA" w14:textId="77777777" w:rsidR="009C48E2" w:rsidRDefault="009C48E2" w:rsidP="00931169">
      <w:pPr>
        <w:ind w:left="993" w:hanging="993"/>
        <w:rPr>
          <w:rFonts w:ascii="Times New Roman" w:hAnsi="Times New Roman" w:cs="Times New Roman"/>
          <w:szCs w:val="24"/>
        </w:rPr>
      </w:pPr>
      <w:r>
        <w:rPr>
          <w:noProof/>
          <w:lang w:eastAsia="sk-SK"/>
        </w:rPr>
        <w:drawing>
          <wp:inline distT="0" distB="0" distL="0" distR="0" wp14:anchorId="6A94CF6D" wp14:editId="277D244F">
            <wp:extent cx="5760720" cy="2444621"/>
            <wp:effectExtent l="0" t="0" r="11430" b="13335"/>
            <wp:docPr id="27" name="Graf 27"/>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7F08548" w14:textId="77777777" w:rsidR="009C48E2" w:rsidRDefault="009C48E2" w:rsidP="00931169">
      <w:pPr>
        <w:ind w:left="993" w:hanging="993"/>
        <w:rPr>
          <w:rFonts w:ascii="Times New Roman" w:hAnsi="Times New Roman" w:cs="Times New Roman"/>
          <w:szCs w:val="24"/>
        </w:rPr>
      </w:pPr>
    </w:p>
    <w:p w14:paraId="1135FBBE" w14:textId="789DC3E7" w:rsidR="009C48E2" w:rsidRDefault="009C48E2" w:rsidP="00931169">
      <w:pPr>
        <w:rPr>
          <w:rFonts w:ascii="Times New Roman" w:hAnsi="Times New Roman" w:cs="Times New Roman"/>
          <w:szCs w:val="24"/>
        </w:rPr>
      </w:pPr>
      <w:r>
        <w:rPr>
          <w:rFonts w:ascii="Times New Roman" w:hAnsi="Times New Roman" w:cs="Times New Roman"/>
          <w:szCs w:val="24"/>
        </w:rPr>
        <w:t xml:space="preserve">Štruktúra prevedenej dopravy podľa jednotlivých investičných zámerov  je zobrazená v nasledujúcej tabuľke a grafe. </w:t>
      </w:r>
    </w:p>
    <w:p w14:paraId="577163BC" w14:textId="340C1603" w:rsidR="001E52B3" w:rsidRDefault="001E52B3" w:rsidP="00931169">
      <w:pPr>
        <w:rPr>
          <w:rFonts w:ascii="Times New Roman" w:hAnsi="Times New Roman" w:cs="Times New Roman"/>
          <w:szCs w:val="24"/>
        </w:rPr>
      </w:pPr>
    </w:p>
    <w:p w14:paraId="4EB54E73" w14:textId="3FC71AA8" w:rsidR="001E52B3" w:rsidRDefault="001E52B3" w:rsidP="00931169">
      <w:pPr>
        <w:rPr>
          <w:rFonts w:ascii="Times New Roman" w:hAnsi="Times New Roman" w:cs="Times New Roman"/>
          <w:szCs w:val="24"/>
        </w:rPr>
      </w:pPr>
    </w:p>
    <w:p w14:paraId="5456781F" w14:textId="77777777" w:rsidR="001A24C3" w:rsidRDefault="001A24C3" w:rsidP="00931169">
      <w:pPr>
        <w:rPr>
          <w:rFonts w:ascii="Times New Roman" w:hAnsi="Times New Roman" w:cs="Times New Roman"/>
          <w:szCs w:val="24"/>
        </w:rPr>
      </w:pPr>
    </w:p>
    <w:p w14:paraId="5F0760AB" w14:textId="737ECE59" w:rsidR="009C48E2" w:rsidRPr="007751FE" w:rsidRDefault="009C48E2" w:rsidP="00931169">
      <w:pPr>
        <w:ind w:left="1276" w:hanging="1276"/>
        <w:rPr>
          <w:rStyle w:val="tlid-translation"/>
          <w:rFonts w:ascii="Times New Roman" w:hAnsi="Times New Roman" w:cs="Times New Roman"/>
          <w:szCs w:val="24"/>
        </w:rPr>
      </w:pPr>
      <w:r w:rsidRPr="007751FE">
        <w:rPr>
          <w:rStyle w:val="tlid-translation"/>
          <w:rFonts w:ascii="Times New Roman" w:hAnsi="Times New Roman" w:cs="Times New Roman"/>
          <w:szCs w:val="24"/>
        </w:rPr>
        <w:t xml:space="preserve">Tabuľka </w:t>
      </w:r>
      <w:r w:rsidR="00DA0B84">
        <w:rPr>
          <w:rStyle w:val="tlid-translation"/>
          <w:rFonts w:ascii="Times New Roman" w:hAnsi="Times New Roman" w:cs="Times New Roman"/>
          <w:szCs w:val="24"/>
        </w:rPr>
        <w:t>25</w:t>
      </w:r>
      <w:r w:rsidRPr="007751FE">
        <w:rPr>
          <w:rStyle w:val="tlid-translation"/>
          <w:rFonts w:ascii="Times New Roman" w:hAnsi="Times New Roman" w:cs="Times New Roman"/>
          <w:szCs w:val="24"/>
        </w:rPr>
        <w:t xml:space="preserve">: </w:t>
      </w:r>
      <w:r>
        <w:rPr>
          <w:rStyle w:val="tlid-translation"/>
          <w:rFonts w:ascii="Times New Roman" w:hAnsi="Times New Roman" w:cs="Times New Roman"/>
          <w:szCs w:val="24"/>
        </w:rPr>
        <w:tab/>
        <w:t xml:space="preserve">Štruktúra prevedenej dopravy (počet cestujúcich/rok) </w:t>
      </w:r>
    </w:p>
    <w:tbl>
      <w:tblPr>
        <w:tblW w:w="9370" w:type="dxa"/>
        <w:tblInd w:w="75" w:type="dxa"/>
        <w:tblCellMar>
          <w:left w:w="70" w:type="dxa"/>
          <w:right w:w="70" w:type="dxa"/>
        </w:tblCellMar>
        <w:tblLook w:val="04A0" w:firstRow="1" w:lastRow="0" w:firstColumn="1" w:lastColumn="0" w:noHBand="0" w:noVBand="1"/>
      </w:tblPr>
      <w:tblGrid>
        <w:gridCol w:w="2580"/>
        <w:gridCol w:w="1810"/>
        <w:gridCol w:w="1701"/>
        <w:gridCol w:w="1559"/>
        <w:gridCol w:w="1720"/>
      </w:tblGrid>
      <w:tr w:rsidR="009C48E2" w:rsidRPr="00BD7DFC" w14:paraId="0854F2C4" w14:textId="77777777" w:rsidTr="00C5567E">
        <w:trPr>
          <w:trHeight w:val="580"/>
        </w:trPr>
        <w:tc>
          <w:tcPr>
            <w:tcW w:w="25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146640" w14:textId="77777777" w:rsidR="009C48E2" w:rsidRPr="00BD7DFC" w:rsidRDefault="009C48E2" w:rsidP="00931169">
            <w:pPr>
              <w:rPr>
                <w:rFonts w:ascii="Times New Roman" w:eastAsia="Times New Roman" w:hAnsi="Times New Roman" w:cs="Times New Roman"/>
                <w:b/>
                <w:color w:val="000000"/>
                <w:sz w:val="18"/>
                <w:lang w:eastAsia="sk-SK"/>
              </w:rPr>
            </w:pPr>
            <w:r w:rsidRPr="00BD7DFC">
              <w:rPr>
                <w:rFonts w:ascii="Times New Roman" w:eastAsia="Times New Roman" w:hAnsi="Times New Roman" w:cs="Times New Roman"/>
                <w:b/>
                <w:color w:val="000000"/>
                <w:sz w:val="18"/>
                <w:lang w:eastAsia="sk-SK"/>
              </w:rPr>
              <w:t>Variant</w:t>
            </w:r>
          </w:p>
        </w:tc>
        <w:tc>
          <w:tcPr>
            <w:tcW w:w="1810" w:type="dxa"/>
            <w:tcBorders>
              <w:top w:val="single" w:sz="4" w:space="0" w:color="auto"/>
              <w:left w:val="nil"/>
              <w:bottom w:val="single" w:sz="4" w:space="0" w:color="auto"/>
              <w:right w:val="single" w:sz="4" w:space="0" w:color="auto"/>
            </w:tcBorders>
            <w:shd w:val="clear" w:color="auto" w:fill="auto"/>
            <w:vAlign w:val="center"/>
            <w:hideMark/>
          </w:tcPr>
          <w:p w14:paraId="5EA36ED4" w14:textId="77777777" w:rsidR="009C48E2" w:rsidRPr="00BD7DFC" w:rsidRDefault="009C48E2" w:rsidP="00931169">
            <w:pPr>
              <w:rPr>
                <w:rFonts w:ascii="Times New Roman" w:eastAsia="Times New Roman" w:hAnsi="Times New Roman" w:cs="Times New Roman"/>
                <w:b/>
                <w:color w:val="000000"/>
                <w:sz w:val="18"/>
                <w:lang w:eastAsia="sk-SK"/>
              </w:rPr>
            </w:pPr>
            <w:r w:rsidRPr="00BD7DFC">
              <w:rPr>
                <w:rFonts w:ascii="Times New Roman" w:eastAsia="Times New Roman" w:hAnsi="Times New Roman" w:cs="Times New Roman"/>
                <w:b/>
                <w:color w:val="000000"/>
                <w:sz w:val="18"/>
                <w:lang w:eastAsia="sk-SK"/>
              </w:rPr>
              <w:t>Počet cestujúcich/deň TIOP</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14:paraId="3EDFA317" w14:textId="77777777" w:rsidR="009C48E2" w:rsidRPr="00BD7DFC" w:rsidRDefault="009C48E2" w:rsidP="00931169">
            <w:pPr>
              <w:rPr>
                <w:rFonts w:ascii="Times New Roman" w:eastAsia="Times New Roman" w:hAnsi="Times New Roman" w:cs="Times New Roman"/>
                <w:b/>
                <w:color w:val="000000"/>
                <w:sz w:val="18"/>
                <w:lang w:eastAsia="sk-SK"/>
              </w:rPr>
            </w:pPr>
            <w:r w:rsidRPr="00BD7DFC">
              <w:rPr>
                <w:rFonts w:ascii="Times New Roman" w:eastAsia="Times New Roman" w:hAnsi="Times New Roman" w:cs="Times New Roman"/>
                <w:b/>
                <w:color w:val="000000"/>
                <w:sz w:val="18"/>
                <w:lang w:eastAsia="sk-SK"/>
              </w:rPr>
              <w:t xml:space="preserve">Počet </w:t>
            </w:r>
            <w:r w:rsidRPr="00DE277F">
              <w:rPr>
                <w:rFonts w:ascii="Times New Roman" w:eastAsia="Times New Roman" w:hAnsi="Times New Roman" w:cs="Times New Roman"/>
                <w:b/>
                <w:color w:val="000000"/>
                <w:sz w:val="18"/>
                <w:lang w:eastAsia="sk-SK"/>
              </w:rPr>
              <w:t>cestujúcich celkom</w:t>
            </w:r>
            <w:r>
              <w:rPr>
                <w:rFonts w:ascii="Times New Roman" w:eastAsia="Times New Roman" w:hAnsi="Times New Roman" w:cs="Times New Roman"/>
                <w:b/>
                <w:color w:val="000000"/>
                <w:sz w:val="18"/>
                <w:lang w:eastAsia="sk-SK"/>
              </w:rPr>
              <w:t>/rok</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24808EA9" w14:textId="77777777" w:rsidR="009C48E2" w:rsidRPr="00DE277F" w:rsidRDefault="009C48E2" w:rsidP="00931169">
            <w:pPr>
              <w:rPr>
                <w:rFonts w:ascii="Times New Roman" w:eastAsia="Times New Roman" w:hAnsi="Times New Roman" w:cs="Times New Roman"/>
                <w:b/>
                <w:color w:val="000000"/>
                <w:sz w:val="18"/>
                <w:lang w:eastAsia="sk-SK"/>
              </w:rPr>
            </w:pPr>
            <w:r w:rsidRPr="00BD7DFC">
              <w:rPr>
                <w:rFonts w:ascii="Times New Roman" w:eastAsia="Times New Roman" w:hAnsi="Times New Roman" w:cs="Times New Roman"/>
                <w:b/>
                <w:color w:val="000000"/>
                <w:sz w:val="18"/>
                <w:lang w:eastAsia="sk-SK"/>
              </w:rPr>
              <w:t>Počet cestujúcich</w:t>
            </w:r>
          </w:p>
          <w:p w14:paraId="72EDB30C" w14:textId="77777777" w:rsidR="009C48E2" w:rsidRDefault="009C48E2" w:rsidP="00931169">
            <w:pPr>
              <w:rPr>
                <w:rFonts w:ascii="Times New Roman" w:eastAsia="Times New Roman" w:hAnsi="Times New Roman" w:cs="Times New Roman"/>
                <w:b/>
                <w:color w:val="000000"/>
                <w:sz w:val="18"/>
                <w:lang w:eastAsia="sk-SK"/>
              </w:rPr>
            </w:pPr>
            <w:r w:rsidRPr="00BD7DFC">
              <w:rPr>
                <w:rFonts w:ascii="Times New Roman" w:eastAsia="Times New Roman" w:hAnsi="Times New Roman" w:cs="Times New Roman"/>
                <w:b/>
                <w:color w:val="000000"/>
                <w:sz w:val="18"/>
                <w:lang w:eastAsia="sk-SK"/>
              </w:rPr>
              <w:t xml:space="preserve"> </w:t>
            </w:r>
            <w:r w:rsidRPr="00DE277F">
              <w:rPr>
                <w:rFonts w:ascii="Times New Roman" w:eastAsia="Times New Roman" w:hAnsi="Times New Roman" w:cs="Times New Roman"/>
                <w:b/>
                <w:color w:val="000000"/>
                <w:sz w:val="18"/>
                <w:lang w:eastAsia="sk-SK"/>
              </w:rPr>
              <w:t>z</w:t>
            </w:r>
            <w:r>
              <w:rPr>
                <w:rFonts w:ascii="Times New Roman" w:eastAsia="Times New Roman" w:hAnsi="Times New Roman" w:cs="Times New Roman"/>
                <w:b/>
                <w:color w:val="000000"/>
                <w:sz w:val="18"/>
                <w:lang w:eastAsia="sk-SK"/>
              </w:rPr>
              <w:t> </w:t>
            </w:r>
            <w:r w:rsidRPr="00BD7DFC">
              <w:rPr>
                <w:rFonts w:ascii="Times New Roman" w:eastAsia="Times New Roman" w:hAnsi="Times New Roman" w:cs="Times New Roman"/>
                <w:b/>
                <w:color w:val="000000"/>
                <w:sz w:val="18"/>
                <w:lang w:eastAsia="sk-SK"/>
              </w:rPr>
              <w:t>TIOP</w:t>
            </w:r>
            <w:r>
              <w:rPr>
                <w:rFonts w:ascii="Times New Roman" w:eastAsia="Times New Roman" w:hAnsi="Times New Roman" w:cs="Times New Roman"/>
                <w:b/>
                <w:color w:val="000000"/>
                <w:sz w:val="18"/>
                <w:lang w:eastAsia="sk-SK"/>
              </w:rPr>
              <w:t xml:space="preserve"> </w:t>
            </w:r>
          </w:p>
          <w:p w14:paraId="23FAC268" w14:textId="77777777" w:rsidR="009C48E2" w:rsidRPr="00BD7DFC" w:rsidRDefault="009C48E2" w:rsidP="00931169">
            <w:pPr>
              <w:rPr>
                <w:rFonts w:ascii="Times New Roman" w:eastAsia="Times New Roman" w:hAnsi="Times New Roman" w:cs="Times New Roman"/>
                <w:b/>
                <w:color w:val="000000"/>
                <w:sz w:val="18"/>
                <w:lang w:eastAsia="sk-SK"/>
              </w:rPr>
            </w:pPr>
            <w:r>
              <w:rPr>
                <w:rFonts w:ascii="Times New Roman" w:eastAsia="Times New Roman" w:hAnsi="Times New Roman" w:cs="Times New Roman"/>
                <w:b/>
                <w:color w:val="000000"/>
                <w:sz w:val="18"/>
                <w:lang w:eastAsia="sk-SK"/>
              </w:rPr>
              <w:t>(rok)</w:t>
            </w:r>
          </w:p>
        </w:tc>
        <w:tc>
          <w:tcPr>
            <w:tcW w:w="1720" w:type="dxa"/>
            <w:tcBorders>
              <w:top w:val="single" w:sz="4" w:space="0" w:color="auto"/>
              <w:left w:val="nil"/>
              <w:bottom w:val="single" w:sz="4" w:space="0" w:color="auto"/>
              <w:right w:val="single" w:sz="4" w:space="0" w:color="auto"/>
            </w:tcBorders>
            <w:shd w:val="clear" w:color="auto" w:fill="auto"/>
            <w:vAlign w:val="center"/>
            <w:hideMark/>
          </w:tcPr>
          <w:p w14:paraId="6600CABF" w14:textId="77777777" w:rsidR="009C48E2" w:rsidRDefault="009C48E2" w:rsidP="00931169">
            <w:pPr>
              <w:rPr>
                <w:rFonts w:ascii="Times New Roman" w:eastAsia="Times New Roman" w:hAnsi="Times New Roman" w:cs="Times New Roman"/>
                <w:b/>
                <w:color w:val="000000"/>
                <w:sz w:val="18"/>
                <w:lang w:eastAsia="sk-SK"/>
              </w:rPr>
            </w:pPr>
            <w:r w:rsidRPr="00BD7DFC">
              <w:rPr>
                <w:rFonts w:ascii="Times New Roman" w:eastAsia="Times New Roman" w:hAnsi="Times New Roman" w:cs="Times New Roman"/>
                <w:b/>
                <w:color w:val="000000"/>
                <w:sz w:val="18"/>
                <w:lang w:eastAsia="sk-SK"/>
              </w:rPr>
              <w:t>Počet cestujúcich modernizácia</w:t>
            </w:r>
          </w:p>
          <w:p w14:paraId="476EFFB7" w14:textId="77777777" w:rsidR="009C48E2" w:rsidRPr="00BD7DFC" w:rsidRDefault="009C48E2" w:rsidP="00931169">
            <w:pPr>
              <w:rPr>
                <w:rFonts w:ascii="Times New Roman" w:eastAsia="Times New Roman" w:hAnsi="Times New Roman" w:cs="Times New Roman"/>
                <w:b/>
                <w:color w:val="000000"/>
                <w:sz w:val="18"/>
                <w:lang w:eastAsia="sk-SK"/>
              </w:rPr>
            </w:pPr>
            <w:r>
              <w:rPr>
                <w:rFonts w:ascii="Times New Roman" w:eastAsia="Times New Roman" w:hAnsi="Times New Roman" w:cs="Times New Roman"/>
                <w:b/>
                <w:color w:val="000000"/>
                <w:sz w:val="18"/>
                <w:lang w:eastAsia="sk-SK"/>
              </w:rPr>
              <w:t xml:space="preserve"> (rok)</w:t>
            </w:r>
          </w:p>
        </w:tc>
      </w:tr>
      <w:tr w:rsidR="009C48E2" w:rsidRPr="00BD7DFC" w14:paraId="1D8104B8" w14:textId="77777777" w:rsidTr="00C5567E">
        <w:trPr>
          <w:trHeight w:val="290"/>
        </w:trPr>
        <w:tc>
          <w:tcPr>
            <w:tcW w:w="2580" w:type="dxa"/>
            <w:tcBorders>
              <w:top w:val="nil"/>
              <w:left w:val="single" w:sz="4" w:space="0" w:color="auto"/>
              <w:bottom w:val="single" w:sz="4" w:space="0" w:color="auto"/>
              <w:right w:val="single" w:sz="4" w:space="0" w:color="auto"/>
            </w:tcBorders>
            <w:shd w:val="clear" w:color="auto" w:fill="auto"/>
            <w:noWrap/>
            <w:vAlign w:val="center"/>
            <w:hideMark/>
          </w:tcPr>
          <w:p w14:paraId="3DF1F02B"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Minimálny variant</w:t>
            </w:r>
          </w:p>
        </w:tc>
        <w:tc>
          <w:tcPr>
            <w:tcW w:w="1810" w:type="dxa"/>
            <w:tcBorders>
              <w:top w:val="nil"/>
              <w:left w:val="nil"/>
              <w:bottom w:val="single" w:sz="4" w:space="0" w:color="auto"/>
              <w:right w:val="single" w:sz="4" w:space="0" w:color="auto"/>
            </w:tcBorders>
            <w:shd w:val="clear" w:color="auto" w:fill="auto"/>
            <w:noWrap/>
            <w:vAlign w:val="center"/>
            <w:hideMark/>
          </w:tcPr>
          <w:p w14:paraId="0597667C"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752</w:t>
            </w:r>
          </w:p>
        </w:tc>
        <w:tc>
          <w:tcPr>
            <w:tcW w:w="1701" w:type="dxa"/>
            <w:tcBorders>
              <w:top w:val="nil"/>
              <w:left w:val="nil"/>
              <w:bottom w:val="single" w:sz="4" w:space="0" w:color="auto"/>
              <w:right w:val="single" w:sz="4" w:space="0" w:color="auto"/>
            </w:tcBorders>
            <w:shd w:val="clear" w:color="auto" w:fill="auto"/>
            <w:noWrap/>
            <w:vAlign w:val="center"/>
            <w:hideMark/>
          </w:tcPr>
          <w:p w14:paraId="1C4353C1"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732 377</w:t>
            </w:r>
          </w:p>
        </w:tc>
        <w:tc>
          <w:tcPr>
            <w:tcW w:w="1559" w:type="dxa"/>
            <w:tcBorders>
              <w:top w:val="nil"/>
              <w:left w:val="nil"/>
              <w:bottom w:val="single" w:sz="4" w:space="0" w:color="auto"/>
              <w:right w:val="single" w:sz="4" w:space="0" w:color="auto"/>
            </w:tcBorders>
            <w:shd w:val="clear" w:color="auto" w:fill="auto"/>
            <w:noWrap/>
            <w:vAlign w:val="center"/>
            <w:hideMark/>
          </w:tcPr>
          <w:p w14:paraId="5DF0C923"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239 888</w:t>
            </w:r>
          </w:p>
        </w:tc>
        <w:tc>
          <w:tcPr>
            <w:tcW w:w="1720" w:type="dxa"/>
            <w:tcBorders>
              <w:top w:val="nil"/>
              <w:left w:val="nil"/>
              <w:bottom w:val="single" w:sz="4" w:space="0" w:color="auto"/>
              <w:right w:val="single" w:sz="4" w:space="0" w:color="auto"/>
            </w:tcBorders>
            <w:shd w:val="clear" w:color="auto" w:fill="auto"/>
            <w:noWrap/>
            <w:vAlign w:val="center"/>
            <w:hideMark/>
          </w:tcPr>
          <w:p w14:paraId="79611C21"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492 489</w:t>
            </w:r>
          </w:p>
        </w:tc>
      </w:tr>
      <w:tr w:rsidR="009C48E2" w:rsidRPr="00BD7DFC" w14:paraId="08DB79D5" w14:textId="77777777" w:rsidTr="00C5567E">
        <w:trPr>
          <w:trHeight w:val="290"/>
        </w:trPr>
        <w:tc>
          <w:tcPr>
            <w:tcW w:w="2580" w:type="dxa"/>
            <w:tcBorders>
              <w:top w:val="nil"/>
              <w:left w:val="single" w:sz="4" w:space="0" w:color="auto"/>
              <w:bottom w:val="single" w:sz="4" w:space="0" w:color="auto"/>
              <w:right w:val="single" w:sz="4" w:space="0" w:color="auto"/>
            </w:tcBorders>
            <w:shd w:val="clear" w:color="auto" w:fill="auto"/>
            <w:noWrap/>
            <w:vAlign w:val="center"/>
            <w:hideMark/>
          </w:tcPr>
          <w:p w14:paraId="799EBB84"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Základný variant</w:t>
            </w:r>
          </w:p>
        </w:tc>
        <w:tc>
          <w:tcPr>
            <w:tcW w:w="1810" w:type="dxa"/>
            <w:tcBorders>
              <w:top w:val="nil"/>
              <w:left w:val="nil"/>
              <w:bottom w:val="single" w:sz="4" w:space="0" w:color="auto"/>
              <w:right w:val="single" w:sz="4" w:space="0" w:color="auto"/>
            </w:tcBorders>
            <w:shd w:val="clear" w:color="auto" w:fill="auto"/>
            <w:noWrap/>
            <w:vAlign w:val="center"/>
            <w:hideMark/>
          </w:tcPr>
          <w:p w14:paraId="598CAB64"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1 552</w:t>
            </w:r>
          </w:p>
        </w:tc>
        <w:tc>
          <w:tcPr>
            <w:tcW w:w="1701" w:type="dxa"/>
            <w:tcBorders>
              <w:top w:val="nil"/>
              <w:left w:val="nil"/>
              <w:bottom w:val="single" w:sz="4" w:space="0" w:color="auto"/>
              <w:right w:val="single" w:sz="4" w:space="0" w:color="auto"/>
            </w:tcBorders>
            <w:shd w:val="clear" w:color="auto" w:fill="auto"/>
            <w:noWrap/>
            <w:vAlign w:val="center"/>
            <w:hideMark/>
          </w:tcPr>
          <w:p w14:paraId="0497FFA9" w14:textId="77777777" w:rsidR="009C48E2" w:rsidRPr="00BD7DFC" w:rsidRDefault="009C48E2" w:rsidP="00931169">
            <w:pPr>
              <w:rPr>
                <w:rFonts w:ascii="Times New Roman" w:eastAsia="Times New Roman" w:hAnsi="Times New Roman" w:cs="Times New Roman"/>
                <w:sz w:val="18"/>
                <w:lang w:eastAsia="sk-SK"/>
              </w:rPr>
            </w:pPr>
            <w:r w:rsidRPr="00BD7DFC">
              <w:rPr>
                <w:rFonts w:ascii="Times New Roman" w:eastAsia="Times New Roman" w:hAnsi="Times New Roman" w:cs="Times New Roman"/>
                <w:sz w:val="18"/>
                <w:lang w:eastAsia="sk-SK"/>
              </w:rPr>
              <w:t>988 880</w:t>
            </w:r>
          </w:p>
        </w:tc>
        <w:tc>
          <w:tcPr>
            <w:tcW w:w="1559" w:type="dxa"/>
            <w:tcBorders>
              <w:top w:val="nil"/>
              <w:left w:val="nil"/>
              <w:bottom w:val="single" w:sz="4" w:space="0" w:color="auto"/>
              <w:right w:val="single" w:sz="4" w:space="0" w:color="auto"/>
            </w:tcBorders>
            <w:shd w:val="clear" w:color="auto" w:fill="auto"/>
            <w:noWrap/>
            <w:vAlign w:val="center"/>
            <w:hideMark/>
          </w:tcPr>
          <w:p w14:paraId="5637B230"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495 088</w:t>
            </w:r>
          </w:p>
        </w:tc>
        <w:tc>
          <w:tcPr>
            <w:tcW w:w="1720" w:type="dxa"/>
            <w:tcBorders>
              <w:top w:val="nil"/>
              <w:left w:val="nil"/>
              <w:bottom w:val="single" w:sz="4" w:space="0" w:color="auto"/>
              <w:right w:val="single" w:sz="4" w:space="0" w:color="auto"/>
            </w:tcBorders>
            <w:shd w:val="clear" w:color="auto" w:fill="auto"/>
            <w:noWrap/>
            <w:vAlign w:val="center"/>
            <w:hideMark/>
          </w:tcPr>
          <w:p w14:paraId="31BBB354"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493 792</w:t>
            </w:r>
          </w:p>
        </w:tc>
      </w:tr>
      <w:tr w:rsidR="009C48E2" w:rsidRPr="00BD7DFC" w14:paraId="3E2F653B" w14:textId="77777777" w:rsidTr="00C5567E">
        <w:trPr>
          <w:trHeight w:val="290"/>
        </w:trPr>
        <w:tc>
          <w:tcPr>
            <w:tcW w:w="2580" w:type="dxa"/>
            <w:tcBorders>
              <w:top w:val="nil"/>
              <w:left w:val="single" w:sz="4" w:space="0" w:color="auto"/>
              <w:bottom w:val="single" w:sz="4" w:space="0" w:color="auto"/>
              <w:right w:val="single" w:sz="4" w:space="0" w:color="auto"/>
            </w:tcBorders>
            <w:shd w:val="clear" w:color="auto" w:fill="auto"/>
            <w:noWrap/>
            <w:vAlign w:val="center"/>
            <w:hideMark/>
          </w:tcPr>
          <w:p w14:paraId="66DD8B76"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Stredný variant</w:t>
            </w:r>
          </w:p>
        </w:tc>
        <w:tc>
          <w:tcPr>
            <w:tcW w:w="1810" w:type="dxa"/>
            <w:tcBorders>
              <w:top w:val="nil"/>
              <w:left w:val="nil"/>
              <w:bottom w:val="single" w:sz="4" w:space="0" w:color="auto"/>
              <w:right w:val="single" w:sz="4" w:space="0" w:color="auto"/>
            </w:tcBorders>
            <w:shd w:val="clear" w:color="auto" w:fill="auto"/>
            <w:noWrap/>
            <w:vAlign w:val="center"/>
            <w:hideMark/>
          </w:tcPr>
          <w:p w14:paraId="5C3C18B7"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1 992</w:t>
            </w:r>
          </w:p>
        </w:tc>
        <w:tc>
          <w:tcPr>
            <w:tcW w:w="1701" w:type="dxa"/>
            <w:tcBorders>
              <w:top w:val="nil"/>
              <w:left w:val="nil"/>
              <w:bottom w:val="single" w:sz="4" w:space="0" w:color="auto"/>
              <w:right w:val="single" w:sz="4" w:space="0" w:color="auto"/>
            </w:tcBorders>
            <w:shd w:val="clear" w:color="auto" w:fill="auto"/>
            <w:noWrap/>
            <w:vAlign w:val="center"/>
            <w:hideMark/>
          </w:tcPr>
          <w:p w14:paraId="088CFF13"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1 249 333</w:t>
            </w:r>
          </w:p>
        </w:tc>
        <w:tc>
          <w:tcPr>
            <w:tcW w:w="1559" w:type="dxa"/>
            <w:tcBorders>
              <w:top w:val="nil"/>
              <w:left w:val="nil"/>
              <w:bottom w:val="single" w:sz="4" w:space="0" w:color="auto"/>
              <w:right w:val="single" w:sz="4" w:space="0" w:color="auto"/>
            </w:tcBorders>
            <w:shd w:val="clear" w:color="auto" w:fill="auto"/>
            <w:noWrap/>
            <w:vAlign w:val="center"/>
            <w:hideMark/>
          </w:tcPr>
          <w:p w14:paraId="2422202B"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635 448</w:t>
            </w:r>
          </w:p>
        </w:tc>
        <w:tc>
          <w:tcPr>
            <w:tcW w:w="1720" w:type="dxa"/>
            <w:tcBorders>
              <w:top w:val="nil"/>
              <w:left w:val="nil"/>
              <w:bottom w:val="single" w:sz="4" w:space="0" w:color="auto"/>
              <w:right w:val="single" w:sz="4" w:space="0" w:color="auto"/>
            </w:tcBorders>
            <w:shd w:val="clear" w:color="auto" w:fill="auto"/>
            <w:noWrap/>
            <w:vAlign w:val="center"/>
            <w:hideMark/>
          </w:tcPr>
          <w:p w14:paraId="4C38E82A" w14:textId="77777777" w:rsidR="009C48E2" w:rsidRPr="00BD7DFC" w:rsidRDefault="009C48E2" w:rsidP="00931169">
            <w:pPr>
              <w:rPr>
                <w:rFonts w:ascii="Times New Roman" w:eastAsia="Times New Roman" w:hAnsi="Times New Roman" w:cs="Times New Roman"/>
                <w:color w:val="000000"/>
                <w:sz w:val="18"/>
                <w:lang w:eastAsia="sk-SK"/>
              </w:rPr>
            </w:pPr>
            <w:r w:rsidRPr="00BD7DFC">
              <w:rPr>
                <w:rFonts w:ascii="Times New Roman" w:eastAsia="Times New Roman" w:hAnsi="Times New Roman" w:cs="Times New Roman"/>
                <w:color w:val="000000"/>
                <w:sz w:val="18"/>
                <w:lang w:eastAsia="sk-SK"/>
              </w:rPr>
              <w:t>613 885</w:t>
            </w:r>
          </w:p>
        </w:tc>
      </w:tr>
    </w:tbl>
    <w:p w14:paraId="3B4B5755" w14:textId="77777777" w:rsidR="009C48E2" w:rsidRDefault="009C48E2" w:rsidP="00931169">
      <w:pPr>
        <w:ind w:left="993" w:hanging="993"/>
        <w:rPr>
          <w:rFonts w:ascii="Times New Roman" w:hAnsi="Times New Roman" w:cs="Times New Roman"/>
          <w:szCs w:val="24"/>
        </w:rPr>
      </w:pPr>
    </w:p>
    <w:p w14:paraId="54623BFB" w14:textId="59BC4809" w:rsidR="009C48E2" w:rsidRDefault="009C48E2" w:rsidP="00931169">
      <w:pPr>
        <w:ind w:left="992" w:hanging="992"/>
        <w:rPr>
          <w:rFonts w:ascii="Times New Roman" w:hAnsi="Times New Roman" w:cs="Times New Roman"/>
          <w:szCs w:val="24"/>
        </w:rPr>
      </w:pPr>
      <w:r>
        <w:rPr>
          <w:rFonts w:ascii="Times New Roman" w:hAnsi="Times New Roman" w:cs="Times New Roman"/>
          <w:szCs w:val="24"/>
        </w:rPr>
        <w:t xml:space="preserve">Graf : </w:t>
      </w:r>
      <w:r>
        <w:rPr>
          <w:rFonts w:ascii="Times New Roman" w:hAnsi="Times New Roman" w:cs="Times New Roman"/>
          <w:szCs w:val="24"/>
        </w:rPr>
        <w:tab/>
        <w:t>Porovnanie predikcie počtu cestujúcich v roku 2030</w:t>
      </w:r>
    </w:p>
    <w:p w14:paraId="57A3FFCC" w14:textId="77777777" w:rsidR="009C48E2" w:rsidRDefault="009C48E2" w:rsidP="00931169">
      <w:pPr>
        <w:ind w:left="992" w:hanging="992"/>
        <w:rPr>
          <w:rFonts w:ascii="Times New Roman" w:hAnsi="Times New Roman" w:cs="Times New Roman"/>
          <w:szCs w:val="24"/>
        </w:rPr>
      </w:pPr>
      <w:r>
        <w:rPr>
          <w:noProof/>
          <w:lang w:eastAsia="sk-SK"/>
        </w:rPr>
        <w:drawing>
          <wp:inline distT="0" distB="0" distL="0" distR="0" wp14:anchorId="46F0ADA2" wp14:editId="06E6A30D">
            <wp:extent cx="5949198" cy="3121025"/>
            <wp:effectExtent l="0" t="0" r="13970" b="3175"/>
            <wp:docPr id="64" name="Graf 64"/>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4999195D" w14:textId="77777777" w:rsidR="009C48E2" w:rsidRDefault="009C48E2" w:rsidP="00931169">
      <w:pPr>
        <w:rPr>
          <w:noProof/>
          <w:lang w:eastAsia="sk-SK"/>
        </w:rPr>
      </w:pPr>
    </w:p>
    <w:p w14:paraId="116EDFFA" w14:textId="77777777" w:rsidR="009C48E2" w:rsidRDefault="009C48E2" w:rsidP="00931169">
      <w:pPr>
        <w:rPr>
          <w:noProof/>
          <w:lang w:eastAsia="sk-SK"/>
        </w:rPr>
      </w:pPr>
    </w:p>
    <w:p w14:paraId="65932F78" w14:textId="77777777" w:rsidR="009C48E2" w:rsidRDefault="009C48E2" w:rsidP="00931169">
      <w:pPr>
        <w:rPr>
          <w:rFonts w:ascii="Times New Roman" w:hAnsi="Times New Roman" w:cs="Times New Roman"/>
        </w:rPr>
      </w:pPr>
      <w:r>
        <w:rPr>
          <w:rFonts w:ascii="Times New Roman" w:hAnsi="Times New Roman" w:cs="Times New Roman"/>
        </w:rPr>
        <w:br w:type="page"/>
      </w:r>
    </w:p>
    <w:p w14:paraId="5A90EA88" w14:textId="77777777" w:rsidR="009C48E2" w:rsidRDefault="009C48E2" w:rsidP="00931169">
      <w:pPr>
        <w:rPr>
          <w:rFonts w:ascii="Times New Roman" w:hAnsi="Times New Roman" w:cs="Times New Roman"/>
        </w:rPr>
      </w:pPr>
      <w:r>
        <w:rPr>
          <w:rFonts w:ascii="Times New Roman" w:hAnsi="Times New Roman" w:cs="Times New Roman"/>
        </w:rPr>
        <w:lastRenderedPageBreak/>
        <w:tab/>
      </w:r>
    </w:p>
    <w:p w14:paraId="04823861" w14:textId="77777777" w:rsidR="009C48E2" w:rsidRPr="008C07B5" w:rsidRDefault="009C48E2" w:rsidP="00931169">
      <w:pPr>
        <w:rPr>
          <w:rFonts w:ascii="Times New Roman" w:hAnsi="Times New Roman" w:cs="Times New Roman"/>
        </w:rPr>
      </w:pPr>
      <w:r w:rsidRPr="008C07B5">
        <w:rPr>
          <w:rFonts w:ascii="Times New Roman" w:hAnsi="Times New Roman" w:cs="Times New Roman"/>
        </w:rPr>
        <w:t>Podrobné informácie týkajúce sa predikcie vývoja prepravných výkonov zamýšľaných investičných zámerov sú v priložených  súboroch programu EXCEL:</w:t>
      </w:r>
    </w:p>
    <w:p w14:paraId="12B993F8" w14:textId="77777777" w:rsidR="009C48E2" w:rsidRDefault="009C48E2" w:rsidP="00931169">
      <w:pPr>
        <w:pStyle w:val="Odsekzoznamu"/>
        <w:numPr>
          <w:ilvl w:val="0"/>
          <w:numId w:val="19"/>
        </w:numPr>
        <w:spacing w:before="120" w:after="0"/>
        <w:jc w:val="both"/>
      </w:pPr>
      <w:r>
        <w:t>Elektronická verzia, Na odovzdanie, dopravný model, osobná doprava, minimálny variant.xlsx</w:t>
      </w:r>
      <w:r w:rsidRPr="004F6513">
        <w:rPr>
          <w:szCs w:val="24"/>
        </w:rPr>
        <w:t>;</w:t>
      </w:r>
    </w:p>
    <w:p w14:paraId="746E4371" w14:textId="77777777" w:rsidR="009C48E2" w:rsidRDefault="009C48E2" w:rsidP="00931169">
      <w:pPr>
        <w:pStyle w:val="Odsekzoznamu"/>
        <w:numPr>
          <w:ilvl w:val="0"/>
          <w:numId w:val="19"/>
        </w:numPr>
        <w:spacing w:before="120" w:after="0"/>
        <w:jc w:val="both"/>
      </w:pPr>
      <w:r>
        <w:t>Elektronická verzia, Na odovzdanie, dopravný model, osobná doprava, základný variant.xlsx</w:t>
      </w:r>
      <w:r w:rsidRPr="004F6513">
        <w:rPr>
          <w:szCs w:val="24"/>
        </w:rPr>
        <w:t>;</w:t>
      </w:r>
    </w:p>
    <w:p w14:paraId="451E48A7" w14:textId="77777777" w:rsidR="009C48E2" w:rsidRDefault="009C48E2" w:rsidP="00931169">
      <w:pPr>
        <w:pStyle w:val="Odsekzoznamu"/>
        <w:numPr>
          <w:ilvl w:val="0"/>
          <w:numId w:val="19"/>
        </w:numPr>
        <w:spacing w:before="120" w:after="0"/>
        <w:jc w:val="both"/>
      </w:pPr>
      <w:r>
        <w:t>Elektronická verzia, Na odovzdanie, dopravný model, osobná doprava, stredný variant.xlsx.</w:t>
      </w:r>
    </w:p>
    <w:p w14:paraId="6CC6CF47" w14:textId="77777777" w:rsidR="009C48E2" w:rsidRDefault="009C48E2" w:rsidP="00931169"/>
    <w:p w14:paraId="205F107B" w14:textId="7DDFA7FD" w:rsidR="00E03380" w:rsidRPr="00FE7FAB" w:rsidRDefault="001E52B3" w:rsidP="00FE7FAB">
      <w:pPr>
        <w:pStyle w:val="Nadpis2"/>
        <w:rPr>
          <w:rFonts w:cstheme="minorHAnsi"/>
          <w:color w:val="00B050"/>
          <w:sz w:val="28"/>
          <w:szCs w:val="28"/>
        </w:rPr>
      </w:pPr>
      <w:bookmarkStart w:id="208" w:name="_Toc88652963"/>
      <w:r w:rsidRPr="00FE7FAB">
        <w:rPr>
          <w:rFonts w:cstheme="minorHAnsi"/>
          <w:color w:val="00B050"/>
          <w:sz w:val="28"/>
          <w:szCs w:val="28"/>
        </w:rPr>
        <w:t>6</w:t>
      </w:r>
      <w:r w:rsidR="00FE79AB" w:rsidRPr="00FE7FAB">
        <w:rPr>
          <w:rFonts w:cstheme="minorHAnsi"/>
          <w:color w:val="00B050"/>
          <w:sz w:val="28"/>
          <w:szCs w:val="28"/>
        </w:rPr>
        <w:t xml:space="preserve">.2 </w:t>
      </w:r>
      <w:r w:rsidR="00E03380" w:rsidRPr="00FE7FAB">
        <w:rPr>
          <w:rFonts w:cstheme="minorHAnsi"/>
          <w:color w:val="00B050"/>
          <w:sz w:val="28"/>
          <w:szCs w:val="28"/>
        </w:rPr>
        <w:t>Dopravné modelovanie nákladnej dopravy pre úsek Žilina – Čadca – štátna hranica SR/ČR</w:t>
      </w:r>
      <w:bookmarkEnd w:id="208"/>
    </w:p>
    <w:p w14:paraId="7A07F2C2" w14:textId="77777777" w:rsidR="00E03380" w:rsidRPr="00930B46" w:rsidRDefault="00E03380" w:rsidP="00931169">
      <w:pPr>
        <w:rPr>
          <w:rFonts w:cstheme="minorHAnsi"/>
          <w:b/>
          <w:i/>
          <w:szCs w:val="24"/>
        </w:rPr>
      </w:pPr>
      <w:r w:rsidRPr="00930B46">
        <w:rPr>
          <w:rFonts w:cstheme="minorHAnsi"/>
          <w:b/>
          <w:i/>
          <w:szCs w:val="24"/>
        </w:rPr>
        <w:t xml:space="preserve">Úvod </w:t>
      </w:r>
    </w:p>
    <w:p w14:paraId="1DF8EB09" w14:textId="77777777" w:rsidR="00E03380" w:rsidRPr="00930B46" w:rsidRDefault="00E03380" w:rsidP="00931169">
      <w:pPr>
        <w:rPr>
          <w:rFonts w:cstheme="minorHAnsi"/>
          <w:szCs w:val="24"/>
        </w:rPr>
      </w:pPr>
      <w:r w:rsidRPr="00930B46">
        <w:rPr>
          <w:rFonts w:cstheme="minorHAnsi"/>
          <w:szCs w:val="24"/>
        </w:rPr>
        <w:t xml:space="preserve">V mnohých prípadoch železničných projektov rekonštrukcie alebo modernizácie železničnej infraštruktúry je pomerne veľká časť celospoločenských prínosov nákladnej dopravy odvodená z úspor cestovného času, z úspor prevádzkových nákladov a z prechodu dopytu z cesty na železnicu z dôvodu zmien, ktoré železničné projekty prinášajú. </w:t>
      </w:r>
    </w:p>
    <w:p w14:paraId="715D7F60" w14:textId="77777777" w:rsidR="00E03380" w:rsidRPr="00930B46" w:rsidRDefault="00E03380" w:rsidP="00931169">
      <w:pPr>
        <w:rPr>
          <w:rFonts w:cstheme="minorHAnsi"/>
          <w:szCs w:val="24"/>
        </w:rPr>
      </w:pPr>
      <w:r w:rsidRPr="00930B46">
        <w:rPr>
          <w:rFonts w:cstheme="minorHAnsi"/>
          <w:szCs w:val="24"/>
        </w:rPr>
        <w:t xml:space="preserve">Zatiaľ čo metódy predikovania a oceňovania účinkov modernizácie a rekonštrukcie sú pomerne konzistentné a štandardné v osobnej doprave, metódy a parametre posúdenia vylepšení železničných tratí (koridorov), ktoré zabezpečujú zlepšenie podmienok pre nákladnú dopravu, sú predmetom výskumu a diskusií, čo sa týka rozsahu použitých prístupov a parametrov. </w:t>
      </w:r>
    </w:p>
    <w:p w14:paraId="2AEC6E2D" w14:textId="77777777" w:rsidR="00E03380" w:rsidRPr="00930B46" w:rsidRDefault="00E03380" w:rsidP="00931169">
      <w:pPr>
        <w:rPr>
          <w:rFonts w:cstheme="minorHAnsi"/>
          <w:szCs w:val="24"/>
        </w:rPr>
      </w:pPr>
      <w:r w:rsidRPr="00930B46">
        <w:rPr>
          <w:rFonts w:cstheme="minorHAnsi"/>
          <w:szCs w:val="24"/>
        </w:rPr>
        <w:t xml:space="preserve">Na základe týchto skutočností spoločnosť JASPERS s podporou spoločnosti IMC Worldwide vypracovala v tejto oblasti usmernenie JASPERS Appraisal Guidance (Transport) - Guidance on Appraising the Economic Impacts of Rail Freight Measures, (jún 2017) s cieľom ponúknuť logický a konzistentný rámec pre posúdenie vplyvov projektov železničnej infraštruktúry na železničnú nákladnú dopravu. </w:t>
      </w:r>
    </w:p>
    <w:p w14:paraId="4B4B8831" w14:textId="77777777" w:rsidR="00E03380" w:rsidRPr="00930B46" w:rsidRDefault="00E03380" w:rsidP="00931169">
      <w:pPr>
        <w:rPr>
          <w:rFonts w:cstheme="minorHAnsi"/>
          <w:szCs w:val="24"/>
        </w:rPr>
      </w:pPr>
      <w:r w:rsidRPr="00930B46">
        <w:rPr>
          <w:rFonts w:cstheme="minorHAnsi"/>
          <w:szCs w:val="24"/>
        </w:rPr>
        <w:t xml:space="preserve">Usmernenie JASPERS Appraisal Guidance (Transport) - Guidance on Appraising the Economic Impacts of Rail Freight Measures je predovšetkým určené na podporu analýzy CBA, ktorá sa môže použiť na hodnotenie a posúdenie možností v štúdii uskutočniteľnosti alebo v samostatnej analýze CBA, ktorá je potrebná na schválenie projektu na vnútroštátnej úrovni alebo na úrovni EÚ. </w:t>
      </w:r>
    </w:p>
    <w:p w14:paraId="2BB4A375" w14:textId="77777777" w:rsidR="00E03380" w:rsidRPr="00930B46" w:rsidRDefault="00E03380" w:rsidP="00931169">
      <w:pPr>
        <w:rPr>
          <w:rFonts w:cstheme="minorHAnsi"/>
          <w:szCs w:val="24"/>
        </w:rPr>
      </w:pPr>
      <w:r w:rsidRPr="00930B46">
        <w:rPr>
          <w:rFonts w:cstheme="minorHAnsi"/>
          <w:szCs w:val="24"/>
        </w:rPr>
        <w:t>Usmernenie JASPERS Appraisal Guidance (Transport) - Guidance on Appraising the Economic Impacts of Rail Freight Measures nenahrádza potrebu procesu strategického plánovania dopravy, ktorý by mal riadiť výber hlavných koridorov a vhodné riešenia pre nákladnú dopravu na vnútroštátnej aj európskej úrovni.</w:t>
      </w:r>
    </w:p>
    <w:p w14:paraId="6C7A837E" w14:textId="77777777" w:rsidR="00537E17" w:rsidRDefault="00537E17" w:rsidP="00931169">
      <w:pPr>
        <w:rPr>
          <w:rFonts w:cstheme="minorHAnsi"/>
          <w:b/>
          <w:i/>
          <w:szCs w:val="24"/>
        </w:rPr>
      </w:pPr>
    </w:p>
    <w:p w14:paraId="4BEF894F" w14:textId="56ED664D" w:rsidR="00E03380" w:rsidRPr="00930B46" w:rsidRDefault="00E03380" w:rsidP="00931169">
      <w:pPr>
        <w:rPr>
          <w:rFonts w:cstheme="minorHAnsi"/>
          <w:b/>
          <w:i/>
          <w:szCs w:val="24"/>
        </w:rPr>
      </w:pPr>
      <w:r w:rsidRPr="00930B46">
        <w:rPr>
          <w:rFonts w:cstheme="minorHAnsi"/>
          <w:b/>
          <w:i/>
          <w:szCs w:val="24"/>
        </w:rPr>
        <w:t>Dopravné modelovanie nákladnej dopravy pre úsek Žilina – Čadca št. hr.</w:t>
      </w:r>
    </w:p>
    <w:p w14:paraId="3F737251" w14:textId="77777777" w:rsidR="00E03380" w:rsidRPr="00930B46" w:rsidRDefault="00E03380" w:rsidP="00931169">
      <w:pPr>
        <w:rPr>
          <w:rFonts w:cstheme="minorHAnsi"/>
          <w:szCs w:val="24"/>
        </w:rPr>
      </w:pPr>
      <w:r w:rsidRPr="00930B46">
        <w:rPr>
          <w:rFonts w:cstheme="minorHAnsi"/>
          <w:szCs w:val="24"/>
        </w:rPr>
        <w:t>Dopravné modelovanie nákladnej dopravy pre úsek Žilina – Čadca št. hr. je vypracované na základe poskytnutého usmernenia  JASPERS Appraisal Guidance (Transport) - Guidance on Appraising the Economic Impacts of Rail Freight Measures.</w:t>
      </w:r>
    </w:p>
    <w:p w14:paraId="4AF5665E" w14:textId="77777777" w:rsidR="00E03380" w:rsidRPr="00930B46" w:rsidRDefault="00E03380" w:rsidP="00931169">
      <w:pPr>
        <w:rPr>
          <w:rFonts w:cstheme="minorHAnsi"/>
          <w:szCs w:val="24"/>
        </w:rPr>
      </w:pPr>
      <w:r w:rsidRPr="00930B46">
        <w:rPr>
          <w:rFonts w:cstheme="minorHAnsi"/>
          <w:szCs w:val="24"/>
        </w:rPr>
        <w:t xml:space="preserve">Vzhľadom na obmedzený rozsah analyzovaného úseku v porovnaní s priemernými vzdialenosťami železničnej nákladnej dopravy sa javí, že realizácia projektu by nemala mať žiadny vplyv na dopyt po nákladnej doprave. Treba si však uvedomiť synergický efekt </w:t>
      </w:r>
      <w:r w:rsidRPr="00930B46">
        <w:rPr>
          <w:rFonts w:cstheme="minorHAnsi"/>
          <w:szCs w:val="24"/>
        </w:rPr>
        <w:lastRenderedPageBreak/>
        <w:t xml:space="preserve">modernizácie a blízkosť dôležitých železničných uzlov nákladnej dopravy (uzol Ostrava v ČR a uzol Žilina v SR) aj blízkosť významných výrobných závodov (napr. automobilka KIA pri Žiline/SR a automobilka Hyundai Motor Manufacturing Czech s.r.o pri Frýdek-Místek/ČR). Tým sa zvýši dopyt a význam skúmanej železničnej trate, ktorá je najvýznamnejšou železničnou traťou spájajúcou Slovenskú a Českú republiku a ktorá má je vedená v osi core TEN – T koridoru, čo ju zaraďuje medzi trate s európskym významom. </w:t>
      </w:r>
    </w:p>
    <w:p w14:paraId="4364EEED" w14:textId="77777777" w:rsidR="00E03380" w:rsidRPr="00930B46" w:rsidRDefault="00E03380" w:rsidP="00931169">
      <w:pPr>
        <w:rPr>
          <w:rFonts w:cstheme="minorHAnsi"/>
          <w:szCs w:val="24"/>
        </w:rPr>
      </w:pPr>
      <w:r w:rsidRPr="00930B46">
        <w:rPr>
          <w:rFonts w:cstheme="minorHAnsi"/>
          <w:szCs w:val="24"/>
        </w:rPr>
        <w:t>Dopravný model pre nákladnú dopravu zohľadňuje aktuálne poznatky a špecifikácie regiónu, zohľadňuje zrealizované investície v danom regióne (predovšetkým modernizácia železničnej trate Žilina /mimo/ - Krásno nad Kysucou), zohľadňuje priebeh výstavby infraštruktúry v danej oblasti, nadväzuje na súčasne dosahované výkonové ukazovatele a pokiaľ je to možné, opiera sa o spracovaný národný model v oblasti dopravy „Dopravný model SR“</w:t>
      </w:r>
      <w:r w:rsidRPr="00930B46">
        <w:rPr>
          <w:rStyle w:val="Odkaznapoznmkupodiarou"/>
          <w:rFonts w:asciiTheme="minorHAnsi" w:hAnsiTheme="minorHAnsi" w:cstheme="minorHAnsi"/>
          <w:sz w:val="24"/>
          <w:szCs w:val="24"/>
        </w:rPr>
        <w:t xml:space="preserve"> </w:t>
      </w:r>
      <w:r w:rsidRPr="00930B46">
        <w:rPr>
          <w:rStyle w:val="Odkaznapoznmkupodiarou"/>
          <w:rFonts w:asciiTheme="minorHAnsi" w:hAnsiTheme="minorHAnsi" w:cstheme="minorHAnsi"/>
          <w:sz w:val="24"/>
          <w:szCs w:val="24"/>
        </w:rPr>
        <w:footnoteReference w:id="1"/>
      </w:r>
      <w:r w:rsidRPr="00930B46">
        <w:rPr>
          <w:rFonts w:cstheme="minorHAnsi"/>
          <w:szCs w:val="24"/>
        </w:rPr>
        <w:t xml:space="preserve">. Prepravné dáta, ktorým dopravný model SR zodpovedá, je predovšetkým celkové množstvo prepraveného nákladu v prognózovanom období a priemerné prepravné vzdialenosti vybraných typov nákladných vlakov v rámci prepravy špecifických komodít. Ostatné vstupné údaje potrebné pre spracovanie analýzy nákladov a výnosov sú od prepravných dát odvodené. </w:t>
      </w:r>
    </w:p>
    <w:p w14:paraId="122EDE94" w14:textId="77777777" w:rsidR="00E03380" w:rsidRPr="00930B46" w:rsidRDefault="00E03380" w:rsidP="00931169">
      <w:pPr>
        <w:rPr>
          <w:rFonts w:cstheme="minorHAnsi"/>
          <w:szCs w:val="24"/>
        </w:rPr>
      </w:pPr>
      <w:r w:rsidRPr="00930B46">
        <w:rPr>
          <w:rFonts w:cstheme="minorHAnsi"/>
          <w:szCs w:val="24"/>
        </w:rPr>
        <w:t>Pre zvýšenie efektivity a  modulárného posunu  z ciest v prospech železničnej dopravy prinášajú v rámci posudzovanej železničnej trate tieto opatrenia:</w:t>
      </w:r>
    </w:p>
    <w:p w14:paraId="2B1D9D7F" w14:textId="77777777" w:rsidR="00E03380" w:rsidRPr="00930B46" w:rsidRDefault="00E03380" w:rsidP="00931169">
      <w:pPr>
        <w:pStyle w:val="Odsekzoznamu"/>
        <w:numPr>
          <w:ilvl w:val="0"/>
          <w:numId w:val="20"/>
        </w:numPr>
        <w:jc w:val="both"/>
        <w:rPr>
          <w:rFonts w:cstheme="minorHAnsi"/>
          <w:sz w:val="24"/>
          <w:szCs w:val="24"/>
        </w:rPr>
      </w:pPr>
      <w:r w:rsidRPr="00930B46">
        <w:rPr>
          <w:rFonts w:cstheme="minorHAnsi"/>
          <w:sz w:val="24"/>
          <w:szCs w:val="24"/>
        </w:rPr>
        <w:t>Zlepšenie efektívnosti manažéra infraštruktúry (napr. prostredníctvom diaľkového riadenia dopravy);</w:t>
      </w:r>
    </w:p>
    <w:p w14:paraId="2A2FE0CA" w14:textId="77777777" w:rsidR="00E03380" w:rsidRPr="00930B46" w:rsidRDefault="00E03380" w:rsidP="00931169">
      <w:pPr>
        <w:pStyle w:val="Odsekzoznamu"/>
        <w:numPr>
          <w:ilvl w:val="0"/>
          <w:numId w:val="20"/>
        </w:numPr>
        <w:jc w:val="both"/>
        <w:rPr>
          <w:rFonts w:cstheme="minorHAnsi"/>
          <w:sz w:val="24"/>
          <w:szCs w:val="24"/>
        </w:rPr>
      </w:pPr>
      <w:r w:rsidRPr="00930B46">
        <w:rPr>
          <w:rFonts w:cstheme="minorHAnsi"/>
          <w:sz w:val="24"/>
          <w:szCs w:val="24"/>
        </w:rPr>
        <w:t>Úspora času dopravy z dôvodu zvýšenia traťových rýchlostí;</w:t>
      </w:r>
    </w:p>
    <w:p w14:paraId="09CF5C16" w14:textId="77777777" w:rsidR="00E03380" w:rsidRPr="00930B46" w:rsidRDefault="00E03380" w:rsidP="00931169">
      <w:pPr>
        <w:pStyle w:val="Odsekzoznamu"/>
        <w:numPr>
          <w:ilvl w:val="0"/>
          <w:numId w:val="20"/>
        </w:numPr>
        <w:jc w:val="both"/>
        <w:rPr>
          <w:rFonts w:cstheme="minorHAnsi"/>
          <w:sz w:val="24"/>
          <w:szCs w:val="24"/>
        </w:rPr>
      </w:pPr>
      <w:r w:rsidRPr="00930B46">
        <w:rPr>
          <w:rFonts w:cstheme="minorHAnsi"/>
          <w:sz w:val="24"/>
          <w:szCs w:val="24"/>
        </w:rPr>
        <w:t>Zvýšenie plynulosti dopravy a zníženie meškania vlakov;</w:t>
      </w:r>
    </w:p>
    <w:p w14:paraId="730C5C08" w14:textId="77777777" w:rsidR="00E03380" w:rsidRPr="00930B46" w:rsidRDefault="00E03380" w:rsidP="00931169">
      <w:pPr>
        <w:pStyle w:val="Odsekzoznamu"/>
        <w:numPr>
          <w:ilvl w:val="0"/>
          <w:numId w:val="20"/>
        </w:numPr>
        <w:jc w:val="both"/>
        <w:rPr>
          <w:rFonts w:cstheme="minorHAnsi"/>
          <w:sz w:val="24"/>
          <w:szCs w:val="24"/>
        </w:rPr>
      </w:pPr>
      <w:r w:rsidRPr="00930B46">
        <w:rPr>
          <w:rFonts w:cstheme="minorHAnsi"/>
          <w:sz w:val="24"/>
          <w:szCs w:val="24"/>
        </w:rPr>
        <w:t>Zníženie prevádzkových porúch, ako aj plánovanej a neplánovanej údržby / opravy, čím sa zníži oneskorenie a potreba presmerovania nákladnej dopravy;</w:t>
      </w:r>
    </w:p>
    <w:p w14:paraId="3C3386E8" w14:textId="77777777" w:rsidR="00E03380" w:rsidRPr="00930B46" w:rsidRDefault="00E03380" w:rsidP="00931169">
      <w:pPr>
        <w:pStyle w:val="Odsekzoznamu"/>
        <w:numPr>
          <w:ilvl w:val="0"/>
          <w:numId w:val="20"/>
        </w:numPr>
        <w:jc w:val="both"/>
        <w:rPr>
          <w:rFonts w:cstheme="minorHAnsi"/>
          <w:sz w:val="24"/>
          <w:szCs w:val="24"/>
        </w:rPr>
      </w:pPr>
      <w:r w:rsidRPr="00930B46">
        <w:rPr>
          <w:rFonts w:cstheme="minorHAnsi"/>
          <w:sz w:val="24"/>
          <w:szCs w:val="24"/>
        </w:rPr>
        <w:t>Zvýšenie rýchlosti trate prostredníctvom modernizácie a vybraných vyrovnaní.</w:t>
      </w:r>
    </w:p>
    <w:p w14:paraId="1FCB509E" w14:textId="77777777" w:rsidR="00E03380" w:rsidRPr="00930B46" w:rsidRDefault="00E03380" w:rsidP="00931169">
      <w:pPr>
        <w:rPr>
          <w:rFonts w:cstheme="minorHAnsi"/>
          <w:szCs w:val="24"/>
        </w:rPr>
      </w:pPr>
      <w:r w:rsidRPr="00930B46">
        <w:rPr>
          <w:rFonts w:cstheme="minorHAnsi"/>
          <w:szCs w:val="24"/>
        </w:rPr>
        <w:t xml:space="preserve">Reálny objem prepraveného tovaru v stave „bez projektu“ bol rozdelený z hľadiska druhu prepravovanej komodity na základe štatistických podkladov od spoločnosti Železničná spoločnosť Cargo Slovakia, ktorá realizuje približne 80 % prepravného výkonu na posudzovanej trati. </w:t>
      </w:r>
    </w:p>
    <w:p w14:paraId="55E08B2C" w14:textId="77777777" w:rsidR="00E03380" w:rsidRPr="00930B46" w:rsidRDefault="00E03380" w:rsidP="00931169">
      <w:pPr>
        <w:rPr>
          <w:rFonts w:cstheme="minorHAnsi"/>
          <w:szCs w:val="24"/>
        </w:rPr>
      </w:pPr>
      <w:r w:rsidRPr="00930B46">
        <w:rPr>
          <w:rFonts w:cstheme="minorHAnsi"/>
          <w:szCs w:val="24"/>
        </w:rPr>
        <w:t>Objemy prepravy podľa komodít poskytnuté spoločnosťou Cargo Slovakia a.s. sú zobrazené v nasledujúcej tabuľke.</w:t>
      </w:r>
    </w:p>
    <w:p w14:paraId="65219470" w14:textId="77777777" w:rsidR="00DA0B84" w:rsidRDefault="00DA0B84" w:rsidP="00931169">
      <w:pPr>
        <w:ind w:left="1134" w:hanging="1134"/>
        <w:rPr>
          <w:rFonts w:cstheme="minorHAnsi"/>
          <w:szCs w:val="24"/>
        </w:rPr>
      </w:pPr>
    </w:p>
    <w:p w14:paraId="224805A8" w14:textId="416BF1A1" w:rsidR="00E03380" w:rsidRPr="00930B46" w:rsidRDefault="00E03380" w:rsidP="00931169">
      <w:pPr>
        <w:ind w:left="1134" w:hanging="1134"/>
        <w:rPr>
          <w:rFonts w:cstheme="minorHAnsi"/>
          <w:szCs w:val="24"/>
        </w:rPr>
      </w:pPr>
      <w:r w:rsidRPr="00930B46">
        <w:rPr>
          <w:rFonts w:cstheme="minorHAnsi"/>
          <w:szCs w:val="24"/>
        </w:rPr>
        <w:t>Tabuľka</w:t>
      </w:r>
      <w:r w:rsidR="001A24C3">
        <w:rPr>
          <w:rFonts w:cstheme="minorHAnsi"/>
          <w:szCs w:val="24"/>
        </w:rPr>
        <w:t xml:space="preserve"> </w:t>
      </w:r>
      <w:r w:rsidR="00DA0B84">
        <w:rPr>
          <w:rFonts w:cstheme="minorHAnsi"/>
          <w:szCs w:val="24"/>
        </w:rPr>
        <w:t>26</w:t>
      </w:r>
      <w:r w:rsidRPr="00930B46">
        <w:rPr>
          <w:rFonts w:cstheme="minorHAnsi"/>
          <w:szCs w:val="24"/>
        </w:rPr>
        <w:t xml:space="preserve">: </w:t>
      </w:r>
      <w:r w:rsidRPr="00930B46">
        <w:rPr>
          <w:rFonts w:cstheme="minorHAnsi"/>
          <w:szCs w:val="24"/>
        </w:rPr>
        <w:tab/>
        <w:t xml:space="preserve">Objemy prepravy a prepravný výkon podľa komodít poskytnuté spoločnosťou Cargo Slovakia </w:t>
      </w:r>
    </w:p>
    <w:tbl>
      <w:tblPr>
        <w:tblW w:w="9083" w:type="dxa"/>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283"/>
        <w:gridCol w:w="1076"/>
        <w:gridCol w:w="889"/>
        <w:gridCol w:w="1075"/>
        <w:gridCol w:w="1254"/>
        <w:gridCol w:w="1253"/>
        <w:gridCol w:w="1253"/>
      </w:tblGrid>
      <w:tr w:rsidR="00E03380" w:rsidRPr="00930B46" w14:paraId="0D7EB08B" w14:textId="77777777" w:rsidTr="00E03380">
        <w:trPr>
          <w:trHeight w:val="300"/>
        </w:trPr>
        <w:tc>
          <w:tcPr>
            <w:tcW w:w="2283" w:type="dxa"/>
            <w:vMerge w:val="restart"/>
            <w:shd w:val="clear" w:color="auto" w:fill="auto"/>
            <w:noWrap/>
            <w:vAlign w:val="center"/>
            <w:hideMark/>
          </w:tcPr>
          <w:p w14:paraId="400DBC5F"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Komodita</w:t>
            </w:r>
          </w:p>
        </w:tc>
        <w:tc>
          <w:tcPr>
            <w:tcW w:w="3040" w:type="dxa"/>
            <w:gridSpan w:val="3"/>
            <w:shd w:val="clear" w:color="auto" w:fill="auto"/>
            <w:noWrap/>
            <w:vAlign w:val="center"/>
            <w:hideMark/>
          </w:tcPr>
          <w:p w14:paraId="6A006725"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Objem prepravy (tis. ton)</w:t>
            </w:r>
          </w:p>
        </w:tc>
        <w:tc>
          <w:tcPr>
            <w:tcW w:w="3760" w:type="dxa"/>
            <w:gridSpan w:val="3"/>
            <w:shd w:val="clear" w:color="auto" w:fill="auto"/>
            <w:noWrap/>
            <w:vAlign w:val="center"/>
            <w:hideMark/>
          </w:tcPr>
          <w:p w14:paraId="2C81E018"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Prepravný výkon (tis. čtkm)</w:t>
            </w:r>
          </w:p>
        </w:tc>
      </w:tr>
      <w:tr w:rsidR="00E03380" w:rsidRPr="00930B46" w14:paraId="3C6D5025" w14:textId="77777777" w:rsidTr="00E03380">
        <w:trPr>
          <w:trHeight w:val="315"/>
        </w:trPr>
        <w:tc>
          <w:tcPr>
            <w:tcW w:w="2283" w:type="dxa"/>
            <w:vMerge/>
            <w:vAlign w:val="center"/>
            <w:hideMark/>
          </w:tcPr>
          <w:p w14:paraId="50478456" w14:textId="77777777" w:rsidR="00E03380" w:rsidRPr="00930B46" w:rsidRDefault="00E03380" w:rsidP="00931169">
            <w:pPr>
              <w:rPr>
                <w:rFonts w:eastAsia="Times New Roman" w:cstheme="minorHAnsi"/>
                <w:b/>
                <w:bCs/>
                <w:sz w:val="22"/>
                <w:lang w:eastAsia="sk-SK"/>
              </w:rPr>
            </w:pPr>
          </w:p>
        </w:tc>
        <w:tc>
          <w:tcPr>
            <w:tcW w:w="1076" w:type="dxa"/>
            <w:shd w:val="clear" w:color="auto" w:fill="auto"/>
            <w:noWrap/>
            <w:vAlign w:val="center"/>
            <w:hideMark/>
          </w:tcPr>
          <w:p w14:paraId="62ACA7CA"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2014</w:t>
            </w:r>
          </w:p>
        </w:tc>
        <w:tc>
          <w:tcPr>
            <w:tcW w:w="889" w:type="dxa"/>
            <w:shd w:val="clear" w:color="auto" w:fill="auto"/>
            <w:noWrap/>
            <w:vAlign w:val="center"/>
            <w:hideMark/>
          </w:tcPr>
          <w:p w14:paraId="14ADD457"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2015</w:t>
            </w:r>
          </w:p>
        </w:tc>
        <w:tc>
          <w:tcPr>
            <w:tcW w:w="1075" w:type="dxa"/>
            <w:shd w:val="clear" w:color="auto" w:fill="auto"/>
            <w:noWrap/>
            <w:vAlign w:val="center"/>
            <w:hideMark/>
          </w:tcPr>
          <w:p w14:paraId="6BB7CCEB"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2016</w:t>
            </w:r>
          </w:p>
        </w:tc>
        <w:tc>
          <w:tcPr>
            <w:tcW w:w="1254" w:type="dxa"/>
            <w:shd w:val="clear" w:color="auto" w:fill="auto"/>
            <w:noWrap/>
            <w:vAlign w:val="center"/>
            <w:hideMark/>
          </w:tcPr>
          <w:p w14:paraId="053D3FDF"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2014</w:t>
            </w:r>
          </w:p>
        </w:tc>
        <w:tc>
          <w:tcPr>
            <w:tcW w:w="1253" w:type="dxa"/>
            <w:shd w:val="clear" w:color="auto" w:fill="auto"/>
            <w:noWrap/>
            <w:vAlign w:val="center"/>
            <w:hideMark/>
          </w:tcPr>
          <w:p w14:paraId="19C80217"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2015</w:t>
            </w:r>
          </w:p>
        </w:tc>
        <w:tc>
          <w:tcPr>
            <w:tcW w:w="1253" w:type="dxa"/>
            <w:shd w:val="clear" w:color="auto" w:fill="auto"/>
            <w:noWrap/>
            <w:vAlign w:val="center"/>
            <w:hideMark/>
          </w:tcPr>
          <w:p w14:paraId="2904E90D"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2016</w:t>
            </w:r>
          </w:p>
        </w:tc>
      </w:tr>
      <w:tr w:rsidR="00E03380" w:rsidRPr="00930B46" w14:paraId="39247D16" w14:textId="77777777" w:rsidTr="00E03380">
        <w:trPr>
          <w:trHeight w:val="315"/>
        </w:trPr>
        <w:tc>
          <w:tcPr>
            <w:tcW w:w="2283" w:type="dxa"/>
            <w:shd w:val="clear" w:color="auto" w:fill="auto"/>
            <w:noWrap/>
            <w:vAlign w:val="center"/>
            <w:hideMark/>
          </w:tcPr>
          <w:p w14:paraId="48A86CAA"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Nešpecifikované</w:t>
            </w:r>
          </w:p>
        </w:tc>
        <w:tc>
          <w:tcPr>
            <w:tcW w:w="1076" w:type="dxa"/>
            <w:shd w:val="clear" w:color="auto" w:fill="auto"/>
            <w:noWrap/>
            <w:vAlign w:val="center"/>
            <w:hideMark/>
          </w:tcPr>
          <w:p w14:paraId="005D8BB4"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21</w:t>
            </w:r>
          </w:p>
        </w:tc>
        <w:tc>
          <w:tcPr>
            <w:tcW w:w="889" w:type="dxa"/>
            <w:shd w:val="clear" w:color="auto" w:fill="auto"/>
            <w:noWrap/>
            <w:vAlign w:val="center"/>
            <w:hideMark/>
          </w:tcPr>
          <w:p w14:paraId="1FC538FB"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9</w:t>
            </w:r>
          </w:p>
        </w:tc>
        <w:tc>
          <w:tcPr>
            <w:tcW w:w="1075" w:type="dxa"/>
            <w:shd w:val="clear" w:color="auto" w:fill="auto"/>
            <w:noWrap/>
            <w:vAlign w:val="center"/>
            <w:hideMark/>
          </w:tcPr>
          <w:p w14:paraId="6C27BEB0"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12</w:t>
            </w:r>
          </w:p>
        </w:tc>
        <w:tc>
          <w:tcPr>
            <w:tcW w:w="1254" w:type="dxa"/>
            <w:shd w:val="clear" w:color="auto" w:fill="auto"/>
            <w:noWrap/>
            <w:vAlign w:val="center"/>
            <w:hideMark/>
          </w:tcPr>
          <w:p w14:paraId="4BCB556E"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638</w:t>
            </w:r>
          </w:p>
        </w:tc>
        <w:tc>
          <w:tcPr>
            <w:tcW w:w="1253" w:type="dxa"/>
            <w:shd w:val="clear" w:color="auto" w:fill="auto"/>
            <w:noWrap/>
            <w:vAlign w:val="center"/>
            <w:hideMark/>
          </w:tcPr>
          <w:p w14:paraId="52994197"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275</w:t>
            </w:r>
          </w:p>
        </w:tc>
        <w:tc>
          <w:tcPr>
            <w:tcW w:w="1253" w:type="dxa"/>
            <w:shd w:val="clear" w:color="auto" w:fill="auto"/>
            <w:noWrap/>
            <w:vAlign w:val="center"/>
            <w:hideMark/>
          </w:tcPr>
          <w:p w14:paraId="5C761585"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366</w:t>
            </w:r>
          </w:p>
        </w:tc>
      </w:tr>
      <w:tr w:rsidR="00E03380" w:rsidRPr="00930B46" w14:paraId="4E196CCD" w14:textId="77777777" w:rsidTr="00E03380">
        <w:trPr>
          <w:trHeight w:val="300"/>
        </w:trPr>
        <w:tc>
          <w:tcPr>
            <w:tcW w:w="2283" w:type="dxa"/>
            <w:shd w:val="clear" w:color="auto" w:fill="auto"/>
            <w:noWrap/>
            <w:vAlign w:val="center"/>
            <w:hideMark/>
          </w:tcPr>
          <w:p w14:paraId="47DF92CD"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Chémia</w:t>
            </w:r>
          </w:p>
        </w:tc>
        <w:tc>
          <w:tcPr>
            <w:tcW w:w="1076" w:type="dxa"/>
            <w:shd w:val="clear" w:color="auto" w:fill="auto"/>
            <w:noWrap/>
            <w:vAlign w:val="center"/>
            <w:hideMark/>
          </w:tcPr>
          <w:p w14:paraId="670FAC32"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390</w:t>
            </w:r>
          </w:p>
        </w:tc>
        <w:tc>
          <w:tcPr>
            <w:tcW w:w="889" w:type="dxa"/>
            <w:shd w:val="clear" w:color="auto" w:fill="auto"/>
            <w:noWrap/>
            <w:vAlign w:val="center"/>
            <w:hideMark/>
          </w:tcPr>
          <w:p w14:paraId="5F4DDF51"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306</w:t>
            </w:r>
          </w:p>
        </w:tc>
        <w:tc>
          <w:tcPr>
            <w:tcW w:w="1075" w:type="dxa"/>
            <w:shd w:val="clear" w:color="auto" w:fill="auto"/>
            <w:noWrap/>
            <w:vAlign w:val="center"/>
            <w:hideMark/>
          </w:tcPr>
          <w:p w14:paraId="497D0882"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256</w:t>
            </w:r>
          </w:p>
        </w:tc>
        <w:tc>
          <w:tcPr>
            <w:tcW w:w="1254" w:type="dxa"/>
            <w:shd w:val="clear" w:color="auto" w:fill="auto"/>
            <w:noWrap/>
            <w:vAlign w:val="center"/>
            <w:hideMark/>
          </w:tcPr>
          <w:p w14:paraId="5CBC3426"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11 696</w:t>
            </w:r>
          </w:p>
        </w:tc>
        <w:tc>
          <w:tcPr>
            <w:tcW w:w="1253" w:type="dxa"/>
            <w:shd w:val="clear" w:color="auto" w:fill="auto"/>
            <w:noWrap/>
            <w:vAlign w:val="center"/>
            <w:hideMark/>
          </w:tcPr>
          <w:p w14:paraId="3B29763D"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9 186</w:t>
            </w:r>
          </w:p>
        </w:tc>
        <w:tc>
          <w:tcPr>
            <w:tcW w:w="1253" w:type="dxa"/>
            <w:shd w:val="clear" w:color="auto" w:fill="auto"/>
            <w:noWrap/>
            <w:vAlign w:val="center"/>
            <w:hideMark/>
          </w:tcPr>
          <w:p w14:paraId="40A9D33C"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7 666</w:t>
            </w:r>
          </w:p>
        </w:tc>
      </w:tr>
      <w:tr w:rsidR="00E03380" w:rsidRPr="00930B46" w14:paraId="2C3A4D0E" w14:textId="77777777" w:rsidTr="00E03380">
        <w:trPr>
          <w:trHeight w:val="300"/>
        </w:trPr>
        <w:tc>
          <w:tcPr>
            <w:tcW w:w="2283" w:type="dxa"/>
            <w:shd w:val="clear" w:color="auto" w:fill="auto"/>
            <w:noWrap/>
            <w:vAlign w:val="center"/>
            <w:hideMark/>
          </w:tcPr>
          <w:p w14:paraId="406FE3AB"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Drevo</w:t>
            </w:r>
          </w:p>
        </w:tc>
        <w:tc>
          <w:tcPr>
            <w:tcW w:w="1076" w:type="dxa"/>
            <w:shd w:val="clear" w:color="auto" w:fill="auto"/>
            <w:noWrap/>
            <w:vAlign w:val="center"/>
            <w:hideMark/>
          </w:tcPr>
          <w:p w14:paraId="1F7DDFE1"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97</w:t>
            </w:r>
          </w:p>
        </w:tc>
        <w:tc>
          <w:tcPr>
            <w:tcW w:w="889" w:type="dxa"/>
            <w:shd w:val="clear" w:color="auto" w:fill="auto"/>
            <w:noWrap/>
            <w:vAlign w:val="center"/>
            <w:hideMark/>
          </w:tcPr>
          <w:p w14:paraId="3B027C87"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65</w:t>
            </w:r>
          </w:p>
        </w:tc>
        <w:tc>
          <w:tcPr>
            <w:tcW w:w="1075" w:type="dxa"/>
            <w:shd w:val="clear" w:color="auto" w:fill="auto"/>
            <w:noWrap/>
            <w:vAlign w:val="center"/>
            <w:hideMark/>
          </w:tcPr>
          <w:p w14:paraId="69700CF3"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196</w:t>
            </w:r>
          </w:p>
        </w:tc>
        <w:tc>
          <w:tcPr>
            <w:tcW w:w="1254" w:type="dxa"/>
            <w:shd w:val="clear" w:color="auto" w:fill="auto"/>
            <w:noWrap/>
            <w:vAlign w:val="center"/>
            <w:hideMark/>
          </w:tcPr>
          <w:p w14:paraId="0AADB22D"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2 915</w:t>
            </w:r>
          </w:p>
        </w:tc>
        <w:tc>
          <w:tcPr>
            <w:tcW w:w="1253" w:type="dxa"/>
            <w:shd w:val="clear" w:color="auto" w:fill="auto"/>
            <w:noWrap/>
            <w:vAlign w:val="center"/>
            <w:hideMark/>
          </w:tcPr>
          <w:p w14:paraId="44993167"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1 960</w:t>
            </w:r>
          </w:p>
        </w:tc>
        <w:tc>
          <w:tcPr>
            <w:tcW w:w="1253" w:type="dxa"/>
            <w:shd w:val="clear" w:color="auto" w:fill="auto"/>
            <w:noWrap/>
            <w:vAlign w:val="center"/>
            <w:hideMark/>
          </w:tcPr>
          <w:p w14:paraId="44091A14"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5 871</w:t>
            </w:r>
          </w:p>
        </w:tc>
      </w:tr>
      <w:tr w:rsidR="00E03380" w:rsidRPr="00930B46" w14:paraId="48E51F26" w14:textId="77777777" w:rsidTr="00E03380">
        <w:trPr>
          <w:trHeight w:val="300"/>
        </w:trPr>
        <w:tc>
          <w:tcPr>
            <w:tcW w:w="2283" w:type="dxa"/>
            <w:shd w:val="clear" w:color="auto" w:fill="auto"/>
            <w:noWrap/>
            <w:vAlign w:val="center"/>
            <w:hideMark/>
          </w:tcPr>
          <w:p w14:paraId="53AAD91E"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Potraviny</w:t>
            </w:r>
          </w:p>
        </w:tc>
        <w:tc>
          <w:tcPr>
            <w:tcW w:w="1076" w:type="dxa"/>
            <w:shd w:val="clear" w:color="auto" w:fill="auto"/>
            <w:noWrap/>
            <w:vAlign w:val="center"/>
            <w:hideMark/>
          </w:tcPr>
          <w:p w14:paraId="5C58353B"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37</w:t>
            </w:r>
          </w:p>
        </w:tc>
        <w:tc>
          <w:tcPr>
            <w:tcW w:w="889" w:type="dxa"/>
            <w:shd w:val="clear" w:color="auto" w:fill="auto"/>
            <w:noWrap/>
            <w:vAlign w:val="center"/>
            <w:hideMark/>
          </w:tcPr>
          <w:p w14:paraId="3EFEF066"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43</w:t>
            </w:r>
          </w:p>
        </w:tc>
        <w:tc>
          <w:tcPr>
            <w:tcW w:w="1075" w:type="dxa"/>
            <w:shd w:val="clear" w:color="auto" w:fill="auto"/>
            <w:noWrap/>
            <w:vAlign w:val="center"/>
            <w:hideMark/>
          </w:tcPr>
          <w:p w14:paraId="55595C55"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18</w:t>
            </w:r>
          </w:p>
        </w:tc>
        <w:tc>
          <w:tcPr>
            <w:tcW w:w="1254" w:type="dxa"/>
            <w:shd w:val="clear" w:color="auto" w:fill="auto"/>
            <w:noWrap/>
            <w:vAlign w:val="center"/>
            <w:hideMark/>
          </w:tcPr>
          <w:p w14:paraId="60381C91"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1 114</w:t>
            </w:r>
          </w:p>
        </w:tc>
        <w:tc>
          <w:tcPr>
            <w:tcW w:w="1253" w:type="dxa"/>
            <w:shd w:val="clear" w:color="auto" w:fill="auto"/>
            <w:noWrap/>
            <w:vAlign w:val="center"/>
            <w:hideMark/>
          </w:tcPr>
          <w:p w14:paraId="63ACD1E5"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1 286</w:t>
            </w:r>
          </w:p>
        </w:tc>
        <w:tc>
          <w:tcPr>
            <w:tcW w:w="1253" w:type="dxa"/>
            <w:shd w:val="clear" w:color="auto" w:fill="auto"/>
            <w:noWrap/>
            <w:vAlign w:val="center"/>
            <w:hideMark/>
          </w:tcPr>
          <w:p w14:paraId="77FD3B9E"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544</w:t>
            </w:r>
          </w:p>
        </w:tc>
      </w:tr>
      <w:tr w:rsidR="00E03380" w:rsidRPr="00930B46" w14:paraId="3533E353" w14:textId="77777777" w:rsidTr="00E03380">
        <w:trPr>
          <w:trHeight w:val="300"/>
        </w:trPr>
        <w:tc>
          <w:tcPr>
            <w:tcW w:w="2283" w:type="dxa"/>
            <w:shd w:val="clear" w:color="auto" w:fill="auto"/>
            <w:noWrap/>
            <w:vAlign w:val="center"/>
            <w:hideMark/>
          </w:tcPr>
          <w:p w14:paraId="18E8CD4C"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Stavebniny</w:t>
            </w:r>
          </w:p>
        </w:tc>
        <w:tc>
          <w:tcPr>
            <w:tcW w:w="1076" w:type="dxa"/>
            <w:shd w:val="clear" w:color="auto" w:fill="auto"/>
            <w:noWrap/>
            <w:vAlign w:val="center"/>
            <w:hideMark/>
          </w:tcPr>
          <w:p w14:paraId="3618A3F1"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1 082</w:t>
            </w:r>
          </w:p>
        </w:tc>
        <w:tc>
          <w:tcPr>
            <w:tcW w:w="889" w:type="dxa"/>
            <w:shd w:val="clear" w:color="auto" w:fill="auto"/>
            <w:noWrap/>
            <w:vAlign w:val="center"/>
            <w:hideMark/>
          </w:tcPr>
          <w:p w14:paraId="6A562B64"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950</w:t>
            </w:r>
          </w:p>
        </w:tc>
        <w:tc>
          <w:tcPr>
            <w:tcW w:w="1075" w:type="dxa"/>
            <w:shd w:val="clear" w:color="auto" w:fill="auto"/>
            <w:noWrap/>
            <w:vAlign w:val="center"/>
            <w:hideMark/>
          </w:tcPr>
          <w:p w14:paraId="06CB892D"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1 026</w:t>
            </w:r>
          </w:p>
        </w:tc>
        <w:tc>
          <w:tcPr>
            <w:tcW w:w="1254" w:type="dxa"/>
            <w:shd w:val="clear" w:color="auto" w:fill="auto"/>
            <w:noWrap/>
            <w:vAlign w:val="center"/>
            <w:hideMark/>
          </w:tcPr>
          <w:p w14:paraId="495A41C3"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32 446</w:t>
            </w:r>
          </w:p>
        </w:tc>
        <w:tc>
          <w:tcPr>
            <w:tcW w:w="1253" w:type="dxa"/>
            <w:shd w:val="clear" w:color="auto" w:fill="auto"/>
            <w:noWrap/>
            <w:vAlign w:val="center"/>
            <w:hideMark/>
          </w:tcPr>
          <w:p w14:paraId="2699BB72"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28 491</w:t>
            </w:r>
          </w:p>
        </w:tc>
        <w:tc>
          <w:tcPr>
            <w:tcW w:w="1253" w:type="dxa"/>
            <w:shd w:val="clear" w:color="auto" w:fill="auto"/>
            <w:noWrap/>
            <w:vAlign w:val="center"/>
            <w:hideMark/>
          </w:tcPr>
          <w:p w14:paraId="72B8C393"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30 784</w:t>
            </w:r>
          </w:p>
        </w:tc>
      </w:tr>
      <w:tr w:rsidR="00E03380" w:rsidRPr="00930B46" w14:paraId="655B7303" w14:textId="77777777" w:rsidTr="00E03380">
        <w:trPr>
          <w:trHeight w:val="300"/>
        </w:trPr>
        <w:tc>
          <w:tcPr>
            <w:tcW w:w="2283" w:type="dxa"/>
            <w:shd w:val="clear" w:color="auto" w:fill="auto"/>
            <w:noWrap/>
            <w:vAlign w:val="center"/>
            <w:hideMark/>
          </w:tcPr>
          <w:p w14:paraId="22A4C9FC"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lastRenderedPageBreak/>
              <w:t>Kovy</w:t>
            </w:r>
          </w:p>
        </w:tc>
        <w:tc>
          <w:tcPr>
            <w:tcW w:w="1076" w:type="dxa"/>
            <w:shd w:val="clear" w:color="auto" w:fill="auto"/>
            <w:noWrap/>
            <w:vAlign w:val="center"/>
            <w:hideMark/>
          </w:tcPr>
          <w:p w14:paraId="26E5926E"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907</w:t>
            </w:r>
          </w:p>
        </w:tc>
        <w:tc>
          <w:tcPr>
            <w:tcW w:w="889" w:type="dxa"/>
            <w:shd w:val="clear" w:color="auto" w:fill="auto"/>
            <w:noWrap/>
            <w:vAlign w:val="center"/>
            <w:hideMark/>
          </w:tcPr>
          <w:p w14:paraId="502F3D2F"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779</w:t>
            </w:r>
          </w:p>
        </w:tc>
        <w:tc>
          <w:tcPr>
            <w:tcW w:w="1075" w:type="dxa"/>
            <w:shd w:val="clear" w:color="auto" w:fill="auto"/>
            <w:noWrap/>
            <w:vAlign w:val="center"/>
            <w:hideMark/>
          </w:tcPr>
          <w:p w14:paraId="3F4B08E5"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1 071</w:t>
            </w:r>
          </w:p>
        </w:tc>
        <w:tc>
          <w:tcPr>
            <w:tcW w:w="1254" w:type="dxa"/>
            <w:shd w:val="clear" w:color="auto" w:fill="auto"/>
            <w:noWrap/>
            <w:vAlign w:val="center"/>
            <w:hideMark/>
          </w:tcPr>
          <w:p w14:paraId="3CA10458"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27 199</w:t>
            </w:r>
          </w:p>
        </w:tc>
        <w:tc>
          <w:tcPr>
            <w:tcW w:w="1253" w:type="dxa"/>
            <w:shd w:val="clear" w:color="auto" w:fill="auto"/>
            <w:noWrap/>
            <w:vAlign w:val="center"/>
            <w:hideMark/>
          </w:tcPr>
          <w:p w14:paraId="083084EE"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23 358</w:t>
            </w:r>
          </w:p>
        </w:tc>
        <w:tc>
          <w:tcPr>
            <w:tcW w:w="1253" w:type="dxa"/>
            <w:shd w:val="clear" w:color="auto" w:fill="auto"/>
            <w:noWrap/>
            <w:vAlign w:val="center"/>
            <w:hideMark/>
          </w:tcPr>
          <w:p w14:paraId="48685396"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32 127</w:t>
            </w:r>
          </w:p>
        </w:tc>
      </w:tr>
      <w:tr w:rsidR="00E03380" w:rsidRPr="00930B46" w14:paraId="7089F02B" w14:textId="77777777" w:rsidTr="00E03380">
        <w:trPr>
          <w:trHeight w:val="300"/>
        </w:trPr>
        <w:tc>
          <w:tcPr>
            <w:tcW w:w="2283" w:type="dxa"/>
            <w:shd w:val="clear" w:color="auto" w:fill="auto"/>
            <w:noWrap/>
            <w:vAlign w:val="center"/>
            <w:hideMark/>
          </w:tcPr>
          <w:p w14:paraId="00582BE9"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Ropné výrobky</w:t>
            </w:r>
          </w:p>
        </w:tc>
        <w:tc>
          <w:tcPr>
            <w:tcW w:w="1076" w:type="dxa"/>
            <w:shd w:val="clear" w:color="auto" w:fill="auto"/>
            <w:noWrap/>
            <w:vAlign w:val="center"/>
            <w:hideMark/>
          </w:tcPr>
          <w:p w14:paraId="519939BF"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59</w:t>
            </w:r>
          </w:p>
        </w:tc>
        <w:tc>
          <w:tcPr>
            <w:tcW w:w="889" w:type="dxa"/>
            <w:shd w:val="clear" w:color="auto" w:fill="auto"/>
            <w:noWrap/>
            <w:vAlign w:val="center"/>
            <w:hideMark/>
          </w:tcPr>
          <w:p w14:paraId="7E4945C0"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170</w:t>
            </w:r>
          </w:p>
        </w:tc>
        <w:tc>
          <w:tcPr>
            <w:tcW w:w="1075" w:type="dxa"/>
            <w:shd w:val="clear" w:color="auto" w:fill="auto"/>
            <w:noWrap/>
            <w:vAlign w:val="center"/>
            <w:hideMark/>
          </w:tcPr>
          <w:p w14:paraId="5C05DE85"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94</w:t>
            </w:r>
          </w:p>
        </w:tc>
        <w:tc>
          <w:tcPr>
            <w:tcW w:w="1254" w:type="dxa"/>
            <w:shd w:val="clear" w:color="auto" w:fill="auto"/>
            <w:noWrap/>
            <w:vAlign w:val="center"/>
            <w:hideMark/>
          </w:tcPr>
          <w:p w14:paraId="68367340"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1 773</w:t>
            </w:r>
          </w:p>
        </w:tc>
        <w:tc>
          <w:tcPr>
            <w:tcW w:w="1253" w:type="dxa"/>
            <w:shd w:val="clear" w:color="auto" w:fill="auto"/>
            <w:noWrap/>
            <w:vAlign w:val="center"/>
            <w:hideMark/>
          </w:tcPr>
          <w:p w14:paraId="0BF03D6A"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5 103</w:t>
            </w:r>
          </w:p>
        </w:tc>
        <w:tc>
          <w:tcPr>
            <w:tcW w:w="1253" w:type="dxa"/>
            <w:shd w:val="clear" w:color="auto" w:fill="auto"/>
            <w:noWrap/>
            <w:vAlign w:val="center"/>
            <w:hideMark/>
          </w:tcPr>
          <w:p w14:paraId="1A70B2D9"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2 806</w:t>
            </w:r>
          </w:p>
        </w:tc>
      </w:tr>
      <w:tr w:rsidR="00E03380" w:rsidRPr="00930B46" w14:paraId="28C8D3C5" w14:textId="77777777" w:rsidTr="00E03380">
        <w:trPr>
          <w:trHeight w:val="300"/>
        </w:trPr>
        <w:tc>
          <w:tcPr>
            <w:tcW w:w="2283" w:type="dxa"/>
            <w:shd w:val="clear" w:color="auto" w:fill="auto"/>
            <w:noWrap/>
            <w:vAlign w:val="center"/>
            <w:hideMark/>
          </w:tcPr>
          <w:p w14:paraId="76CF8A71"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Uhlie</w:t>
            </w:r>
          </w:p>
        </w:tc>
        <w:tc>
          <w:tcPr>
            <w:tcW w:w="1076" w:type="dxa"/>
            <w:shd w:val="clear" w:color="auto" w:fill="auto"/>
            <w:noWrap/>
            <w:vAlign w:val="center"/>
            <w:hideMark/>
          </w:tcPr>
          <w:p w14:paraId="12FF15C0"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2 327</w:t>
            </w:r>
          </w:p>
        </w:tc>
        <w:tc>
          <w:tcPr>
            <w:tcW w:w="889" w:type="dxa"/>
            <w:shd w:val="clear" w:color="auto" w:fill="auto"/>
            <w:noWrap/>
            <w:vAlign w:val="center"/>
            <w:hideMark/>
          </w:tcPr>
          <w:p w14:paraId="5EF23499"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1 530</w:t>
            </w:r>
          </w:p>
        </w:tc>
        <w:tc>
          <w:tcPr>
            <w:tcW w:w="1075" w:type="dxa"/>
            <w:shd w:val="clear" w:color="auto" w:fill="auto"/>
            <w:noWrap/>
            <w:vAlign w:val="center"/>
            <w:hideMark/>
          </w:tcPr>
          <w:p w14:paraId="0CD8C739"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2 252</w:t>
            </w:r>
          </w:p>
        </w:tc>
        <w:tc>
          <w:tcPr>
            <w:tcW w:w="1254" w:type="dxa"/>
            <w:shd w:val="clear" w:color="auto" w:fill="auto"/>
            <w:noWrap/>
            <w:vAlign w:val="center"/>
            <w:hideMark/>
          </w:tcPr>
          <w:p w14:paraId="735F8FEC"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69 800</w:t>
            </w:r>
          </w:p>
        </w:tc>
        <w:tc>
          <w:tcPr>
            <w:tcW w:w="1253" w:type="dxa"/>
            <w:shd w:val="clear" w:color="auto" w:fill="auto"/>
            <w:noWrap/>
            <w:vAlign w:val="center"/>
            <w:hideMark/>
          </w:tcPr>
          <w:p w14:paraId="3421561C"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45 897</w:t>
            </w:r>
          </w:p>
        </w:tc>
        <w:tc>
          <w:tcPr>
            <w:tcW w:w="1253" w:type="dxa"/>
            <w:shd w:val="clear" w:color="auto" w:fill="auto"/>
            <w:noWrap/>
            <w:vAlign w:val="center"/>
            <w:hideMark/>
          </w:tcPr>
          <w:p w14:paraId="7DF12FEF"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67 565</w:t>
            </w:r>
          </w:p>
        </w:tc>
      </w:tr>
      <w:tr w:rsidR="00E03380" w:rsidRPr="00930B46" w14:paraId="2D84CC1E" w14:textId="77777777" w:rsidTr="00E03380">
        <w:trPr>
          <w:trHeight w:val="300"/>
        </w:trPr>
        <w:tc>
          <w:tcPr>
            <w:tcW w:w="2283" w:type="dxa"/>
            <w:shd w:val="clear" w:color="auto" w:fill="auto"/>
            <w:noWrap/>
            <w:vAlign w:val="center"/>
            <w:hideMark/>
          </w:tcPr>
          <w:p w14:paraId="3B70EE6E"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Železná ruda</w:t>
            </w:r>
          </w:p>
        </w:tc>
        <w:tc>
          <w:tcPr>
            <w:tcW w:w="1076" w:type="dxa"/>
            <w:shd w:val="clear" w:color="auto" w:fill="auto"/>
            <w:noWrap/>
            <w:vAlign w:val="center"/>
            <w:hideMark/>
          </w:tcPr>
          <w:p w14:paraId="7677BED6"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5 136</w:t>
            </w:r>
          </w:p>
        </w:tc>
        <w:tc>
          <w:tcPr>
            <w:tcW w:w="889" w:type="dxa"/>
            <w:shd w:val="clear" w:color="auto" w:fill="auto"/>
            <w:noWrap/>
            <w:vAlign w:val="center"/>
            <w:hideMark/>
          </w:tcPr>
          <w:p w14:paraId="6AE0FF84"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5 292</w:t>
            </w:r>
          </w:p>
        </w:tc>
        <w:tc>
          <w:tcPr>
            <w:tcW w:w="1075" w:type="dxa"/>
            <w:shd w:val="clear" w:color="auto" w:fill="auto"/>
            <w:noWrap/>
            <w:vAlign w:val="center"/>
            <w:hideMark/>
          </w:tcPr>
          <w:p w14:paraId="54B75AD2"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5 079</w:t>
            </w:r>
          </w:p>
        </w:tc>
        <w:tc>
          <w:tcPr>
            <w:tcW w:w="1254" w:type="dxa"/>
            <w:shd w:val="clear" w:color="auto" w:fill="auto"/>
            <w:noWrap/>
            <w:vAlign w:val="center"/>
            <w:hideMark/>
          </w:tcPr>
          <w:p w14:paraId="19240B79"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154 087</w:t>
            </w:r>
          </w:p>
        </w:tc>
        <w:tc>
          <w:tcPr>
            <w:tcW w:w="1253" w:type="dxa"/>
            <w:shd w:val="clear" w:color="auto" w:fill="auto"/>
            <w:noWrap/>
            <w:vAlign w:val="center"/>
            <w:hideMark/>
          </w:tcPr>
          <w:p w14:paraId="16D8EAFD"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158 764</w:t>
            </w:r>
          </w:p>
        </w:tc>
        <w:tc>
          <w:tcPr>
            <w:tcW w:w="1253" w:type="dxa"/>
            <w:shd w:val="clear" w:color="auto" w:fill="auto"/>
            <w:noWrap/>
            <w:vAlign w:val="center"/>
            <w:hideMark/>
          </w:tcPr>
          <w:p w14:paraId="1ABBB112"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152 363</w:t>
            </w:r>
          </w:p>
        </w:tc>
      </w:tr>
      <w:tr w:rsidR="00E03380" w:rsidRPr="00930B46" w14:paraId="296C97C9" w14:textId="77777777" w:rsidTr="00E03380">
        <w:trPr>
          <w:trHeight w:val="315"/>
        </w:trPr>
        <w:tc>
          <w:tcPr>
            <w:tcW w:w="2283" w:type="dxa"/>
            <w:shd w:val="clear" w:color="auto" w:fill="auto"/>
            <w:noWrap/>
            <w:vAlign w:val="center"/>
            <w:hideMark/>
          </w:tcPr>
          <w:p w14:paraId="5A9766CD"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Intermodálna preprava</w:t>
            </w:r>
          </w:p>
        </w:tc>
        <w:tc>
          <w:tcPr>
            <w:tcW w:w="1076" w:type="dxa"/>
            <w:shd w:val="clear" w:color="auto" w:fill="auto"/>
            <w:noWrap/>
            <w:vAlign w:val="center"/>
            <w:hideMark/>
          </w:tcPr>
          <w:p w14:paraId="7D4FA062"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286</w:t>
            </w:r>
          </w:p>
        </w:tc>
        <w:tc>
          <w:tcPr>
            <w:tcW w:w="889" w:type="dxa"/>
            <w:shd w:val="clear" w:color="auto" w:fill="auto"/>
            <w:noWrap/>
            <w:vAlign w:val="center"/>
            <w:hideMark/>
          </w:tcPr>
          <w:p w14:paraId="72C8CE9A"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266</w:t>
            </w:r>
          </w:p>
        </w:tc>
        <w:tc>
          <w:tcPr>
            <w:tcW w:w="1075" w:type="dxa"/>
            <w:shd w:val="clear" w:color="auto" w:fill="auto"/>
            <w:noWrap/>
            <w:vAlign w:val="center"/>
            <w:hideMark/>
          </w:tcPr>
          <w:p w14:paraId="1CAAE5A8"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168</w:t>
            </w:r>
          </w:p>
        </w:tc>
        <w:tc>
          <w:tcPr>
            <w:tcW w:w="1254" w:type="dxa"/>
            <w:shd w:val="clear" w:color="auto" w:fill="auto"/>
            <w:noWrap/>
            <w:vAlign w:val="center"/>
            <w:hideMark/>
          </w:tcPr>
          <w:p w14:paraId="63390D4F"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8 572</w:t>
            </w:r>
          </w:p>
        </w:tc>
        <w:tc>
          <w:tcPr>
            <w:tcW w:w="1253" w:type="dxa"/>
            <w:shd w:val="clear" w:color="auto" w:fill="auto"/>
            <w:noWrap/>
            <w:vAlign w:val="center"/>
            <w:hideMark/>
          </w:tcPr>
          <w:p w14:paraId="1EC08125"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7 973</w:t>
            </w:r>
          </w:p>
        </w:tc>
        <w:tc>
          <w:tcPr>
            <w:tcW w:w="1253" w:type="dxa"/>
            <w:shd w:val="clear" w:color="auto" w:fill="auto"/>
            <w:noWrap/>
            <w:vAlign w:val="center"/>
            <w:hideMark/>
          </w:tcPr>
          <w:p w14:paraId="5A271C11" w14:textId="77777777" w:rsidR="00E03380" w:rsidRPr="00930B46" w:rsidRDefault="00E03380" w:rsidP="00931169">
            <w:pPr>
              <w:rPr>
                <w:rFonts w:eastAsia="Times New Roman" w:cstheme="minorHAnsi"/>
                <w:sz w:val="22"/>
                <w:lang w:eastAsia="sk-SK"/>
              </w:rPr>
            </w:pPr>
            <w:r w:rsidRPr="00930B46">
              <w:rPr>
                <w:rFonts w:eastAsia="Times New Roman" w:cstheme="minorHAnsi"/>
                <w:sz w:val="22"/>
                <w:lang w:eastAsia="sk-SK"/>
              </w:rPr>
              <w:t>5 028</w:t>
            </w:r>
          </w:p>
        </w:tc>
      </w:tr>
      <w:tr w:rsidR="00E03380" w:rsidRPr="00930B46" w14:paraId="29E0D731" w14:textId="77777777" w:rsidTr="00E03380">
        <w:trPr>
          <w:trHeight w:val="330"/>
        </w:trPr>
        <w:tc>
          <w:tcPr>
            <w:tcW w:w="2283" w:type="dxa"/>
            <w:shd w:val="clear" w:color="auto" w:fill="auto"/>
            <w:noWrap/>
            <w:vAlign w:val="center"/>
            <w:hideMark/>
          </w:tcPr>
          <w:p w14:paraId="4607CB2B"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Celkom</w:t>
            </w:r>
          </w:p>
        </w:tc>
        <w:tc>
          <w:tcPr>
            <w:tcW w:w="1076" w:type="dxa"/>
            <w:shd w:val="clear" w:color="auto" w:fill="auto"/>
            <w:noWrap/>
            <w:vAlign w:val="center"/>
            <w:hideMark/>
          </w:tcPr>
          <w:p w14:paraId="3409FF99"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10 341</w:t>
            </w:r>
          </w:p>
        </w:tc>
        <w:tc>
          <w:tcPr>
            <w:tcW w:w="889" w:type="dxa"/>
            <w:shd w:val="clear" w:color="auto" w:fill="auto"/>
            <w:noWrap/>
            <w:vAlign w:val="center"/>
            <w:hideMark/>
          </w:tcPr>
          <w:p w14:paraId="7E9F554A"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9 410</w:t>
            </w:r>
          </w:p>
        </w:tc>
        <w:tc>
          <w:tcPr>
            <w:tcW w:w="1075" w:type="dxa"/>
            <w:shd w:val="clear" w:color="auto" w:fill="auto"/>
            <w:noWrap/>
            <w:vAlign w:val="center"/>
            <w:hideMark/>
          </w:tcPr>
          <w:p w14:paraId="4197E760"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10 171</w:t>
            </w:r>
          </w:p>
        </w:tc>
        <w:tc>
          <w:tcPr>
            <w:tcW w:w="1254" w:type="dxa"/>
            <w:shd w:val="clear" w:color="auto" w:fill="auto"/>
            <w:noWrap/>
            <w:vAlign w:val="center"/>
            <w:hideMark/>
          </w:tcPr>
          <w:p w14:paraId="7B943280"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310 240</w:t>
            </w:r>
          </w:p>
        </w:tc>
        <w:tc>
          <w:tcPr>
            <w:tcW w:w="1253" w:type="dxa"/>
            <w:shd w:val="clear" w:color="auto" w:fill="auto"/>
            <w:noWrap/>
            <w:vAlign w:val="center"/>
            <w:hideMark/>
          </w:tcPr>
          <w:p w14:paraId="7F625687"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282 292</w:t>
            </w:r>
          </w:p>
        </w:tc>
        <w:tc>
          <w:tcPr>
            <w:tcW w:w="1253" w:type="dxa"/>
            <w:shd w:val="clear" w:color="auto" w:fill="auto"/>
            <w:noWrap/>
            <w:vAlign w:val="center"/>
            <w:hideMark/>
          </w:tcPr>
          <w:p w14:paraId="7A9E66F6" w14:textId="77777777" w:rsidR="00E03380" w:rsidRPr="00930B46" w:rsidRDefault="00E03380" w:rsidP="00931169">
            <w:pPr>
              <w:rPr>
                <w:rFonts w:eastAsia="Times New Roman" w:cstheme="minorHAnsi"/>
                <w:b/>
                <w:bCs/>
                <w:sz w:val="22"/>
                <w:lang w:eastAsia="sk-SK"/>
              </w:rPr>
            </w:pPr>
            <w:r w:rsidRPr="00930B46">
              <w:rPr>
                <w:rFonts w:eastAsia="Times New Roman" w:cstheme="minorHAnsi"/>
                <w:b/>
                <w:bCs/>
                <w:sz w:val="22"/>
                <w:lang w:eastAsia="sk-SK"/>
              </w:rPr>
              <w:t>305 121</w:t>
            </w:r>
          </w:p>
        </w:tc>
      </w:tr>
    </w:tbl>
    <w:p w14:paraId="31AC34F7" w14:textId="77777777" w:rsidR="00E03380" w:rsidRPr="00930B46" w:rsidRDefault="00E03380" w:rsidP="00931169">
      <w:pPr>
        <w:rPr>
          <w:rFonts w:cstheme="minorHAnsi"/>
          <w:szCs w:val="24"/>
        </w:rPr>
      </w:pPr>
    </w:p>
    <w:p w14:paraId="3678AA1E" w14:textId="77777777" w:rsidR="00E03380" w:rsidRPr="00930B46" w:rsidRDefault="00E03380" w:rsidP="00931169">
      <w:pPr>
        <w:rPr>
          <w:rFonts w:cstheme="minorHAnsi"/>
          <w:szCs w:val="24"/>
        </w:rPr>
      </w:pPr>
      <w:r w:rsidRPr="00930B46">
        <w:rPr>
          <w:rFonts w:cstheme="minorHAnsi"/>
          <w:szCs w:val="24"/>
        </w:rPr>
        <w:t>Jednotlivé objemy prepravy podľa komodít boli následne prognózované na základe reálnej/prognózovanej úrovne rastu HDP, pričom bol zohľadnený potenciál rastu prepravy jednotlivých tovarových skupín, t.j. minimálny potenciál rastu pri sypkých substrátoch (uhlie, železná ruda) a vyšší potenciál rastu pri intermodálnej preprave a preprave osobných vozidiel. Prognóza zohľadňuje predpokladaný vývoj objemu nákladnej prepravy na hodnotenom úseku identifikovaný v rámci národného dopravného modelu.</w:t>
      </w:r>
    </w:p>
    <w:p w14:paraId="4E231830" w14:textId="77777777" w:rsidR="00E03380" w:rsidRPr="00930B46" w:rsidRDefault="00E03380" w:rsidP="00931169">
      <w:pPr>
        <w:rPr>
          <w:rFonts w:cstheme="minorHAnsi"/>
          <w:szCs w:val="24"/>
        </w:rPr>
      </w:pPr>
      <w:r w:rsidRPr="00930B46">
        <w:rPr>
          <w:rFonts w:cstheme="minorHAnsi"/>
          <w:szCs w:val="24"/>
        </w:rPr>
        <w:t>V stave „s projektom“ prognóza zohľadňuje redukciu nákladov dopravcov v nákladnej doprave, vyplývajúcu z úspory času (skrátenie traťového úseku, vyššia traťová rýchlosť) a zvýšenej spoľahlivosti trate (redukcia meškaní), a s tým súvisiacu zvýšenú atraktivitu traťového úseku a postupnú zmenu deľby prepravnej práce v prospech železničnej dopravy.</w:t>
      </w:r>
    </w:p>
    <w:p w14:paraId="3363DABB" w14:textId="77777777" w:rsidR="00E03380" w:rsidRPr="00930B46" w:rsidRDefault="00E03380" w:rsidP="00931169">
      <w:pPr>
        <w:rPr>
          <w:rFonts w:cstheme="minorHAnsi"/>
          <w:szCs w:val="24"/>
        </w:rPr>
      </w:pPr>
      <w:r w:rsidRPr="00930B46">
        <w:rPr>
          <w:rFonts w:cstheme="minorHAnsi"/>
          <w:szCs w:val="24"/>
        </w:rPr>
        <w:t xml:space="preserve">V modeli sa predpokladá zníženie jednotkových nákladov na jeden kilometer prepravy tovaru o 1 % pre všetky typy prepravovaných komoditných skupín.  </w:t>
      </w:r>
    </w:p>
    <w:p w14:paraId="18CB03FD" w14:textId="77777777" w:rsidR="00E03380" w:rsidRPr="00930B46" w:rsidRDefault="00E03380" w:rsidP="00931169">
      <w:pPr>
        <w:rPr>
          <w:rFonts w:cstheme="minorHAnsi"/>
          <w:szCs w:val="24"/>
        </w:rPr>
      </w:pPr>
      <w:r w:rsidRPr="00930B46">
        <w:rPr>
          <w:rFonts w:cstheme="minorHAnsi"/>
          <w:szCs w:val="24"/>
        </w:rPr>
        <w:t>Vzhľadom na to, že neboli dostupné údaje o meškaniach vlakov a ich špecifickej kategorizácii na posudzovanom traťovom úseku, boli aplikované údaje na základe analýzy realizovanej spoločnosťou SUDOP Praha, ktorá na traťovom úseku Kolín – Děčín, s podobnými parametrami ako v prípade hodnoteného úseku Žilina – Čadca, preukázala redukciu meškaní na jeden vlak nákladnej dopravyna úrovni spomínaných 10 minút. K redukcií meškaní došlo vplyvom plánovaného a neplánovaného čakania vlakov nákladnej dopravy, vplyvom plánovaného alebo neplánovaného obmedzenia kapacity trate..</w:t>
      </w:r>
    </w:p>
    <w:p w14:paraId="3F64C266" w14:textId="77777777" w:rsidR="00E03380" w:rsidRPr="00930B46" w:rsidRDefault="00E03380" w:rsidP="00931169">
      <w:pPr>
        <w:rPr>
          <w:rFonts w:cstheme="minorHAnsi"/>
          <w:szCs w:val="24"/>
        </w:rPr>
      </w:pPr>
      <w:r w:rsidRPr="00930B46">
        <w:rPr>
          <w:rFonts w:cstheme="minorHAnsi"/>
          <w:szCs w:val="24"/>
        </w:rPr>
        <w:t xml:space="preserve">Vzhľadom na obmedzený rozsah analyzovaného úseku Žilina – Čadca št. hr. v porovnaní s priemernými vzdialenosťami dĺžky úseku sa pristúpilo k redukcií meškania na jeden vlak na úrovni 2 minút. V prípade redukcie meškania na jeden vlak na úrovni 2 minút je pomerný koeficient založený na dĺžke vlakových úsekov. </w:t>
      </w:r>
    </w:p>
    <w:p w14:paraId="17829375" w14:textId="77777777" w:rsidR="00E03380" w:rsidRPr="00930B46" w:rsidRDefault="00E03380" w:rsidP="00931169">
      <w:pPr>
        <w:rPr>
          <w:rFonts w:cstheme="minorHAnsi"/>
          <w:szCs w:val="24"/>
        </w:rPr>
      </w:pPr>
      <w:r w:rsidRPr="00930B46">
        <w:rPr>
          <w:rFonts w:cstheme="minorHAnsi"/>
          <w:szCs w:val="24"/>
        </w:rPr>
        <w:t>Všetky ostatné aplikované vstupné parametre boli prevzaté z uvedenej metodiky JASPERS</w:t>
      </w:r>
    </w:p>
    <w:p w14:paraId="075F9F29" w14:textId="77777777" w:rsidR="00E03380" w:rsidRPr="00930B46" w:rsidRDefault="00E03380" w:rsidP="00931169">
      <w:pPr>
        <w:rPr>
          <w:rFonts w:cstheme="minorHAnsi"/>
          <w:szCs w:val="24"/>
        </w:rPr>
      </w:pPr>
      <w:r w:rsidRPr="00930B46">
        <w:rPr>
          <w:rFonts w:cstheme="minorHAnsi"/>
          <w:szCs w:val="24"/>
        </w:rPr>
        <w:t>Pri realizácií projektu môže byť dopad projektu negatívny, čo je spôsobené narušením vlakovej dopravy a častými výlukami na trati. Z dôvodu nejednoznačnosti, či k takejto skutočnosti dôjde nie je tento faktor v rokoch počas výstavby do predikcie zahrnutý.</w:t>
      </w:r>
    </w:p>
    <w:p w14:paraId="7A69AF73" w14:textId="77777777" w:rsidR="00E03380" w:rsidRPr="00930B46" w:rsidRDefault="00E03380" w:rsidP="00931169">
      <w:pPr>
        <w:rPr>
          <w:rFonts w:cstheme="minorHAnsi"/>
          <w:szCs w:val="24"/>
        </w:rPr>
      </w:pPr>
      <w:r w:rsidRPr="00930B46">
        <w:rPr>
          <w:rFonts w:cstheme="minorHAnsi"/>
          <w:szCs w:val="24"/>
        </w:rPr>
        <w:t xml:space="preserve">Predikcia dopravných výkonov pre úsek Žilina – Čadca št. hr. používaných pri modelovaní  vychádza zo skutočne dosahovaných výkonov v období 2013 – 2016. Následne trend vývoja výkonov nákladnej dopravy nadväzuje na medziročný rast dopravných výkonov predikovaných vo vypracovanom dopravnom modeli pre úsek Žilina – Čadca št. hr. . </w:t>
      </w:r>
    </w:p>
    <w:p w14:paraId="437CBA86" w14:textId="77777777" w:rsidR="00E03380" w:rsidRPr="00930B46" w:rsidRDefault="00E03380" w:rsidP="00931169">
      <w:pPr>
        <w:rPr>
          <w:rFonts w:cstheme="minorHAnsi"/>
          <w:szCs w:val="24"/>
        </w:rPr>
      </w:pPr>
      <w:r w:rsidRPr="00930B46">
        <w:rPr>
          <w:rFonts w:cstheme="minorHAnsi"/>
          <w:szCs w:val="24"/>
        </w:rPr>
        <w:t xml:space="preserve">Na základe hore uvedených úvah boli zohľadnené faktory podporujúce rast dopytu po železničnej nákladnej doprave. Nakoniec je potrebné uviesť, že bol prijatý obozretný prístup týkajúci sa perspektívy železničnej dopravy v tejto časti; v skutočnosti sa predpokladá, že nedochádza k žiadnemu ďalšiemu významnému nárastu objemu dopravy a že doprava sa tak bude vyvíjať s nízkymi mierami rastu, ktoré sa už pozorovali pred rokom 2016. </w:t>
      </w:r>
    </w:p>
    <w:p w14:paraId="230C8850" w14:textId="77777777" w:rsidR="00E03380" w:rsidRPr="00930B46" w:rsidRDefault="00E03380" w:rsidP="00931169">
      <w:pPr>
        <w:rPr>
          <w:rFonts w:cstheme="minorHAnsi"/>
          <w:szCs w:val="24"/>
        </w:rPr>
      </w:pPr>
      <w:r w:rsidRPr="00930B46">
        <w:rPr>
          <w:rFonts w:cstheme="minorHAnsi"/>
          <w:szCs w:val="24"/>
        </w:rPr>
        <w:t>Dopravný model pre nákladnú je vypracovaný v troch variantoch:</w:t>
      </w:r>
    </w:p>
    <w:p w14:paraId="32D6328A" w14:textId="77777777" w:rsidR="00E03380" w:rsidRPr="00930B46" w:rsidRDefault="00E03380" w:rsidP="00931169">
      <w:pPr>
        <w:pStyle w:val="Odsekzoznamu"/>
        <w:numPr>
          <w:ilvl w:val="0"/>
          <w:numId w:val="21"/>
        </w:numPr>
        <w:spacing w:before="120" w:after="0"/>
        <w:jc w:val="both"/>
        <w:rPr>
          <w:rFonts w:cstheme="minorHAnsi"/>
          <w:sz w:val="24"/>
          <w:szCs w:val="24"/>
        </w:rPr>
      </w:pPr>
      <w:r w:rsidRPr="00930B46">
        <w:rPr>
          <w:rFonts w:cstheme="minorHAnsi"/>
          <w:sz w:val="24"/>
          <w:szCs w:val="24"/>
        </w:rPr>
        <w:lastRenderedPageBreak/>
        <w:t>minimálny variant (variant v pôvodnom železničnom telese);</w:t>
      </w:r>
    </w:p>
    <w:p w14:paraId="5E5DAAED" w14:textId="77777777" w:rsidR="00E03380" w:rsidRPr="00930B46" w:rsidRDefault="00E03380" w:rsidP="00931169">
      <w:pPr>
        <w:pStyle w:val="Odsekzoznamu"/>
        <w:numPr>
          <w:ilvl w:val="0"/>
          <w:numId w:val="21"/>
        </w:numPr>
        <w:spacing w:before="120" w:after="0"/>
        <w:jc w:val="both"/>
        <w:rPr>
          <w:rFonts w:cstheme="minorHAnsi"/>
          <w:sz w:val="24"/>
          <w:szCs w:val="24"/>
        </w:rPr>
      </w:pPr>
      <w:r w:rsidRPr="00930B46">
        <w:rPr>
          <w:rFonts w:cstheme="minorHAnsi"/>
          <w:sz w:val="24"/>
          <w:szCs w:val="24"/>
        </w:rPr>
        <w:t>základný variant (variant s cieľom dosahovania minimálnej traťovej rýchlosti na celom traťovom úseku 100 km/hod) ;</w:t>
      </w:r>
    </w:p>
    <w:p w14:paraId="4A733B49" w14:textId="77777777" w:rsidR="00E03380" w:rsidRPr="00930B46" w:rsidRDefault="00E03380" w:rsidP="00931169">
      <w:pPr>
        <w:pStyle w:val="Odsekzoznamu"/>
        <w:numPr>
          <w:ilvl w:val="0"/>
          <w:numId w:val="21"/>
        </w:numPr>
        <w:spacing w:before="120" w:after="0"/>
        <w:jc w:val="both"/>
        <w:rPr>
          <w:rFonts w:cstheme="minorHAnsi"/>
          <w:sz w:val="24"/>
          <w:szCs w:val="24"/>
        </w:rPr>
      </w:pPr>
      <w:r w:rsidRPr="00930B46">
        <w:rPr>
          <w:rFonts w:cstheme="minorHAnsi"/>
          <w:sz w:val="24"/>
          <w:szCs w:val="24"/>
        </w:rPr>
        <w:t>stredný variant (variant s cieľom dosahovania minimálnej traťovej rýchlosti na celom traťovom úseku 120/140 km/hod.).</w:t>
      </w:r>
    </w:p>
    <w:p w14:paraId="41B63CA8" w14:textId="77777777" w:rsidR="00E03380" w:rsidRPr="00930B46" w:rsidRDefault="00E03380" w:rsidP="00931169">
      <w:pPr>
        <w:rPr>
          <w:rFonts w:cstheme="minorHAnsi"/>
          <w:szCs w:val="24"/>
        </w:rPr>
      </w:pPr>
    </w:p>
    <w:p w14:paraId="0741CA68" w14:textId="77777777" w:rsidR="00E03380" w:rsidRPr="00930B46" w:rsidRDefault="00E03380" w:rsidP="00931169">
      <w:pPr>
        <w:rPr>
          <w:rFonts w:cstheme="minorHAnsi"/>
          <w:szCs w:val="24"/>
        </w:rPr>
      </w:pPr>
      <w:r w:rsidRPr="00930B46">
        <w:rPr>
          <w:rFonts w:cstheme="minorHAnsi"/>
          <w:szCs w:val="24"/>
        </w:rPr>
        <w:t xml:space="preserve">Predikcia prepravných výkonov sa odvíja od navrhovaných technických parametrov jednotlivých variantov na úseku Krásno nad Kysucou /mimo/ - štátna hranica SR/ČR, ktoré sa od seba rozlišujú v dĺžke trate a dosahovaných maximálnych jazdných rýchlostí železničnej trate. Tieto parametre železničnej trate výrazne vplývajú na cestovné časy. </w:t>
      </w:r>
    </w:p>
    <w:p w14:paraId="01FEB54D" w14:textId="3FB9DA37" w:rsidR="00E03380" w:rsidRDefault="00E03380" w:rsidP="00931169">
      <w:pPr>
        <w:rPr>
          <w:rFonts w:cstheme="minorHAnsi"/>
          <w:szCs w:val="24"/>
        </w:rPr>
      </w:pPr>
      <w:r w:rsidRPr="00930B46">
        <w:rPr>
          <w:rFonts w:cstheme="minorHAnsi"/>
          <w:szCs w:val="24"/>
        </w:rPr>
        <w:t xml:space="preserve">Porovnanie predikcie mil. ton/rok podľa jednotlivých investičných zámerov je zobrazené v nasledujúcej tabuľke. </w:t>
      </w:r>
    </w:p>
    <w:p w14:paraId="72E1B0C8" w14:textId="77777777" w:rsidR="001A24C3" w:rsidRPr="00930B46" w:rsidRDefault="001A24C3" w:rsidP="00931169">
      <w:pPr>
        <w:rPr>
          <w:rFonts w:cstheme="minorHAnsi"/>
          <w:szCs w:val="24"/>
        </w:rPr>
      </w:pPr>
    </w:p>
    <w:p w14:paraId="237E0352" w14:textId="3CF553BA" w:rsidR="00E03380" w:rsidRPr="00930B46" w:rsidRDefault="00E03380" w:rsidP="00931169">
      <w:pPr>
        <w:ind w:left="1134" w:hanging="1134"/>
        <w:rPr>
          <w:rStyle w:val="tlid-translation"/>
          <w:rFonts w:cstheme="minorHAnsi"/>
          <w:szCs w:val="24"/>
        </w:rPr>
      </w:pPr>
      <w:r w:rsidRPr="00930B46">
        <w:rPr>
          <w:rStyle w:val="tlid-translation"/>
          <w:rFonts w:cstheme="minorHAnsi"/>
          <w:szCs w:val="24"/>
        </w:rPr>
        <w:t xml:space="preserve">Tabuľka </w:t>
      </w:r>
      <w:r w:rsidR="00DA0B84">
        <w:rPr>
          <w:rStyle w:val="tlid-translation"/>
          <w:rFonts w:cstheme="minorHAnsi"/>
          <w:szCs w:val="24"/>
        </w:rPr>
        <w:t>27</w:t>
      </w:r>
      <w:r w:rsidRPr="00930B46">
        <w:rPr>
          <w:rStyle w:val="tlid-translation"/>
          <w:rFonts w:cstheme="minorHAnsi"/>
          <w:szCs w:val="24"/>
        </w:rPr>
        <w:t xml:space="preserve">: </w:t>
      </w:r>
      <w:r w:rsidRPr="00930B46">
        <w:rPr>
          <w:rStyle w:val="tlid-translation"/>
          <w:rFonts w:cstheme="minorHAnsi"/>
          <w:szCs w:val="24"/>
        </w:rPr>
        <w:tab/>
        <w:t xml:space="preserve">Porovnanie vývoja prepravných výkonov v mil. ton/rok podľa jednotlivých investičných zámerov </w:t>
      </w:r>
    </w:p>
    <w:tbl>
      <w:tblPr>
        <w:tblStyle w:val="Mriekatabuky"/>
        <w:tblW w:w="0" w:type="auto"/>
        <w:tblLook w:val="04A0" w:firstRow="1" w:lastRow="0" w:firstColumn="1" w:lastColumn="0" w:noHBand="0" w:noVBand="1"/>
      </w:tblPr>
      <w:tblGrid>
        <w:gridCol w:w="2285"/>
        <w:gridCol w:w="2259"/>
        <w:gridCol w:w="2259"/>
        <w:gridCol w:w="2259"/>
      </w:tblGrid>
      <w:tr w:rsidR="00E03380" w:rsidRPr="00930B46" w14:paraId="3B8224B7" w14:textId="77777777" w:rsidTr="00E03380">
        <w:trPr>
          <w:trHeight w:val="348"/>
        </w:trPr>
        <w:tc>
          <w:tcPr>
            <w:tcW w:w="2303" w:type="dxa"/>
            <w:vAlign w:val="center"/>
          </w:tcPr>
          <w:p w14:paraId="34522B0C" w14:textId="77777777" w:rsidR="00E03380" w:rsidRPr="00930B46" w:rsidRDefault="00E03380" w:rsidP="00931169">
            <w:pPr>
              <w:rPr>
                <w:rFonts w:cstheme="minorHAnsi"/>
                <w:b/>
                <w:sz w:val="22"/>
              </w:rPr>
            </w:pPr>
            <w:r w:rsidRPr="00930B46">
              <w:rPr>
                <w:rFonts w:cstheme="minorHAnsi"/>
                <w:b/>
                <w:sz w:val="22"/>
              </w:rPr>
              <w:t>Alternatíva/Rok</w:t>
            </w:r>
          </w:p>
        </w:tc>
        <w:tc>
          <w:tcPr>
            <w:tcW w:w="2303" w:type="dxa"/>
            <w:vAlign w:val="center"/>
          </w:tcPr>
          <w:p w14:paraId="4F4A3610" w14:textId="77777777" w:rsidR="00E03380" w:rsidRPr="00930B46" w:rsidRDefault="00E03380" w:rsidP="00931169">
            <w:pPr>
              <w:rPr>
                <w:rFonts w:cstheme="minorHAnsi"/>
                <w:b/>
                <w:sz w:val="22"/>
              </w:rPr>
            </w:pPr>
            <w:r w:rsidRPr="00930B46">
              <w:rPr>
                <w:rFonts w:cstheme="minorHAnsi"/>
                <w:b/>
                <w:sz w:val="22"/>
              </w:rPr>
              <w:t>2030</w:t>
            </w:r>
          </w:p>
        </w:tc>
        <w:tc>
          <w:tcPr>
            <w:tcW w:w="2303" w:type="dxa"/>
            <w:vAlign w:val="center"/>
          </w:tcPr>
          <w:p w14:paraId="6D08E152" w14:textId="77777777" w:rsidR="00E03380" w:rsidRPr="00930B46" w:rsidRDefault="00E03380" w:rsidP="00931169">
            <w:pPr>
              <w:rPr>
                <w:rFonts w:cstheme="minorHAnsi"/>
                <w:b/>
                <w:sz w:val="22"/>
              </w:rPr>
            </w:pPr>
            <w:r w:rsidRPr="00930B46">
              <w:rPr>
                <w:rFonts w:cstheme="minorHAnsi"/>
                <w:b/>
                <w:sz w:val="22"/>
              </w:rPr>
              <w:t>2040</w:t>
            </w:r>
          </w:p>
        </w:tc>
        <w:tc>
          <w:tcPr>
            <w:tcW w:w="2303" w:type="dxa"/>
            <w:vAlign w:val="center"/>
          </w:tcPr>
          <w:p w14:paraId="08B8FB02" w14:textId="77777777" w:rsidR="00E03380" w:rsidRPr="00930B46" w:rsidRDefault="00E03380" w:rsidP="00931169">
            <w:pPr>
              <w:rPr>
                <w:rFonts w:cstheme="minorHAnsi"/>
                <w:b/>
                <w:sz w:val="22"/>
              </w:rPr>
            </w:pPr>
            <w:r w:rsidRPr="00930B46">
              <w:rPr>
                <w:rFonts w:cstheme="minorHAnsi"/>
                <w:b/>
                <w:sz w:val="22"/>
              </w:rPr>
              <w:t>2050</w:t>
            </w:r>
          </w:p>
        </w:tc>
      </w:tr>
      <w:tr w:rsidR="00E03380" w:rsidRPr="00930B46" w14:paraId="40F7413E" w14:textId="77777777" w:rsidTr="00E03380">
        <w:trPr>
          <w:trHeight w:val="258"/>
        </w:trPr>
        <w:tc>
          <w:tcPr>
            <w:tcW w:w="2303" w:type="dxa"/>
            <w:vAlign w:val="center"/>
          </w:tcPr>
          <w:p w14:paraId="0AC741AC" w14:textId="77777777" w:rsidR="00E03380" w:rsidRPr="00930B46" w:rsidRDefault="00E03380" w:rsidP="00931169">
            <w:pPr>
              <w:rPr>
                <w:rFonts w:cstheme="minorHAnsi"/>
                <w:sz w:val="22"/>
              </w:rPr>
            </w:pPr>
            <w:r w:rsidRPr="00930B46">
              <w:rPr>
                <w:rFonts w:cstheme="minorHAnsi"/>
                <w:sz w:val="22"/>
              </w:rPr>
              <w:t>Bez realizácie projektu</w:t>
            </w:r>
          </w:p>
        </w:tc>
        <w:tc>
          <w:tcPr>
            <w:tcW w:w="2303" w:type="dxa"/>
            <w:vAlign w:val="center"/>
          </w:tcPr>
          <w:p w14:paraId="192F1803" w14:textId="77777777" w:rsidR="00E03380" w:rsidRPr="00930B46" w:rsidRDefault="00E03380" w:rsidP="00931169">
            <w:pPr>
              <w:rPr>
                <w:rFonts w:cstheme="minorHAnsi"/>
                <w:sz w:val="22"/>
              </w:rPr>
            </w:pPr>
            <w:r w:rsidRPr="00930B46">
              <w:rPr>
                <w:rFonts w:cstheme="minorHAnsi"/>
                <w:sz w:val="22"/>
              </w:rPr>
              <w:t>11,953</w:t>
            </w:r>
          </w:p>
        </w:tc>
        <w:tc>
          <w:tcPr>
            <w:tcW w:w="2303" w:type="dxa"/>
            <w:vAlign w:val="center"/>
          </w:tcPr>
          <w:p w14:paraId="3EB8EB3B" w14:textId="77777777" w:rsidR="00E03380" w:rsidRPr="00930B46" w:rsidRDefault="00E03380" w:rsidP="00931169">
            <w:pPr>
              <w:rPr>
                <w:rFonts w:cstheme="minorHAnsi"/>
                <w:sz w:val="22"/>
              </w:rPr>
            </w:pPr>
            <w:r w:rsidRPr="00930B46">
              <w:rPr>
                <w:rFonts w:cstheme="minorHAnsi"/>
                <w:sz w:val="22"/>
              </w:rPr>
              <w:t>12,000</w:t>
            </w:r>
          </w:p>
        </w:tc>
        <w:tc>
          <w:tcPr>
            <w:tcW w:w="2303" w:type="dxa"/>
            <w:vAlign w:val="center"/>
          </w:tcPr>
          <w:p w14:paraId="5724FC7E" w14:textId="77777777" w:rsidR="00E03380" w:rsidRPr="00930B46" w:rsidRDefault="00E03380" w:rsidP="00931169">
            <w:pPr>
              <w:rPr>
                <w:rFonts w:cstheme="minorHAnsi"/>
                <w:sz w:val="22"/>
              </w:rPr>
            </w:pPr>
            <w:r w:rsidRPr="00930B46">
              <w:rPr>
                <w:rFonts w:cstheme="minorHAnsi"/>
                <w:sz w:val="22"/>
              </w:rPr>
              <w:t>12,017</w:t>
            </w:r>
          </w:p>
        </w:tc>
      </w:tr>
      <w:tr w:rsidR="00E03380" w:rsidRPr="00930B46" w14:paraId="1AA2564F" w14:textId="77777777" w:rsidTr="00E03380">
        <w:trPr>
          <w:trHeight w:val="258"/>
        </w:trPr>
        <w:tc>
          <w:tcPr>
            <w:tcW w:w="2303" w:type="dxa"/>
            <w:vAlign w:val="center"/>
          </w:tcPr>
          <w:p w14:paraId="688ECEB3" w14:textId="77777777" w:rsidR="00E03380" w:rsidRPr="00930B46" w:rsidRDefault="00E03380" w:rsidP="00931169">
            <w:pPr>
              <w:rPr>
                <w:rFonts w:cstheme="minorHAnsi"/>
                <w:sz w:val="22"/>
              </w:rPr>
            </w:pPr>
            <w:r w:rsidRPr="00930B46">
              <w:rPr>
                <w:rFonts w:cstheme="minorHAnsi"/>
                <w:sz w:val="22"/>
              </w:rPr>
              <w:t>Minimálny variant</w:t>
            </w:r>
          </w:p>
        </w:tc>
        <w:tc>
          <w:tcPr>
            <w:tcW w:w="2303" w:type="dxa"/>
            <w:vAlign w:val="center"/>
          </w:tcPr>
          <w:p w14:paraId="499C8770" w14:textId="77777777" w:rsidR="00E03380" w:rsidRPr="00930B46" w:rsidRDefault="00E03380" w:rsidP="00931169">
            <w:pPr>
              <w:rPr>
                <w:rFonts w:cstheme="minorHAnsi"/>
                <w:sz w:val="22"/>
              </w:rPr>
            </w:pPr>
            <w:r w:rsidRPr="00930B46">
              <w:rPr>
                <w:rFonts w:cstheme="minorHAnsi"/>
                <w:sz w:val="22"/>
              </w:rPr>
              <w:t>11,999</w:t>
            </w:r>
          </w:p>
        </w:tc>
        <w:tc>
          <w:tcPr>
            <w:tcW w:w="2303" w:type="dxa"/>
            <w:vAlign w:val="center"/>
          </w:tcPr>
          <w:p w14:paraId="1504A86F" w14:textId="77777777" w:rsidR="00E03380" w:rsidRPr="00930B46" w:rsidRDefault="00E03380" w:rsidP="00931169">
            <w:pPr>
              <w:rPr>
                <w:rFonts w:cstheme="minorHAnsi"/>
                <w:sz w:val="22"/>
              </w:rPr>
            </w:pPr>
            <w:r w:rsidRPr="00930B46">
              <w:rPr>
                <w:rFonts w:cstheme="minorHAnsi"/>
                <w:sz w:val="22"/>
              </w:rPr>
              <w:t>12,046</w:t>
            </w:r>
          </w:p>
        </w:tc>
        <w:tc>
          <w:tcPr>
            <w:tcW w:w="2303" w:type="dxa"/>
            <w:vAlign w:val="center"/>
          </w:tcPr>
          <w:p w14:paraId="6EBE6E82" w14:textId="77777777" w:rsidR="00E03380" w:rsidRPr="00930B46" w:rsidRDefault="00E03380" w:rsidP="00931169">
            <w:pPr>
              <w:rPr>
                <w:rFonts w:cstheme="minorHAnsi"/>
                <w:sz w:val="22"/>
              </w:rPr>
            </w:pPr>
            <w:r w:rsidRPr="00930B46">
              <w:rPr>
                <w:rFonts w:cstheme="minorHAnsi"/>
                <w:sz w:val="22"/>
              </w:rPr>
              <w:t>12,063</w:t>
            </w:r>
          </w:p>
        </w:tc>
      </w:tr>
      <w:tr w:rsidR="00E03380" w:rsidRPr="00930B46" w14:paraId="7DD5FB13" w14:textId="77777777" w:rsidTr="00E03380">
        <w:trPr>
          <w:trHeight w:val="258"/>
        </w:trPr>
        <w:tc>
          <w:tcPr>
            <w:tcW w:w="2303" w:type="dxa"/>
            <w:vAlign w:val="center"/>
          </w:tcPr>
          <w:p w14:paraId="60D5C986" w14:textId="77777777" w:rsidR="00E03380" w:rsidRPr="00930B46" w:rsidRDefault="00E03380" w:rsidP="00931169">
            <w:pPr>
              <w:rPr>
                <w:rFonts w:cstheme="minorHAnsi"/>
                <w:sz w:val="22"/>
              </w:rPr>
            </w:pPr>
            <w:r w:rsidRPr="00930B46">
              <w:rPr>
                <w:rFonts w:cstheme="minorHAnsi"/>
                <w:sz w:val="22"/>
              </w:rPr>
              <w:t>Základný variant</w:t>
            </w:r>
          </w:p>
        </w:tc>
        <w:tc>
          <w:tcPr>
            <w:tcW w:w="2303" w:type="dxa"/>
            <w:vAlign w:val="center"/>
          </w:tcPr>
          <w:p w14:paraId="04A0F5B2" w14:textId="77777777" w:rsidR="00E03380" w:rsidRPr="00930B46" w:rsidRDefault="00E03380" w:rsidP="00931169">
            <w:pPr>
              <w:rPr>
                <w:rFonts w:cstheme="minorHAnsi"/>
                <w:sz w:val="22"/>
              </w:rPr>
            </w:pPr>
            <w:r w:rsidRPr="00930B46">
              <w:rPr>
                <w:rFonts w:cstheme="minorHAnsi"/>
                <w:sz w:val="22"/>
              </w:rPr>
              <w:t>12,005</w:t>
            </w:r>
          </w:p>
        </w:tc>
        <w:tc>
          <w:tcPr>
            <w:tcW w:w="2303" w:type="dxa"/>
            <w:vAlign w:val="center"/>
          </w:tcPr>
          <w:p w14:paraId="2DFE633D" w14:textId="77777777" w:rsidR="00E03380" w:rsidRPr="00930B46" w:rsidRDefault="00E03380" w:rsidP="00931169">
            <w:pPr>
              <w:rPr>
                <w:rFonts w:cstheme="minorHAnsi"/>
                <w:sz w:val="22"/>
              </w:rPr>
            </w:pPr>
            <w:r w:rsidRPr="00930B46">
              <w:rPr>
                <w:rFonts w:cstheme="minorHAnsi"/>
                <w:sz w:val="22"/>
              </w:rPr>
              <w:t>12,052</w:t>
            </w:r>
          </w:p>
        </w:tc>
        <w:tc>
          <w:tcPr>
            <w:tcW w:w="2303" w:type="dxa"/>
            <w:vAlign w:val="center"/>
          </w:tcPr>
          <w:p w14:paraId="1331F022" w14:textId="77777777" w:rsidR="00E03380" w:rsidRPr="00930B46" w:rsidRDefault="00E03380" w:rsidP="00931169">
            <w:pPr>
              <w:rPr>
                <w:rFonts w:cstheme="minorHAnsi"/>
                <w:sz w:val="22"/>
              </w:rPr>
            </w:pPr>
            <w:r w:rsidRPr="00930B46">
              <w:rPr>
                <w:rFonts w:cstheme="minorHAnsi"/>
                <w:sz w:val="22"/>
              </w:rPr>
              <w:t>12,069</w:t>
            </w:r>
          </w:p>
        </w:tc>
      </w:tr>
      <w:tr w:rsidR="00E03380" w:rsidRPr="00930B46" w14:paraId="2B7F2B35" w14:textId="77777777" w:rsidTr="00E03380">
        <w:trPr>
          <w:trHeight w:val="258"/>
        </w:trPr>
        <w:tc>
          <w:tcPr>
            <w:tcW w:w="2303" w:type="dxa"/>
            <w:vAlign w:val="center"/>
          </w:tcPr>
          <w:p w14:paraId="150E06FC" w14:textId="77777777" w:rsidR="00E03380" w:rsidRPr="00930B46" w:rsidRDefault="00E03380" w:rsidP="00931169">
            <w:pPr>
              <w:rPr>
                <w:rFonts w:cstheme="minorHAnsi"/>
                <w:sz w:val="22"/>
              </w:rPr>
            </w:pPr>
            <w:r w:rsidRPr="00930B46">
              <w:rPr>
                <w:rFonts w:cstheme="minorHAnsi"/>
                <w:sz w:val="22"/>
              </w:rPr>
              <w:t>Stredný variant</w:t>
            </w:r>
          </w:p>
        </w:tc>
        <w:tc>
          <w:tcPr>
            <w:tcW w:w="2303" w:type="dxa"/>
            <w:vAlign w:val="center"/>
          </w:tcPr>
          <w:p w14:paraId="562EA76B" w14:textId="77777777" w:rsidR="00E03380" w:rsidRPr="00930B46" w:rsidRDefault="00E03380" w:rsidP="00931169">
            <w:pPr>
              <w:rPr>
                <w:rFonts w:cstheme="minorHAnsi"/>
                <w:sz w:val="22"/>
              </w:rPr>
            </w:pPr>
            <w:r w:rsidRPr="00930B46">
              <w:rPr>
                <w:rFonts w:cstheme="minorHAnsi"/>
                <w:sz w:val="22"/>
              </w:rPr>
              <w:t>12,010</w:t>
            </w:r>
          </w:p>
        </w:tc>
        <w:tc>
          <w:tcPr>
            <w:tcW w:w="2303" w:type="dxa"/>
            <w:vAlign w:val="center"/>
          </w:tcPr>
          <w:p w14:paraId="56D9A4B6" w14:textId="77777777" w:rsidR="00E03380" w:rsidRPr="00930B46" w:rsidRDefault="00E03380" w:rsidP="00931169">
            <w:pPr>
              <w:rPr>
                <w:rFonts w:cstheme="minorHAnsi"/>
                <w:sz w:val="22"/>
              </w:rPr>
            </w:pPr>
            <w:r w:rsidRPr="00930B46">
              <w:rPr>
                <w:rFonts w:cstheme="minorHAnsi"/>
                <w:sz w:val="22"/>
              </w:rPr>
              <w:t>12,057</w:t>
            </w:r>
          </w:p>
        </w:tc>
        <w:tc>
          <w:tcPr>
            <w:tcW w:w="2303" w:type="dxa"/>
            <w:vAlign w:val="center"/>
          </w:tcPr>
          <w:p w14:paraId="7690C915" w14:textId="77777777" w:rsidR="00E03380" w:rsidRPr="00930B46" w:rsidRDefault="00E03380" w:rsidP="00931169">
            <w:pPr>
              <w:rPr>
                <w:rFonts w:cstheme="minorHAnsi"/>
                <w:sz w:val="22"/>
              </w:rPr>
            </w:pPr>
            <w:r w:rsidRPr="00930B46">
              <w:rPr>
                <w:rFonts w:cstheme="minorHAnsi"/>
                <w:sz w:val="22"/>
              </w:rPr>
              <w:t>12,074</w:t>
            </w:r>
          </w:p>
        </w:tc>
      </w:tr>
    </w:tbl>
    <w:p w14:paraId="48A95E67" w14:textId="77777777" w:rsidR="00E03380" w:rsidRPr="00930B46" w:rsidRDefault="00E03380" w:rsidP="00931169">
      <w:pPr>
        <w:rPr>
          <w:rFonts w:cstheme="minorHAnsi"/>
          <w:szCs w:val="24"/>
        </w:rPr>
      </w:pPr>
    </w:p>
    <w:p w14:paraId="24978091" w14:textId="7B990921" w:rsidR="00E03380" w:rsidRPr="00930B46" w:rsidRDefault="00E03380" w:rsidP="00931169">
      <w:pPr>
        <w:rPr>
          <w:rFonts w:cstheme="minorHAnsi"/>
          <w:szCs w:val="24"/>
        </w:rPr>
      </w:pPr>
      <w:r w:rsidRPr="00930B46">
        <w:rPr>
          <w:rFonts w:cstheme="minorHAnsi"/>
          <w:szCs w:val="24"/>
        </w:rPr>
        <w:t>Podrobné informácie týkajúce sa predikcie vývoja prepravných výkonov zamýšľaných investičných zámerov sú v priložených  súboroch programu EXCEL</w:t>
      </w:r>
      <w:r w:rsidR="00E51179">
        <w:rPr>
          <w:rFonts w:cstheme="minorHAnsi"/>
          <w:szCs w:val="24"/>
        </w:rPr>
        <w:t xml:space="preserve"> v časti E – Dopravný model</w:t>
      </w:r>
      <w:r w:rsidRPr="00930B46">
        <w:rPr>
          <w:rFonts w:cstheme="minorHAnsi"/>
          <w:szCs w:val="24"/>
        </w:rPr>
        <w:t>:</w:t>
      </w:r>
    </w:p>
    <w:p w14:paraId="632C0AC6" w14:textId="77777777" w:rsidR="00E03380" w:rsidRPr="00930B46" w:rsidRDefault="00E03380" w:rsidP="00931169">
      <w:pPr>
        <w:pStyle w:val="Odsekzoznamu"/>
        <w:numPr>
          <w:ilvl w:val="0"/>
          <w:numId w:val="22"/>
        </w:numPr>
        <w:spacing w:before="120" w:after="0"/>
        <w:jc w:val="both"/>
        <w:rPr>
          <w:rFonts w:cstheme="minorHAnsi"/>
          <w:sz w:val="24"/>
          <w:szCs w:val="24"/>
        </w:rPr>
      </w:pPr>
      <w:r w:rsidRPr="00930B46">
        <w:rPr>
          <w:rFonts w:cstheme="minorHAnsi"/>
          <w:sz w:val="24"/>
          <w:szCs w:val="24"/>
        </w:rPr>
        <w:t>Elektronická verzia, Na odovzdanie, dopravný model, nákladná doprava, minimálny variant.xlsx;</w:t>
      </w:r>
    </w:p>
    <w:p w14:paraId="2BA62E70" w14:textId="77777777" w:rsidR="00E03380" w:rsidRPr="00930B46" w:rsidRDefault="00E03380" w:rsidP="00931169">
      <w:pPr>
        <w:pStyle w:val="Odsekzoznamu"/>
        <w:numPr>
          <w:ilvl w:val="0"/>
          <w:numId w:val="22"/>
        </w:numPr>
        <w:spacing w:before="120" w:after="0"/>
        <w:jc w:val="both"/>
        <w:rPr>
          <w:rFonts w:cstheme="minorHAnsi"/>
          <w:sz w:val="24"/>
          <w:szCs w:val="24"/>
        </w:rPr>
      </w:pPr>
      <w:r w:rsidRPr="00930B46">
        <w:rPr>
          <w:rFonts w:cstheme="minorHAnsi"/>
          <w:sz w:val="24"/>
          <w:szCs w:val="24"/>
        </w:rPr>
        <w:t>Elektronická verzia, Na odovzdanie, dopravný model, nákladná doprava, základný variant.xlsx;</w:t>
      </w:r>
    </w:p>
    <w:p w14:paraId="215056BB" w14:textId="77777777" w:rsidR="00E03380" w:rsidRPr="00930B46" w:rsidRDefault="00E03380" w:rsidP="00931169">
      <w:pPr>
        <w:pStyle w:val="Odsekzoznamu"/>
        <w:numPr>
          <w:ilvl w:val="0"/>
          <w:numId w:val="22"/>
        </w:numPr>
        <w:spacing w:before="120" w:after="0"/>
        <w:jc w:val="both"/>
        <w:rPr>
          <w:rFonts w:cstheme="minorHAnsi"/>
          <w:sz w:val="24"/>
          <w:szCs w:val="24"/>
        </w:rPr>
      </w:pPr>
      <w:r w:rsidRPr="00930B46">
        <w:rPr>
          <w:rFonts w:cstheme="minorHAnsi"/>
          <w:sz w:val="24"/>
          <w:szCs w:val="24"/>
        </w:rPr>
        <w:t>Elektronická verzia, Na odovzdanie, dopravný model, nákladná doprava, stredný variant.xlsx.</w:t>
      </w:r>
    </w:p>
    <w:p w14:paraId="221C07D2" w14:textId="77777777" w:rsidR="00E03380" w:rsidRPr="00930B46" w:rsidRDefault="00E03380" w:rsidP="00931169">
      <w:pPr>
        <w:rPr>
          <w:rFonts w:cstheme="minorHAnsi"/>
          <w:szCs w:val="24"/>
        </w:rPr>
      </w:pPr>
    </w:p>
    <w:p w14:paraId="2864CC7F" w14:textId="77777777" w:rsidR="00E03380" w:rsidRPr="00930B46" w:rsidRDefault="00E03380" w:rsidP="00931169">
      <w:pPr>
        <w:rPr>
          <w:rFonts w:cstheme="minorHAnsi"/>
        </w:rPr>
      </w:pPr>
    </w:p>
    <w:p w14:paraId="3E05E95F" w14:textId="77777777" w:rsidR="00FE79AB" w:rsidRPr="00930B46" w:rsidRDefault="00FE79AB" w:rsidP="00931169">
      <w:pPr>
        <w:spacing w:after="200" w:line="276" w:lineRule="auto"/>
        <w:rPr>
          <w:rFonts w:cstheme="minorHAnsi"/>
        </w:rPr>
      </w:pPr>
      <w:r w:rsidRPr="00930B46">
        <w:rPr>
          <w:rFonts w:cstheme="minorHAnsi"/>
        </w:rPr>
        <w:br w:type="page"/>
      </w:r>
    </w:p>
    <w:p w14:paraId="11D2D785" w14:textId="294CA1F3" w:rsidR="001A24C3" w:rsidRPr="001A24C3" w:rsidRDefault="005B6C21" w:rsidP="001A24C3">
      <w:pPr>
        <w:pStyle w:val="Nadpis1"/>
        <w:numPr>
          <w:ilvl w:val="0"/>
          <w:numId w:val="72"/>
        </w:numPr>
        <w:rPr>
          <w:rFonts w:cstheme="minorHAnsi"/>
          <w:caps/>
        </w:rPr>
      </w:pPr>
      <w:bookmarkStart w:id="209" w:name="_Toc88652964"/>
      <w:r>
        <w:rPr>
          <w:rFonts w:cstheme="minorHAnsi"/>
          <w:caps/>
        </w:rPr>
        <w:lastRenderedPageBreak/>
        <w:t>Analýza Nákladov a výnosov</w:t>
      </w:r>
      <w:bookmarkStart w:id="210" w:name="_Hlk88641742"/>
      <w:bookmarkEnd w:id="209"/>
    </w:p>
    <w:p w14:paraId="60A2B84B" w14:textId="77777777" w:rsidR="001A24C3" w:rsidRDefault="001A24C3" w:rsidP="001A24C3"/>
    <w:p w14:paraId="7D5933D8" w14:textId="77777777" w:rsidR="001A24C3" w:rsidRPr="001A24C3" w:rsidRDefault="001A24C3" w:rsidP="001A24C3">
      <w:pPr>
        <w:pStyle w:val="Odsekzoznamu"/>
        <w:keepNext/>
        <w:keepLines/>
        <w:numPr>
          <w:ilvl w:val="0"/>
          <w:numId w:val="77"/>
        </w:numPr>
        <w:spacing w:after="120" w:line="259" w:lineRule="auto"/>
        <w:contextualSpacing w:val="0"/>
        <w:outlineLvl w:val="0"/>
        <w:rPr>
          <w:rFonts w:asciiTheme="majorHAnsi" w:eastAsiaTheme="majorEastAsia" w:hAnsiTheme="majorHAnsi" w:cstheme="majorBidi"/>
          <w:vanish/>
          <w:color w:val="365F91" w:themeColor="accent1" w:themeShade="BF"/>
          <w:sz w:val="32"/>
          <w:szCs w:val="32"/>
        </w:rPr>
      </w:pPr>
      <w:bookmarkStart w:id="211" w:name="_Toc88650009"/>
      <w:bookmarkStart w:id="212" w:name="_Toc88652965"/>
      <w:bookmarkStart w:id="213" w:name="_Toc83677857"/>
      <w:bookmarkStart w:id="214" w:name="_Hlk88641874"/>
      <w:bookmarkEnd w:id="211"/>
      <w:bookmarkEnd w:id="212"/>
    </w:p>
    <w:p w14:paraId="09570875" w14:textId="77777777" w:rsidR="001A24C3" w:rsidRPr="001A24C3" w:rsidRDefault="001A24C3" w:rsidP="001A24C3">
      <w:pPr>
        <w:pStyle w:val="Odsekzoznamu"/>
        <w:keepNext/>
        <w:keepLines/>
        <w:numPr>
          <w:ilvl w:val="0"/>
          <w:numId w:val="77"/>
        </w:numPr>
        <w:spacing w:after="120" w:line="259" w:lineRule="auto"/>
        <w:contextualSpacing w:val="0"/>
        <w:outlineLvl w:val="0"/>
        <w:rPr>
          <w:rFonts w:asciiTheme="majorHAnsi" w:eastAsiaTheme="majorEastAsia" w:hAnsiTheme="majorHAnsi" w:cstheme="majorBidi"/>
          <w:vanish/>
          <w:color w:val="365F91" w:themeColor="accent1" w:themeShade="BF"/>
          <w:sz w:val="32"/>
          <w:szCs w:val="32"/>
        </w:rPr>
      </w:pPr>
      <w:bookmarkStart w:id="215" w:name="_Toc88650010"/>
      <w:bookmarkStart w:id="216" w:name="_Toc88652966"/>
      <w:bookmarkEnd w:id="215"/>
      <w:bookmarkEnd w:id="216"/>
    </w:p>
    <w:p w14:paraId="03326312" w14:textId="77777777" w:rsidR="001A24C3" w:rsidRPr="001A24C3" w:rsidRDefault="001A24C3" w:rsidP="001A24C3">
      <w:pPr>
        <w:pStyle w:val="Odsekzoznamu"/>
        <w:keepNext/>
        <w:keepLines/>
        <w:numPr>
          <w:ilvl w:val="0"/>
          <w:numId w:val="77"/>
        </w:numPr>
        <w:spacing w:after="120" w:line="259" w:lineRule="auto"/>
        <w:contextualSpacing w:val="0"/>
        <w:outlineLvl w:val="0"/>
        <w:rPr>
          <w:rFonts w:asciiTheme="majorHAnsi" w:eastAsiaTheme="majorEastAsia" w:hAnsiTheme="majorHAnsi" w:cstheme="majorBidi"/>
          <w:vanish/>
          <w:color w:val="365F91" w:themeColor="accent1" w:themeShade="BF"/>
          <w:sz w:val="32"/>
          <w:szCs w:val="32"/>
        </w:rPr>
      </w:pPr>
      <w:bookmarkStart w:id="217" w:name="_Toc88650011"/>
      <w:bookmarkStart w:id="218" w:name="_Toc88652967"/>
      <w:bookmarkEnd w:id="217"/>
      <w:bookmarkEnd w:id="218"/>
    </w:p>
    <w:p w14:paraId="4BFA2DEB" w14:textId="77777777" w:rsidR="001A24C3" w:rsidRPr="001A24C3" w:rsidRDefault="001A24C3" w:rsidP="001A24C3">
      <w:pPr>
        <w:pStyle w:val="Odsekzoznamu"/>
        <w:keepNext/>
        <w:keepLines/>
        <w:numPr>
          <w:ilvl w:val="0"/>
          <w:numId w:val="77"/>
        </w:numPr>
        <w:spacing w:after="120" w:line="259" w:lineRule="auto"/>
        <w:contextualSpacing w:val="0"/>
        <w:outlineLvl w:val="0"/>
        <w:rPr>
          <w:rFonts w:asciiTheme="majorHAnsi" w:eastAsiaTheme="majorEastAsia" w:hAnsiTheme="majorHAnsi" w:cstheme="majorBidi"/>
          <w:vanish/>
          <w:color w:val="365F91" w:themeColor="accent1" w:themeShade="BF"/>
          <w:sz w:val="32"/>
          <w:szCs w:val="32"/>
        </w:rPr>
      </w:pPr>
      <w:bookmarkStart w:id="219" w:name="_Toc88650012"/>
      <w:bookmarkStart w:id="220" w:name="_Toc88652968"/>
      <w:bookmarkEnd w:id="219"/>
      <w:bookmarkEnd w:id="220"/>
    </w:p>
    <w:p w14:paraId="0E32AEB6" w14:textId="77777777" w:rsidR="001A24C3" w:rsidRPr="001A24C3" w:rsidRDefault="001A24C3" w:rsidP="001A24C3">
      <w:pPr>
        <w:pStyle w:val="Odsekzoznamu"/>
        <w:keepNext/>
        <w:keepLines/>
        <w:numPr>
          <w:ilvl w:val="0"/>
          <w:numId w:val="77"/>
        </w:numPr>
        <w:spacing w:after="120" w:line="259" w:lineRule="auto"/>
        <w:contextualSpacing w:val="0"/>
        <w:outlineLvl w:val="0"/>
        <w:rPr>
          <w:rFonts w:asciiTheme="majorHAnsi" w:eastAsiaTheme="majorEastAsia" w:hAnsiTheme="majorHAnsi" w:cstheme="majorBidi"/>
          <w:vanish/>
          <w:color w:val="365F91" w:themeColor="accent1" w:themeShade="BF"/>
          <w:sz w:val="32"/>
          <w:szCs w:val="32"/>
        </w:rPr>
      </w:pPr>
      <w:bookmarkStart w:id="221" w:name="_Toc88650013"/>
      <w:bookmarkStart w:id="222" w:name="_Toc88652969"/>
      <w:bookmarkEnd w:id="221"/>
      <w:bookmarkEnd w:id="222"/>
    </w:p>
    <w:p w14:paraId="4B4CBB77" w14:textId="77777777" w:rsidR="001A24C3" w:rsidRPr="001A24C3" w:rsidRDefault="001A24C3" w:rsidP="001A24C3">
      <w:pPr>
        <w:pStyle w:val="Odsekzoznamu"/>
        <w:keepNext/>
        <w:keepLines/>
        <w:numPr>
          <w:ilvl w:val="0"/>
          <w:numId w:val="77"/>
        </w:numPr>
        <w:spacing w:after="120" w:line="259" w:lineRule="auto"/>
        <w:contextualSpacing w:val="0"/>
        <w:outlineLvl w:val="0"/>
        <w:rPr>
          <w:rFonts w:asciiTheme="majorHAnsi" w:eastAsiaTheme="majorEastAsia" w:hAnsiTheme="majorHAnsi" w:cstheme="majorBidi"/>
          <w:vanish/>
          <w:color w:val="365F91" w:themeColor="accent1" w:themeShade="BF"/>
          <w:sz w:val="32"/>
          <w:szCs w:val="32"/>
        </w:rPr>
      </w:pPr>
      <w:bookmarkStart w:id="223" w:name="_Toc88650014"/>
      <w:bookmarkStart w:id="224" w:name="_Toc88652970"/>
      <w:bookmarkEnd w:id="223"/>
      <w:bookmarkEnd w:id="224"/>
    </w:p>
    <w:p w14:paraId="4F79B352" w14:textId="77777777" w:rsidR="001A24C3" w:rsidRPr="001A24C3" w:rsidRDefault="001A24C3" w:rsidP="001A24C3">
      <w:pPr>
        <w:pStyle w:val="Odsekzoznamu"/>
        <w:keepNext/>
        <w:keepLines/>
        <w:numPr>
          <w:ilvl w:val="0"/>
          <w:numId w:val="77"/>
        </w:numPr>
        <w:spacing w:after="120" w:line="259" w:lineRule="auto"/>
        <w:contextualSpacing w:val="0"/>
        <w:outlineLvl w:val="0"/>
        <w:rPr>
          <w:rFonts w:asciiTheme="majorHAnsi" w:eastAsiaTheme="majorEastAsia" w:hAnsiTheme="majorHAnsi" w:cstheme="majorBidi"/>
          <w:vanish/>
          <w:color w:val="365F91" w:themeColor="accent1" w:themeShade="BF"/>
          <w:sz w:val="32"/>
          <w:szCs w:val="32"/>
        </w:rPr>
      </w:pPr>
      <w:bookmarkStart w:id="225" w:name="_Toc88650015"/>
      <w:bookmarkStart w:id="226" w:name="_Toc88652971"/>
      <w:bookmarkEnd w:id="225"/>
      <w:bookmarkEnd w:id="226"/>
    </w:p>
    <w:p w14:paraId="5D85112D" w14:textId="59C0AB55" w:rsidR="001A24C3" w:rsidRPr="00FE7FAB" w:rsidRDefault="001A24C3" w:rsidP="001A24C3">
      <w:pPr>
        <w:pStyle w:val="Nadpis21"/>
        <w:tabs>
          <w:tab w:val="num" w:pos="401"/>
        </w:tabs>
        <w:ind w:left="718"/>
        <w:rPr>
          <w:color w:val="00B050"/>
        </w:rPr>
      </w:pPr>
      <w:bookmarkStart w:id="227" w:name="_Toc88652972"/>
      <w:r w:rsidRPr="00FE7FAB">
        <w:rPr>
          <w:color w:val="00B050"/>
        </w:rPr>
        <w:t>Všeobecné informácie týkajúce finančnej a ekonomickej analýzy</w:t>
      </w:r>
      <w:bookmarkEnd w:id="213"/>
      <w:bookmarkEnd w:id="227"/>
    </w:p>
    <w:p w14:paraId="54F0D5D2" w14:textId="77777777" w:rsidR="001A24C3" w:rsidRPr="001A24C3" w:rsidRDefault="001A24C3" w:rsidP="001A24C3">
      <w:pPr>
        <w:pStyle w:val="Nadpis31"/>
        <w:rPr>
          <w:color w:val="auto"/>
        </w:rPr>
      </w:pPr>
      <w:bookmarkStart w:id="228" w:name="_Toc25603682"/>
      <w:bookmarkStart w:id="229" w:name="_Toc83677858"/>
      <w:bookmarkStart w:id="230" w:name="_Toc88652973"/>
      <w:r w:rsidRPr="001A24C3">
        <w:rPr>
          <w:color w:val="auto"/>
        </w:rPr>
        <w:t>Definícia finančnej a ekonomickej analýzy</w:t>
      </w:r>
      <w:bookmarkEnd w:id="228"/>
      <w:bookmarkEnd w:id="229"/>
      <w:bookmarkEnd w:id="230"/>
    </w:p>
    <w:p w14:paraId="3647B766" w14:textId="77777777" w:rsidR="001A24C3" w:rsidRPr="00353056" w:rsidRDefault="001A24C3" w:rsidP="001A24C3">
      <w:pPr>
        <w:pStyle w:val="TextKoice0"/>
        <w:spacing w:after="240"/>
      </w:pPr>
      <w:r w:rsidRPr="000E1FFA">
        <w:t xml:space="preserve">Finančná analýza je analytický nástroj </w:t>
      </w:r>
      <w:r>
        <w:t xml:space="preserve">na </w:t>
      </w:r>
      <w:r w:rsidRPr="000E1FFA">
        <w:t xml:space="preserve">efektívne </w:t>
      </w:r>
      <w:r>
        <w:t xml:space="preserve">zhodnotenie príjmov a nákladov realizovaného projektu. Jeho výsledky nám umožňujú rozhodnúť sa </w:t>
      </w:r>
      <w:r w:rsidRPr="000E1FFA">
        <w:t>o</w:t>
      </w:r>
      <w:r>
        <w:t> </w:t>
      </w:r>
      <w:r w:rsidRPr="000E1FFA">
        <w:t>realizovaní</w:t>
      </w:r>
      <w:r>
        <w:t>,</w:t>
      </w:r>
      <w:r w:rsidRPr="000E1FFA">
        <w:t xml:space="preserve"> resp. nerealizovaní plánovaného projektu. </w:t>
      </w:r>
      <w:r>
        <w:t xml:space="preserve">Vieme zistiť, či predpokladané výsledky sa zhodujú s našim predstavami a zároveň vieme takto aj vypočítať eventuálne výpočtami potvrdiť správnosť </w:t>
      </w:r>
      <w:r w:rsidRPr="000E1FFA">
        <w:t>vypočítaného príspevku z EŠIF a ostatných zdrojov (spolufinancovanie štátneho rozpočtu a spolufinancovanie (príspevok žiadateľa</w:t>
      </w:r>
      <w:r>
        <w:t>, ak je relevantný</w:t>
      </w:r>
      <w:r w:rsidRPr="000E1FFA">
        <w:t>)</w:t>
      </w:r>
      <w:r>
        <w:t>)</w:t>
      </w:r>
      <w:r w:rsidRPr="000E1FFA">
        <w:t xml:space="preserve"> pre projekt podávaný na schválenie príslušnému riadiacemu orgánu.</w:t>
      </w:r>
      <w:r>
        <w:t xml:space="preserve"> V prípade ekonomickej analýzy je prístup podobný, avšak tu rozhodujeme o celospoločenskom projekte pre spoločnosť ako celok a nepočítame výšku príslušného grantu.</w:t>
      </w:r>
    </w:p>
    <w:p w14:paraId="7853A349" w14:textId="77777777" w:rsidR="001A24C3" w:rsidRPr="001A24C3" w:rsidRDefault="001A24C3" w:rsidP="001A24C3">
      <w:pPr>
        <w:pStyle w:val="Nadpis31"/>
        <w:rPr>
          <w:color w:val="auto"/>
        </w:rPr>
      </w:pPr>
      <w:bookmarkStart w:id="231" w:name="_Toc535173572"/>
      <w:bookmarkStart w:id="232" w:name="_Toc24839018"/>
      <w:bookmarkStart w:id="233" w:name="_Toc25162032"/>
      <w:bookmarkStart w:id="234" w:name="_Toc25603683"/>
      <w:bookmarkStart w:id="235" w:name="_Toc83677859"/>
      <w:bookmarkStart w:id="236" w:name="_Toc88652974"/>
      <w:r w:rsidRPr="001A24C3">
        <w:rPr>
          <w:color w:val="auto"/>
        </w:rPr>
        <w:t>Projekty generujúce príjem</w:t>
      </w:r>
      <w:bookmarkEnd w:id="231"/>
      <w:bookmarkEnd w:id="232"/>
      <w:bookmarkEnd w:id="233"/>
      <w:bookmarkEnd w:id="234"/>
      <w:bookmarkEnd w:id="235"/>
      <w:bookmarkEnd w:id="236"/>
    </w:p>
    <w:p w14:paraId="3BAC228D" w14:textId="77777777" w:rsidR="001A24C3" w:rsidRPr="00353056" w:rsidRDefault="001A24C3" w:rsidP="001A24C3">
      <w:pPr>
        <w:pStyle w:val="TextKoice0"/>
        <w:spacing w:after="240"/>
      </w:pPr>
      <w:r w:rsidRPr="000E1FFA">
        <w:t>Ak projekt generuje príjem, to znamená, že užívatelia platia za jeho používanie (napr. diaľnice a rýchlostné cesty</w:t>
      </w:r>
      <w:r>
        <w:t xml:space="preserve"> – diaľničné známky, železničná trať – poplatok za dopravnú cestu, vlak a MHD cestovný lístok</w:t>
      </w:r>
      <w:r w:rsidRPr="000E1FFA">
        <w:t>) je potrebné vypočítať výšku adekvátneho grantu. Inak povedané, z grantu je možné dofinancovať</w:t>
      </w:r>
      <w:r>
        <w:t xml:space="preserve"> </w:t>
      </w:r>
      <w:r w:rsidRPr="000E1FFA">
        <w:t>iba to, čo si projekt sám počas referenčného obdobia na seba nezarobí. V prípade, že projekt negeneruje príjem, je spravidla možné financovať všetky oprávnené náklady podľa s</w:t>
      </w:r>
      <w:r>
        <w:t>chválenej schémy financovania.</w:t>
      </w:r>
    </w:p>
    <w:p w14:paraId="55B65EF4" w14:textId="77777777" w:rsidR="001A24C3" w:rsidRPr="001A24C3" w:rsidRDefault="001A24C3" w:rsidP="001A24C3">
      <w:pPr>
        <w:pStyle w:val="Nadpis31"/>
        <w:rPr>
          <w:color w:val="auto"/>
        </w:rPr>
      </w:pPr>
      <w:bookmarkStart w:id="237" w:name="_Toc535173573"/>
      <w:bookmarkStart w:id="238" w:name="_Toc24839019"/>
      <w:bookmarkStart w:id="239" w:name="_Toc25162033"/>
      <w:bookmarkStart w:id="240" w:name="_Toc25603684"/>
      <w:bookmarkStart w:id="241" w:name="_Toc83677860"/>
      <w:bookmarkStart w:id="242" w:name="_Toc88652975"/>
      <w:r w:rsidRPr="001A24C3">
        <w:rPr>
          <w:color w:val="auto"/>
        </w:rPr>
        <w:t>Použitie prírastkovej metódy</w:t>
      </w:r>
      <w:bookmarkEnd w:id="237"/>
      <w:bookmarkEnd w:id="238"/>
      <w:bookmarkEnd w:id="239"/>
      <w:bookmarkEnd w:id="240"/>
      <w:bookmarkEnd w:id="241"/>
      <w:bookmarkEnd w:id="242"/>
    </w:p>
    <w:p w14:paraId="5065876A" w14:textId="77777777" w:rsidR="001A24C3" w:rsidRDefault="001A24C3" w:rsidP="001A24C3">
      <w:pPr>
        <w:pStyle w:val="TextKoice0"/>
        <w:spacing w:after="240"/>
        <w:rPr>
          <w:rFonts w:ascii="Times New Roman" w:hAnsi="Times New Roman"/>
          <w:sz w:val="24"/>
          <w:szCs w:val="24"/>
        </w:rPr>
      </w:pPr>
      <w:r w:rsidRPr="000E1FFA">
        <w:t xml:space="preserve">Všetky výpočty vo finančnej </w:t>
      </w:r>
      <w:r>
        <w:t xml:space="preserve"> a ekonomickej </w:t>
      </w:r>
      <w:r w:rsidRPr="000E1FFA">
        <w:t>analýze sú spracovávané ako rozdielové, teda rozdiel medzi stavom „s projektom“ a stavom „bez projektu“. Takého hodnoty sa v CBA terminológií nazývajú „prírastkové hodnoty“</w:t>
      </w:r>
      <w:r>
        <w:t>,</w:t>
      </w:r>
      <w:r w:rsidRPr="000E1FFA">
        <w:t xml:space="preserve"> resp. z angl. „inkrementálne hodnoty“. Na základe tohto pravidla možno aj projekt, za ktorého </w:t>
      </w:r>
      <w:r>
        <w:t>po</w:t>
      </w:r>
      <w:r w:rsidRPr="000E1FFA">
        <w:t xml:space="preserve">užívanie sa platí v prípade, že ide </w:t>
      </w:r>
      <w:r>
        <w:t xml:space="preserve">napr. o </w:t>
      </w:r>
      <w:r w:rsidRPr="000E1FFA">
        <w:t>modernizáci</w:t>
      </w:r>
      <w:r>
        <w:t>u</w:t>
      </w:r>
      <w:r w:rsidRPr="000E1FFA">
        <w:t xml:space="preserve">, pri ktorej nedošlo k žiadnej zmene poplatku ani cenovej politiky považovať za negenerujúci čistý príjem. </w:t>
      </w:r>
      <w:r w:rsidRPr="000E1FFA">
        <w:lastRenderedPageBreak/>
        <w:t xml:space="preserve">V tomto prípade síce </w:t>
      </w:r>
      <w:r>
        <w:t>po</w:t>
      </w:r>
      <w:r w:rsidRPr="000E1FFA">
        <w:t xml:space="preserve">užívatelia platia za </w:t>
      </w:r>
      <w:r>
        <w:t>po</w:t>
      </w:r>
      <w:r w:rsidRPr="000E1FFA">
        <w:t>užívanie, ale je možné zároveň získať 100 % výšku grantu.</w:t>
      </w:r>
    </w:p>
    <w:p w14:paraId="6208C001" w14:textId="77777777" w:rsidR="001A24C3" w:rsidRPr="001A24C3" w:rsidRDefault="001A24C3" w:rsidP="001A24C3">
      <w:pPr>
        <w:pStyle w:val="Nadpis31"/>
        <w:rPr>
          <w:color w:val="auto"/>
        </w:rPr>
      </w:pPr>
      <w:bookmarkStart w:id="243" w:name="_Toc535173574"/>
      <w:bookmarkStart w:id="244" w:name="_Toc24839020"/>
      <w:bookmarkStart w:id="245" w:name="_Toc25162034"/>
      <w:bookmarkStart w:id="246" w:name="_Toc25603685"/>
      <w:bookmarkStart w:id="247" w:name="_Toc83677861"/>
      <w:bookmarkStart w:id="248" w:name="_Toc88652976"/>
      <w:r w:rsidRPr="001A24C3">
        <w:rPr>
          <w:color w:val="auto"/>
        </w:rPr>
        <w:t>Stále ceny v porovnaní s bežnými cenami</w:t>
      </w:r>
      <w:bookmarkEnd w:id="243"/>
      <w:bookmarkEnd w:id="244"/>
      <w:bookmarkEnd w:id="245"/>
      <w:bookmarkEnd w:id="246"/>
      <w:bookmarkEnd w:id="247"/>
      <w:bookmarkEnd w:id="248"/>
    </w:p>
    <w:p w14:paraId="17C16B33" w14:textId="57F54BEB" w:rsidR="001A24C3" w:rsidRDefault="001A24C3" w:rsidP="001A24C3">
      <w:pPr>
        <w:pStyle w:val="TextKoice0"/>
      </w:pPr>
      <w:r w:rsidRPr="000E1FFA">
        <w:t xml:space="preserve">Pri výpočte jednotlivých výsledkov sú hodnoty vo finančnej analýze bez cenovej úpravy. To znamená, že do výpočtu nevstupuje </w:t>
      </w:r>
      <w:r w:rsidRPr="000E1FFA">
        <w:rPr>
          <w:b/>
        </w:rPr>
        <w:t xml:space="preserve">inflácia. </w:t>
      </w:r>
      <w:r w:rsidRPr="000E1FFA">
        <w:t>Cieľom finančnej analýzy nie je vypočítať výšku inflácie pred projektom a po projekte a stanoviť poplatky počas referenčného obdobia, ale porovnať, či samotnou realizáciou dôjde k pozitívnym alebo skôr negatívnym zmenám. Inak povedané, na posúdenie vhodnosti projektu inflácia nepôsobí, pretože tá by sa v rovnakej miere dotýkala tak investičných nákladov ako aj prevádzkových nákladov a zároveň prínosov.</w:t>
      </w:r>
    </w:p>
    <w:p w14:paraId="723A4191" w14:textId="77777777" w:rsidR="001A24C3" w:rsidRDefault="001A24C3" w:rsidP="001A24C3">
      <w:pPr>
        <w:pStyle w:val="TextKoice0"/>
      </w:pPr>
    </w:p>
    <w:p w14:paraId="3FF240CD" w14:textId="77777777" w:rsidR="001A24C3" w:rsidRPr="001A24C3" w:rsidRDefault="001A24C3" w:rsidP="001A24C3">
      <w:pPr>
        <w:pStyle w:val="Nadpis31"/>
        <w:rPr>
          <w:color w:val="auto"/>
        </w:rPr>
      </w:pPr>
      <w:bookmarkStart w:id="249" w:name="_Toc535173575"/>
      <w:bookmarkStart w:id="250" w:name="_Toc24839021"/>
      <w:bookmarkStart w:id="251" w:name="_Toc25162035"/>
      <w:bookmarkStart w:id="252" w:name="_Toc25603686"/>
      <w:bookmarkStart w:id="253" w:name="_Toc83677862"/>
      <w:bookmarkStart w:id="254" w:name="_Toc88652977"/>
      <w:r w:rsidRPr="001A24C3">
        <w:rPr>
          <w:color w:val="auto"/>
        </w:rPr>
        <w:t>Časová hodnota peňazí a diskontovanie</w:t>
      </w:r>
      <w:bookmarkEnd w:id="249"/>
      <w:bookmarkEnd w:id="250"/>
      <w:bookmarkEnd w:id="251"/>
      <w:bookmarkEnd w:id="252"/>
      <w:bookmarkEnd w:id="253"/>
      <w:bookmarkEnd w:id="254"/>
    </w:p>
    <w:p w14:paraId="4BACCC51" w14:textId="77777777" w:rsidR="001A24C3" w:rsidRPr="000E1FFA" w:rsidRDefault="001A24C3" w:rsidP="001A24C3">
      <w:pPr>
        <w:pStyle w:val="TextKoice0"/>
        <w:ind w:left="0"/>
      </w:pPr>
      <w:r w:rsidRPr="000E1FFA">
        <w:t xml:space="preserve">Finančná analýza zohľadňuje </w:t>
      </w:r>
      <w:r w:rsidRPr="000E1FFA">
        <w:rPr>
          <w:b/>
        </w:rPr>
        <w:t>„časovú hodnotu peňazí“</w:t>
      </w:r>
      <w:r w:rsidRPr="000E1FFA">
        <w:t>, teda porovnáva, či prostriedky investované do projektu bez ohľadu na ich zdroj (Európska komisia, bankový úver, vlastné zdroje) sú vhodne investované a či nebola „iná“, lepšia možnosť investície ako uvedený projekt. Na tento účel nám slúži tzv. „Diskontná sadzba“, ktorá predstavuje alternatívny výnos investovaných prostriedkov, teda koľko by sme mohli zarobiť, ak by sme ich investovali do iného produktu alebo iného projektu. V prípade finančnej analýzy je táto hodnota diskontnej sadzby nastavená na hodnotu 4 %. To znamená, že vhodný projekt je taký, ktorý v časovom horizonte referenčného obdobia zarobí nie len hodnotu investičných a prevádzkových nákladov, ale aj ich príslušné navýšenie o hodnotu diskontnej sadzby. V prípade, že toto projekt nedokáže a zároveň je spoločensky prínosný, je potrebné ho dofinancovať.</w:t>
      </w:r>
    </w:p>
    <w:p w14:paraId="3F272315" w14:textId="77777777" w:rsidR="001A24C3" w:rsidRPr="00E934A0" w:rsidRDefault="001A24C3" w:rsidP="001A24C3"/>
    <w:p w14:paraId="5B79A66F" w14:textId="77777777" w:rsidR="001A24C3" w:rsidRPr="001A24C3" w:rsidRDefault="001A24C3" w:rsidP="001A24C3">
      <w:pPr>
        <w:pStyle w:val="Nadpis21"/>
        <w:ind w:left="578" w:hanging="578"/>
        <w:rPr>
          <w:rFonts w:cstheme="minorHAnsi"/>
          <w:b w:val="0"/>
          <w:bCs/>
          <w:color w:val="00B050"/>
        </w:rPr>
      </w:pPr>
      <w:bookmarkStart w:id="255" w:name="_Toc83677863"/>
      <w:bookmarkStart w:id="256" w:name="_Toc88652978"/>
      <w:r w:rsidRPr="001A24C3">
        <w:rPr>
          <w:rFonts w:cstheme="minorHAnsi"/>
          <w:b w:val="0"/>
          <w:bCs/>
          <w:color w:val="00B050"/>
        </w:rPr>
        <w:t>Vstupné informácie</w:t>
      </w:r>
      <w:bookmarkEnd w:id="255"/>
      <w:bookmarkEnd w:id="256"/>
    </w:p>
    <w:p w14:paraId="64F2C6F0" w14:textId="77777777" w:rsidR="001A24C3" w:rsidRDefault="001A24C3" w:rsidP="001A24C3">
      <w:r>
        <w:t>CBA analýza je spracovaná na základe nižšie uvedených dát, ktoré vychádzajú zo štandardných prevádzkových nákladov, ktoré spracovatelia odhadli na základe iných v minulosti realizovaných projektov ako aj vlastných skúsenosti. Štúdia realizovateľnosti je realizovaná v 3 alternatívach, ktoré sa odlišujú trasovaním, technickým riešením, parametrami trate a s tým súvisiacim prevádzkovými parametrami , ktoré sú vždy prírastkovou metódou porovnávané so scenárom bez projektu.</w:t>
      </w:r>
    </w:p>
    <w:p w14:paraId="50C6E47D" w14:textId="77777777" w:rsidR="001A24C3" w:rsidRDefault="001A24C3" w:rsidP="001A24C3">
      <w:r>
        <w:t>Technické popisy jednotlivých variantov boli už rozpísané v predchádzajúcich kapitolách a teda z dôvodu potencionálnej duplicity sa už im autori v tejto kapitole detailne nevenujú, pracujú iba vyššie uvedenými faktami.</w:t>
      </w:r>
    </w:p>
    <w:p w14:paraId="7938808C" w14:textId="5E2C0571" w:rsidR="001A24C3" w:rsidRDefault="001A24C3" w:rsidP="001A24C3">
      <w:r>
        <w:t>Táto CBA analýza, ktorá je súčasťou štúdie realizovateľnosti má popri spracovaných kvalitatívnych kritériách svojimi číselnými výstupmi podporiť najlepší variant.</w:t>
      </w:r>
    </w:p>
    <w:p w14:paraId="75F542B1" w14:textId="77777777" w:rsidR="001A24C3" w:rsidRDefault="001A24C3" w:rsidP="001A24C3"/>
    <w:p w14:paraId="671E1431" w14:textId="61FBEBCD" w:rsidR="001A24C3" w:rsidRPr="001A24C3" w:rsidRDefault="001A24C3" w:rsidP="001A24C3">
      <w:pPr>
        <w:pStyle w:val="Nadpis31"/>
        <w:rPr>
          <w:color w:val="auto"/>
        </w:rPr>
      </w:pPr>
      <w:bookmarkStart w:id="257" w:name="_Toc88652979"/>
      <w:r w:rsidRPr="001A24C3">
        <w:rPr>
          <w:color w:val="auto"/>
        </w:rPr>
        <w:t>Variant</w:t>
      </w:r>
      <w:r w:rsidR="00D83A6C">
        <w:rPr>
          <w:color w:val="auto"/>
        </w:rPr>
        <w:t xml:space="preserve"> A</w:t>
      </w:r>
      <w:r w:rsidRPr="001A24C3">
        <w:rPr>
          <w:color w:val="auto"/>
        </w:rPr>
        <w:t xml:space="preserve"> „</w:t>
      </w:r>
      <w:r w:rsidR="00D83A6C">
        <w:rPr>
          <w:color w:val="auto"/>
        </w:rPr>
        <w:t>ZÁKLADNÁ MODERNIZÁCIA</w:t>
      </w:r>
      <w:r w:rsidRPr="001A24C3">
        <w:rPr>
          <w:color w:val="auto"/>
        </w:rPr>
        <w:t>“</w:t>
      </w:r>
      <w:bookmarkEnd w:id="257"/>
      <w:r w:rsidRPr="001A24C3">
        <w:rPr>
          <w:color w:val="auto"/>
        </w:rPr>
        <w:t xml:space="preserve"> </w:t>
      </w:r>
    </w:p>
    <w:p w14:paraId="07F998C9" w14:textId="1A27445F" w:rsidR="001A24C3" w:rsidRDefault="001A24C3" w:rsidP="001A24C3">
      <w:pPr>
        <w:pStyle w:val="Popis"/>
        <w:keepNext/>
        <w:jc w:val="both"/>
      </w:pPr>
      <w:bookmarkStart w:id="258" w:name="_Toc83677899"/>
      <w:r>
        <w:t xml:space="preserve">Tabuľka </w:t>
      </w:r>
      <w:r w:rsidR="00DA0B84">
        <w:t>28</w:t>
      </w:r>
      <w:r>
        <w:tab/>
      </w:r>
      <w:r w:rsidRPr="00E934A0">
        <w:t>Obdobie realizácie</w:t>
      </w:r>
      <w:bookmarkEnd w:id="258"/>
    </w:p>
    <w:tbl>
      <w:tblPr>
        <w:tblW w:w="6920" w:type="dxa"/>
        <w:tblCellMar>
          <w:left w:w="70" w:type="dxa"/>
          <w:right w:w="70" w:type="dxa"/>
        </w:tblCellMar>
        <w:tblLook w:val="04A0" w:firstRow="1" w:lastRow="0" w:firstColumn="1" w:lastColumn="0" w:noHBand="0" w:noVBand="1"/>
      </w:tblPr>
      <w:tblGrid>
        <w:gridCol w:w="5440"/>
        <w:gridCol w:w="1480"/>
      </w:tblGrid>
      <w:tr w:rsidR="001A24C3" w:rsidRPr="00E934A0" w14:paraId="12EF96E7" w14:textId="77777777" w:rsidTr="00300963">
        <w:trPr>
          <w:trHeight w:val="204"/>
        </w:trPr>
        <w:tc>
          <w:tcPr>
            <w:tcW w:w="5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670999" w14:textId="77777777" w:rsidR="001A24C3" w:rsidRPr="00E934A0" w:rsidRDefault="001A24C3" w:rsidP="00300963">
            <w:pPr>
              <w:rPr>
                <w:rFonts w:ascii="Arial" w:eastAsia="Times New Roman" w:hAnsi="Arial" w:cs="Arial"/>
                <w:sz w:val="16"/>
                <w:szCs w:val="16"/>
                <w:lang w:eastAsia="sk-SK"/>
              </w:rPr>
            </w:pPr>
            <w:r w:rsidRPr="00E934A0">
              <w:rPr>
                <w:rFonts w:ascii="Arial" w:eastAsia="Times New Roman" w:hAnsi="Arial" w:cs="Arial"/>
                <w:sz w:val="16"/>
                <w:szCs w:val="16"/>
                <w:lang w:eastAsia="sk-SK"/>
              </w:rPr>
              <w:t>Rok začiatku</w:t>
            </w:r>
          </w:p>
        </w:tc>
        <w:tc>
          <w:tcPr>
            <w:tcW w:w="1480" w:type="dxa"/>
            <w:tcBorders>
              <w:top w:val="single" w:sz="4" w:space="0" w:color="auto"/>
              <w:left w:val="nil"/>
              <w:bottom w:val="single" w:sz="4" w:space="0" w:color="auto"/>
              <w:right w:val="single" w:sz="4" w:space="0" w:color="auto"/>
            </w:tcBorders>
            <w:shd w:val="clear" w:color="000000" w:fill="99CCFF"/>
            <w:noWrap/>
            <w:vAlign w:val="bottom"/>
            <w:hideMark/>
          </w:tcPr>
          <w:p w14:paraId="44E7FD5C" w14:textId="77777777" w:rsidR="001A24C3" w:rsidRPr="00E934A0" w:rsidRDefault="001A24C3" w:rsidP="00300963">
            <w:pPr>
              <w:jc w:val="center"/>
              <w:rPr>
                <w:rFonts w:ascii="Arial" w:eastAsia="Times New Roman" w:hAnsi="Arial" w:cs="Arial"/>
                <w:sz w:val="16"/>
                <w:szCs w:val="16"/>
                <w:lang w:eastAsia="sk-SK"/>
              </w:rPr>
            </w:pPr>
            <w:r w:rsidRPr="00E934A0">
              <w:rPr>
                <w:rFonts w:ascii="Arial" w:eastAsia="Times New Roman" w:hAnsi="Arial" w:cs="Arial"/>
                <w:sz w:val="16"/>
                <w:szCs w:val="16"/>
                <w:lang w:eastAsia="sk-SK"/>
              </w:rPr>
              <w:t>202</w:t>
            </w:r>
            <w:r>
              <w:rPr>
                <w:rFonts w:ascii="Arial" w:eastAsia="Times New Roman" w:hAnsi="Arial" w:cs="Arial"/>
                <w:sz w:val="16"/>
                <w:szCs w:val="16"/>
                <w:lang w:eastAsia="sk-SK"/>
              </w:rPr>
              <w:t>3</w:t>
            </w:r>
          </w:p>
        </w:tc>
      </w:tr>
      <w:tr w:rsidR="001A24C3" w:rsidRPr="00E934A0" w14:paraId="6DFCCDB3" w14:textId="77777777" w:rsidTr="00300963">
        <w:trPr>
          <w:trHeight w:val="204"/>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0C7CE5A7" w14:textId="77777777" w:rsidR="001A24C3" w:rsidRPr="00E934A0" w:rsidRDefault="001A24C3" w:rsidP="00300963">
            <w:pPr>
              <w:rPr>
                <w:rFonts w:ascii="Arial" w:eastAsia="Times New Roman" w:hAnsi="Arial" w:cs="Arial"/>
                <w:sz w:val="16"/>
                <w:szCs w:val="16"/>
                <w:lang w:eastAsia="sk-SK"/>
              </w:rPr>
            </w:pPr>
            <w:r w:rsidRPr="00E934A0">
              <w:rPr>
                <w:rFonts w:ascii="Arial" w:eastAsia="Times New Roman" w:hAnsi="Arial" w:cs="Arial"/>
                <w:sz w:val="16"/>
                <w:szCs w:val="16"/>
                <w:lang w:eastAsia="sk-SK"/>
              </w:rPr>
              <w:t>Rok dodania</w:t>
            </w:r>
          </w:p>
        </w:tc>
        <w:tc>
          <w:tcPr>
            <w:tcW w:w="1480" w:type="dxa"/>
            <w:tcBorders>
              <w:top w:val="nil"/>
              <w:left w:val="nil"/>
              <w:bottom w:val="single" w:sz="4" w:space="0" w:color="auto"/>
              <w:right w:val="single" w:sz="4" w:space="0" w:color="auto"/>
            </w:tcBorders>
            <w:shd w:val="clear" w:color="000000" w:fill="99CCFF"/>
            <w:noWrap/>
            <w:vAlign w:val="bottom"/>
            <w:hideMark/>
          </w:tcPr>
          <w:p w14:paraId="2E82E0F4" w14:textId="77777777" w:rsidR="001A24C3" w:rsidRPr="00E934A0" w:rsidRDefault="001A24C3" w:rsidP="00300963">
            <w:pPr>
              <w:jc w:val="center"/>
              <w:rPr>
                <w:rFonts w:ascii="Arial" w:eastAsia="Times New Roman" w:hAnsi="Arial" w:cs="Arial"/>
                <w:sz w:val="16"/>
                <w:szCs w:val="16"/>
                <w:lang w:eastAsia="sk-SK"/>
              </w:rPr>
            </w:pPr>
            <w:r w:rsidRPr="00E934A0">
              <w:rPr>
                <w:rFonts w:ascii="Arial" w:eastAsia="Times New Roman" w:hAnsi="Arial" w:cs="Arial"/>
                <w:sz w:val="16"/>
                <w:szCs w:val="16"/>
                <w:lang w:eastAsia="sk-SK"/>
              </w:rPr>
              <w:t>202</w:t>
            </w:r>
            <w:r>
              <w:rPr>
                <w:rFonts w:ascii="Arial" w:eastAsia="Times New Roman" w:hAnsi="Arial" w:cs="Arial"/>
                <w:sz w:val="16"/>
                <w:szCs w:val="16"/>
                <w:lang w:eastAsia="sk-SK"/>
              </w:rPr>
              <w:t>4</w:t>
            </w:r>
          </w:p>
        </w:tc>
      </w:tr>
    </w:tbl>
    <w:p w14:paraId="4189F159" w14:textId="77777777" w:rsidR="001A24C3" w:rsidRDefault="001A24C3" w:rsidP="001A24C3">
      <w:pPr>
        <w:rPr>
          <w:b/>
          <w:iCs/>
          <w:color w:val="C00000"/>
          <w:sz w:val="20"/>
          <w:szCs w:val="18"/>
        </w:rPr>
      </w:pPr>
    </w:p>
    <w:p w14:paraId="71F4F286" w14:textId="471A52DF" w:rsidR="001A24C3" w:rsidRDefault="001A24C3" w:rsidP="001A24C3">
      <w:pPr>
        <w:pStyle w:val="Popis"/>
        <w:keepNext/>
        <w:jc w:val="both"/>
      </w:pPr>
      <w:bookmarkStart w:id="259" w:name="_Toc83677900"/>
      <w:r>
        <w:lastRenderedPageBreak/>
        <w:t xml:space="preserve">Tabuľka </w:t>
      </w:r>
      <w:r w:rsidR="00DA0B84">
        <w:rPr>
          <w:noProof/>
        </w:rPr>
        <w:t>29</w:t>
      </w:r>
      <w:r>
        <w:tab/>
        <w:t>Investičné náklady</w:t>
      </w:r>
      <w:bookmarkEnd w:id="259"/>
    </w:p>
    <w:tbl>
      <w:tblPr>
        <w:tblW w:w="0" w:type="auto"/>
        <w:tblCellMar>
          <w:left w:w="70" w:type="dxa"/>
          <w:right w:w="70" w:type="dxa"/>
        </w:tblCellMar>
        <w:tblLook w:val="04A0" w:firstRow="1" w:lastRow="0" w:firstColumn="1" w:lastColumn="0" w:noHBand="0" w:noVBand="1"/>
      </w:tblPr>
      <w:tblGrid>
        <w:gridCol w:w="3717"/>
        <w:gridCol w:w="1044"/>
        <w:gridCol w:w="1044"/>
        <w:gridCol w:w="972"/>
        <w:gridCol w:w="430"/>
        <w:gridCol w:w="430"/>
        <w:gridCol w:w="430"/>
        <w:gridCol w:w="394"/>
        <w:gridCol w:w="430"/>
      </w:tblGrid>
      <w:tr w:rsidR="001A24C3" w:rsidRPr="00BF17CC" w14:paraId="07690BA0" w14:textId="77777777" w:rsidTr="00300963">
        <w:trPr>
          <w:trHeight w:val="204"/>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D08FA4F"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Kategória investičných výdavkov*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C779DD0"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3EE0ABB"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Rok</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E1E7D6D"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22BEA21B"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65DA1AE"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11048B5"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8C21FF1"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A5058BC"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 </w:t>
            </w:r>
          </w:p>
        </w:tc>
      </w:tr>
      <w:tr w:rsidR="001A24C3" w:rsidRPr="00BF17CC" w14:paraId="52379834"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3EFBF1B" w14:textId="77777777" w:rsidR="001A24C3" w:rsidRPr="00BF17CC" w:rsidRDefault="001A24C3" w:rsidP="00300963">
            <w:pPr>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 </w:t>
            </w:r>
          </w:p>
        </w:tc>
        <w:tc>
          <w:tcPr>
            <w:tcW w:w="0" w:type="auto"/>
            <w:tcBorders>
              <w:top w:val="nil"/>
              <w:left w:val="nil"/>
              <w:bottom w:val="single" w:sz="4" w:space="0" w:color="auto"/>
              <w:right w:val="single" w:sz="4" w:space="0" w:color="auto"/>
            </w:tcBorders>
            <w:shd w:val="clear" w:color="auto" w:fill="auto"/>
            <w:noWrap/>
            <w:vAlign w:val="bottom"/>
            <w:hideMark/>
          </w:tcPr>
          <w:p w14:paraId="7F8361AC" w14:textId="77777777" w:rsidR="001A24C3" w:rsidRPr="00BF17CC" w:rsidRDefault="001A24C3" w:rsidP="00300963">
            <w:pPr>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 </w:t>
            </w:r>
          </w:p>
        </w:tc>
        <w:tc>
          <w:tcPr>
            <w:tcW w:w="0" w:type="auto"/>
            <w:tcBorders>
              <w:top w:val="nil"/>
              <w:left w:val="nil"/>
              <w:bottom w:val="single" w:sz="4" w:space="0" w:color="auto"/>
              <w:right w:val="single" w:sz="4" w:space="0" w:color="auto"/>
            </w:tcBorders>
            <w:shd w:val="clear" w:color="auto" w:fill="auto"/>
            <w:noWrap/>
            <w:vAlign w:val="bottom"/>
            <w:hideMark/>
          </w:tcPr>
          <w:p w14:paraId="6E46EEC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w:t>
            </w:r>
          </w:p>
        </w:tc>
        <w:tc>
          <w:tcPr>
            <w:tcW w:w="0" w:type="auto"/>
            <w:tcBorders>
              <w:top w:val="nil"/>
              <w:left w:val="nil"/>
              <w:bottom w:val="single" w:sz="4" w:space="0" w:color="auto"/>
              <w:right w:val="single" w:sz="4" w:space="0" w:color="auto"/>
            </w:tcBorders>
            <w:shd w:val="clear" w:color="auto" w:fill="auto"/>
            <w:noWrap/>
            <w:vAlign w:val="bottom"/>
            <w:hideMark/>
          </w:tcPr>
          <w:p w14:paraId="32434CB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w:t>
            </w:r>
          </w:p>
        </w:tc>
        <w:tc>
          <w:tcPr>
            <w:tcW w:w="0" w:type="auto"/>
            <w:tcBorders>
              <w:top w:val="nil"/>
              <w:left w:val="nil"/>
              <w:bottom w:val="single" w:sz="4" w:space="0" w:color="auto"/>
              <w:right w:val="single" w:sz="4" w:space="0" w:color="auto"/>
            </w:tcBorders>
            <w:shd w:val="clear" w:color="auto" w:fill="auto"/>
            <w:noWrap/>
            <w:vAlign w:val="bottom"/>
            <w:hideMark/>
          </w:tcPr>
          <w:p w14:paraId="5AE1FAA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3</w:t>
            </w:r>
          </w:p>
        </w:tc>
        <w:tc>
          <w:tcPr>
            <w:tcW w:w="0" w:type="auto"/>
            <w:tcBorders>
              <w:top w:val="nil"/>
              <w:left w:val="nil"/>
              <w:bottom w:val="single" w:sz="4" w:space="0" w:color="auto"/>
              <w:right w:val="single" w:sz="4" w:space="0" w:color="auto"/>
            </w:tcBorders>
            <w:shd w:val="clear" w:color="auto" w:fill="auto"/>
            <w:noWrap/>
            <w:vAlign w:val="bottom"/>
            <w:hideMark/>
          </w:tcPr>
          <w:p w14:paraId="2A59455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4</w:t>
            </w:r>
          </w:p>
        </w:tc>
        <w:tc>
          <w:tcPr>
            <w:tcW w:w="0" w:type="auto"/>
            <w:tcBorders>
              <w:top w:val="nil"/>
              <w:left w:val="nil"/>
              <w:bottom w:val="single" w:sz="4" w:space="0" w:color="auto"/>
              <w:right w:val="single" w:sz="4" w:space="0" w:color="auto"/>
            </w:tcBorders>
            <w:shd w:val="clear" w:color="auto" w:fill="auto"/>
            <w:noWrap/>
            <w:vAlign w:val="bottom"/>
            <w:hideMark/>
          </w:tcPr>
          <w:p w14:paraId="3DC5D35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5</w:t>
            </w:r>
          </w:p>
        </w:tc>
        <w:tc>
          <w:tcPr>
            <w:tcW w:w="0" w:type="auto"/>
            <w:tcBorders>
              <w:top w:val="nil"/>
              <w:left w:val="nil"/>
              <w:bottom w:val="single" w:sz="4" w:space="0" w:color="auto"/>
              <w:right w:val="single" w:sz="4" w:space="0" w:color="auto"/>
            </w:tcBorders>
            <w:shd w:val="clear" w:color="auto" w:fill="auto"/>
            <w:noWrap/>
            <w:vAlign w:val="bottom"/>
            <w:hideMark/>
          </w:tcPr>
          <w:p w14:paraId="6949043F" w14:textId="77777777" w:rsidR="001A24C3" w:rsidRPr="00BF17CC" w:rsidRDefault="001A24C3" w:rsidP="00300963">
            <w:pPr>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 </w:t>
            </w:r>
          </w:p>
        </w:tc>
        <w:tc>
          <w:tcPr>
            <w:tcW w:w="0" w:type="auto"/>
            <w:tcBorders>
              <w:top w:val="nil"/>
              <w:left w:val="nil"/>
              <w:bottom w:val="single" w:sz="4" w:space="0" w:color="auto"/>
              <w:right w:val="single" w:sz="4" w:space="0" w:color="auto"/>
            </w:tcBorders>
            <w:shd w:val="clear" w:color="auto" w:fill="auto"/>
            <w:noWrap/>
            <w:vAlign w:val="bottom"/>
            <w:hideMark/>
          </w:tcPr>
          <w:p w14:paraId="3134D0B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30</w:t>
            </w:r>
          </w:p>
        </w:tc>
      </w:tr>
      <w:tr w:rsidR="001A24C3" w:rsidRPr="00BF17CC" w14:paraId="0362CE62" w14:textId="77777777" w:rsidTr="00300963">
        <w:trPr>
          <w:trHeight w:val="204"/>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14:paraId="39D6E4AC" w14:textId="77777777" w:rsidR="001A24C3" w:rsidRPr="00BF17CC" w:rsidRDefault="001A24C3" w:rsidP="00300963">
            <w:pPr>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1.1 Investičné výdavky (EUR) - finančné</w:t>
            </w:r>
          </w:p>
        </w:tc>
        <w:tc>
          <w:tcPr>
            <w:tcW w:w="0" w:type="auto"/>
            <w:tcBorders>
              <w:top w:val="nil"/>
              <w:left w:val="nil"/>
              <w:bottom w:val="single" w:sz="4" w:space="0" w:color="auto"/>
              <w:right w:val="single" w:sz="4" w:space="0" w:color="auto"/>
            </w:tcBorders>
            <w:shd w:val="clear" w:color="000000" w:fill="D9D9D9"/>
            <w:noWrap/>
            <w:vAlign w:val="bottom"/>
            <w:hideMark/>
          </w:tcPr>
          <w:p w14:paraId="040F75E7" w14:textId="77777777" w:rsidR="001A24C3" w:rsidRPr="00BF17CC" w:rsidRDefault="001A24C3" w:rsidP="00300963">
            <w:pPr>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Celkom</w:t>
            </w:r>
          </w:p>
        </w:tc>
        <w:tc>
          <w:tcPr>
            <w:tcW w:w="0" w:type="auto"/>
            <w:tcBorders>
              <w:top w:val="nil"/>
              <w:left w:val="nil"/>
              <w:bottom w:val="single" w:sz="4" w:space="0" w:color="auto"/>
              <w:right w:val="single" w:sz="4" w:space="0" w:color="auto"/>
            </w:tcBorders>
            <w:shd w:val="clear" w:color="000000" w:fill="D9D9D9"/>
            <w:noWrap/>
            <w:vAlign w:val="bottom"/>
            <w:hideMark/>
          </w:tcPr>
          <w:p w14:paraId="602AC31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2023</w:t>
            </w:r>
          </w:p>
        </w:tc>
        <w:tc>
          <w:tcPr>
            <w:tcW w:w="0" w:type="auto"/>
            <w:tcBorders>
              <w:top w:val="nil"/>
              <w:left w:val="nil"/>
              <w:bottom w:val="single" w:sz="4" w:space="0" w:color="auto"/>
              <w:right w:val="single" w:sz="4" w:space="0" w:color="auto"/>
            </w:tcBorders>
            <w:shd w:val="clear" w:color="000000" w:fill="D9D9D9"/>
            <w:noWrap/>
            <w:vAlign w:val="bottom"/>
            <w:hideMark/>
          </w:tcPr>
          <w:p w14:paraId="638BD8B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2024</w:t>
            </w:r>
          </w:p>
        </w:tc>
        <w:tc>
          <w:tcPr>
            <w:tcW w:w="0" w:type="auto"/>
            <w:tcBorders>
              <w:top w:val="nil"/>
              <w:left w:val="nil"/>
              <w:bottom w:val="single" w:sz="4" w:space="0" w:color="auto"/>
              <w:right w:val="single" w:sz="4" w:space="0" w:color="auto"/>
            </w:tcBorders>
            <w:shd w:val="clear" w:color="000000" w:fill="D9D9D9"/>
            <w:noWrap/>
            <w:vAlign w:val="bottom"/>
            <w:hideMark/>
          </w:tcPr>
          <w:p w14:paraId="0706ED7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2025</w:t>
            </w:r>
          </w:p>
        </w:tc>
        <w:tc>
          <w:tcPr>
            <w:tcW w:w="0" w:type="auto"/>
            <w:tcBorders>
              <w:top w:val="nil"/>
              <w:left w:val="nil"/>
              <w:bottom w:val="single" w:sz="4" w:space="0" w:color="auto"/>
              <w:right w:val="single" w:sz="4" w:space="0" w:color="auto"/>
            </w:tcBorders>
            <w:shd w:val="clear" w:color="000000" w:fill="D9D9D9"/>
            <w:noWrap/>
            <w:vAlign w:val="bottom"/>
            <w:hideMark/>
          </w:tcPr>
          <w:p w14:paraId="2FD1563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2026</w:t>
            </w:r>
          </w:p>
        </w:tc>
        <w:tc>
          <w:tcPr>
            <w:tcW w:w="0" w:type="auto"/>
            <w:tcBorders>
              <w:top w:val="nil"/>
              <w:left w:val="nil"/>
              <w:bottom w:val="single" w:sz="4" w:space="0" w:color="auto"/>
              <w:right w:val="single" w:sz="4" w:space="0" w:color="auto"/>
            </w:tcBorders>
            <w:shd w:val="clear" w:color="000000" w:fill="D9D9D9"/>
            <w:noWrap/>
            <w:vAlign w:val="bottom"/>
            <w:hideMark/>
          </w:tcPr>
          <w:p w14:paraId="0CE516E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2025</w:t>
            </w:r>
          </w:p>
        </w:tc>
        <w:tc>
          <w:tcPr>
            <w:tcW w:w="0" w:type="auto"/>
            <w:tcBorders>
              <w:top w:val="nil"/>
              <w:left w:val="nil"/>
              <w:bottom w:val="single" w:sz="4" w:space="0" w:color="auto"/>
              <w:right w:val="single" w:sz="4" w:space="0" w:color="auto"/>
            </w:tcBorders>
            <w:shd w:val="clear" w:color="000000" w:fill="D9D9D9"/>
            <w:noWrap/>
            <w:vAlign w:val="bottom"/>
            <w:hideMark/>
          </w:tcPr>
          <w:p w14:paraId="4BAB9798" w14:textId="77777777" w:rsidR="001A24C3" w:rsidRPr="00BF17CC" w:rsidRDefault="001A24C3" w:rsidP="00300963">
            <w:pPr>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w:t>
            </w:r>
          </w:p>
        </w:tc>
        <w:tc>
          <w:tcPr>
            <w:tcW w:w="0" w:type="auto"/>
            <w:tcBorders>
              <w:top w:val="nil"/>
              <w:left w:val="nil"/>
              <w:bottom w:val="single" w:sz="4" w:space="0" w:color="auto"/>
              <w:right w:val="single" w:sz="4" w:space="0" w:color="auto"/>
            </w:tcBorders>
            <w:shd w:val="clear" w:color="000000" w:fill="D9D9D9"/>
            <w:noWrap/>
            <w:vAlign w:val="bottom"/>
            <w:hideMark/>
          </w:tcPr>
          <w:p w14:paraId="10E3849A"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2052</w:t>
            </w:r>
          </w:p>
        </w:tc>
      </w:tr>
      <w:tr w:rsidR="001A24C3" w:rsidRPr="00BF17CC" w14:paraId="414F7C52"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942F31"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Plánovacie/projektové poplatky</w:t>
            </w:r>
          </w:p>
        </w:tc>
        <w:tc>
          <w:tcPr>
            <w:tcW w:w="0" w:type="auto"/>
            <w:tcBorders>
              <w:top w:val="nil"/>
              <w:left w:val="nil"/>
              <w:bottom w:val="single" w:sz="4" w:space="0" w:color="auto"/>
              <w:right w:val="single" w:sz="4" w:space="0" w:color="auto"/>
            </w:tcBorders>
            <w:shd w:val="clear" w:color="auto" w:fill="auto"/>
            <w:noWrap/>
            <w:vAlign w:val="bottom"/>
            <w:hideMark/>
          </w:tcPr>
          <w:p w14:paraId="4FE31702"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10 471 685,00</w:t>
            </w:r>
          </w:p>
        </w:tc>
        <w:tc>
          <w:tcPr>
            <w:tcW w:w="0" w:type="auto"/>
            <w:tcBorders>
              <w:top w:val="nil"/>
              <w:left w:val="nil"/>
              <w:bottom w:val="single" w:sz="4" w:space="0" w:color="auto"/>
              <w:right w:val="single" w:sz="4" w:space="0" w:color="auto"/>
            </w:tcBorders>
            <w:shd w:val="clear" w:color="000000" w:fill="99CCFF"/>
            <w:noWrap/>
            <w:vAlign w:val="bottom"/>
            <w:hideMark/>
          </w:tcPr>
          <w:p w14:paraId="55F68802"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10 471 685,00</w:t>
            </w:r>
          </w:p>
        </w:tc>
        <w:tc>
          <w:tcPr>
            <w:tcW w:w="0" w:type="auto"/>
            <w:tcBorders>
              <w:top w:val="nil"/>
              <w:left w:val="nil"/>
              <w:bottom w:val="single" w:sz="4" w:space="0" w:color="auto"/>
              <w:right w:val="single" w:sz="4" w:space="0" w:color="auto"/>
            </w:tcBorders>
            <w:shd w:val="clear" w:color="000000" w:fill="99CCFF"/>
            <w:noWrap/>
            <w:vAlign w:val="bottom"/>
            <w:hideMark/>
          </w:tcPr>
          <w:p w14:paraId="6DCCA9B0"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F96B388"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372462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1F9B5D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3C195A8"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4970960"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r>
      <w:tr w:rsidR="001A24C3" w:rsidRPr="00BF17CC" w14:paraId="70E37BB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612477"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Pozemky</w:t>
            </w:r>
          </w:p>
        </w:tc>
        <w:tc>
          <w:tcPr>
            <w:tcW w:w="0" w:type="auto"/>
            <w:tcBorders>
              <w:top w:val="nil"/>
              <w:left w:val="nil"/>
              <w:bottom w:val="single" w:sz="4" w:space="0" w:color="auto"/>
              <w:right w:val="single" w:sz="4" w:space="0" w:color="auto"/>
            </w:tcBorders>
            <w:shd w:val="clear" w:color="auto" w:fill="auto"/>
            <w:noWrap/>
            <w:vAlign w:val="bottom"/>
            <w:hideMark/>
          </w:tcPr>
          <w:p w14:paraId="26C0B86E"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1 590 900,00</w:t>
            </w:r>
          </w:p>
        </w:tc>
        <w:tc>
          <w:tcPr>
            <w:tcW w:w="0" w:type="auto"/>
            <w:tcBorders>
              <w:top w:val="nil"/>
              <w:left w:val="nil"/>
              <w:bottom w:val="single" w:sz="4" w:space="0" w:color="auto"/>
              <w:right w:val="single" w:sz="4" w:space="0" w:color="auto"/>
            </w:tcBorders>
            <w:shd w:val="clear" w:color="000000" w:fill="99CCFF"/>
            <w:noWrap/>
            <w:vAlign w:val="bottom"/>
            <w:hideMark/>
          </w:tcPr>
          <w:p w14:paraId="4A702D93"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1 590 900,00</w:t>
            </w:r>
          </w:p>
        </w:tc>
        <w:tc>
          <w:tcPr>
            <w:tcW w:w="0" w:type="auto"/>
            <w:tcBorders>
              <w:top w:val="nil"/>
              <w:left w:val="nil"/>
              <w:bottom w:val="single" w:sz="4" w:space="0" w:color="auto"/>
              <w:right w:val="single" w:sz="4" w:space="0" w:color="auto"/>
            </w:tcBorders>
            <w:shd w:val="clear" w:color="000000" w:fill="99CCFF"/>
            <w:noWrap/>
            <w:vAlign w:val="bottom"/>
            <w:hideMark/>
          </w:tcPr>
          <w:p w14:paraId="4C914388"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BD89E28"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03857FF"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C94A807"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DFEFEF0"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A873AB1"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r>
      <w:tr w:rsidR="001A24C3" w:rsidRPr="00BF17CC" w14:paraId="5B0B93F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0E9032"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Príprava staveniska</w:t>
            </w:r>
          </w:p>
        </w:tc>
        <w:tc>
          <w:tcPr>
            <w:tcW w:w="0" w:type="auto"/>
            <w:tcBorders>
              <w:top w:val="nil"/>
              <w:left w:val="nil"/>
              <w:bottom w:val="single" w:sz="4" w:space="0" w:color="auto"/>
              <w:right w:val="single" w:sz="4" w:space="0" w:color="auto"/>
            </w:tcBorders>
            <w:shd w:val="clear" w:color="auto" w:fill="auto"/>
            <w:noWrap/>
            <w:vAlign w:val="bottom"/>
            <w:hideMark/>
          </w:tcPr>
          <w:p w14:paraId="63BEB14B"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5A47000"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0697D1A"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9F124C3"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31C3046"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B74A254"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4845380"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38406F3"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r>
      <w:tr w:rsidR="001A24C3" w:rsidRPr="00BF17CC" w14:paraId="7C20B9E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39001D"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Stavebné práce</w:t>
            </w:r>
          </w:p>
        </w:tc>
        <w:tc>
          <w:tcPr>
            <w:tcW w:w="0" w:type="auto"/>
            <w:tcBorders>
              <w:top w:val="nil"/>
              <w:left w:val="nil"/>
              <w:bottom w:val="single" w:sz="4" w:space="0" w:color="auto"/>
              <w:right w:val="single" w:sz="4" w:space="0" w:color="auto"/>
            </w:tcBorders>
            <w:shd w:val="clear" w:color="auto" w:fill="auto"/>
            <w:noWrap/>
            <w:vAlign w:val="bottom"/>
            <w:hideMark/>
          </w:tcPr>
          <w:p w14:paraId="33C64302"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129 998 852,39</w:t>
            </w:r>
          </w:p>
        </w:tc>
        <w:tc>
          <w:tcPr>
            <w:tcW w:w="0" w:type="auto"/>
            <w:tcBorders>
              <w:top w:val="nil"/>
              <w:left w:val="nil"/>
              <w:bottom w:val="single" w:sz="4" w:space="0" w:color="auto"/>
              <w:right w:val="single" w:sz="4" w:space="0" w:color="auto"/>
            </w:tcBorders>
            <w:shd w:val="clear" w:color="auto" w:fill="auto"/>
            <w:noWrap/>
            <w:vAlign w:val="bottom"/>
            <w:hideMark/>
          </w:tcPr>
          <w:p w14:paraId="580581D6"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74 408 532,89</w:t>
            </w:r>
          </w:p>
        </w:tc>
        <w:tc>
          <w:tcPr>
            <w:tcW w:w="0" w:type="auto"/>
            <w:tcBorders>
              <w:top w:val="nil"/>
              <w:left w:val="nil"/>
              <w:bottom w:val="single" w:sz="4" w:space="0" w:color="auto"/>
              <w:right w:val="single" w:sz="4" w:space="0" w:color="auto"/>
            </w:tcBorders>
            <w:shd w:val="clear" w:color="auto" w:fill="auto"/>
            <w:noWrap/>
            <w:vAlign w:val="bottom"/>
            <w:hideMark/>
          </w:tcPr>
          <w:p w14:paraId="6652CDF9"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55 590 319,51</w:t>
            </w:r>
          </w:p>
        </w:tc>
        <w:tc>
          <w:tcPr>
            <w:tcW w:w="0" w:type="auto"/>
            <w:tcBorders>
              <w:top w:val="nil"/>
              <w:left w:val="nil"/>
              <w:bottom w:val="single" w:sz="4" w:space="0" w:color="auto"/>
              <w:right w:val="single" w:sz="4" w:space="0" w:color="auto"/>
            </w:tcBorders>
            <w:shd w:val="clear" w:color="auto" w:fill="auto"/>
            <w:noWrap/>
            <w:vAlign w:val="bottom"/>
            <w:hideMark/>
          </w:tcPr>
          <w:p w14:paraId="11B4C47E"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EE2D2FD"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EC51D1C"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AFA95E9"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A55E435"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r>
      <w:tr w:rsidR="001A24C3" w:rsidRPr="00BF17CC" w14:paraId="2D19ABC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893F1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Mosty železobetónové</w:t>
            </w:r>
          </w:p>
        </w:tc>
        <w:tc>
          <w:tcPr>
            <w:tcW w:w="0" w:type="auto"/>
            <w:tcBorders>
              <w:top w:val="nil"/>
              <w:left w:val="nil"/>
              <w:bottom w:val="single" w:sz="4" w:space="0" w:color="auto"/>
              <w:right w:val="single" w:sz="4" w:space="0" w:color="auto"/>
            </w:tcBorders>
            <w:shd w:val="clear" w:color="auto" w:fill="auto"/>
            <w:noWrap/>
            <w:vAlign w:val="bottom"/>
            <w:hideMark/>
          </w:tcPr>
          <w:p w14:paraId="4246439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C9B3FA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AE6076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5B66EB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2C2C8E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5A174D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E0C6E2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DEA35AA"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15A1BED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DEBB4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Mosty oceľové a mosty priepusty</w:t>
            </w:r>
          </w:p>
        </w:tc>
        <w:tc>
          <w:tcPr>
            <w:tcW w:w="0" w:type="auto"/>
            <w:tcBorders>
              <w:top w:val="nil"/>
              <w:left w:val="nil"/>
              <w:bottom w:val="single" w:sz="4" w:space="0" w:color="auto"/>
              <w:right w:val="single" w:sz="4" w:space="0" w:color="auto"/>
            </w:tcBorders>
            <w:shd w:val="clear" w:color="auto" w:fill="auto"/>
            <w:noWrap/>
            <w:vAlign w:val="bottom"/>
            <w:hideMark/>
          </w:tcPr>
          <w:p w14:paraId="17C3FE3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25 381 824,07</w:t>
            </w:r>
          </w:p>
        </w:tc>
        <w:tc>
          <w:tcPr>
            <w:tcW w:w="0" w:type="auto"/>
            <w:tcBorders>
              <w:top w:val="nil"/>
              <w:left w:val="nil"/>
              <w:bottom w:val="single" w:sz="4" w:space="0" w:color="auto"/>
              <w:right w:val="single" w:sz="4" w:space="0" w:color="auto"/>
            </w:tcBorders>
            <w:shd w:val="clear" w:color="000000" w:fill="99CCFF"/>
            <w:noWrap/>
            <w:vAlign w:val="bottom"/>
            <w:hideMark/>
          </w:tcPr>
          <w:p w14:paraId="54FC793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12 022 536,13</w:t>
            </w:r>
          </w:p>
        </w:tc>
        <w:tc>
          <w:tcPr>
            <w:tcW w:w="0" w:type="auto"/>
            <w:tcBorders>
              <w:top w:val="nil"/>
              <w:left w:val="nil"/>
              <w:bottom w:val="single" w:sz="4" w:space="0" w:color="auto"/>
              <w:right w:val="single" w:sz="4" w:space="0" w:color="auto"/>
            </w:tcBorders>
            <w:shd w:val="clear" w:color="000000" w:fill="99CCFF"/>
            <w:noWrap/>
            <w:vAlign w:val="bottom"/>
            <w:hideMark/>
          </w:tcPr>
          <w:p w14:paraId="74C423A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13 359 287,94</w:t>
            </w:r>
          </w:p>
        </w:tc>
        <w:tc>
          <w:tcPr>
            <w:tcW w:w="0" w:type="auto"/>
            <w:tcBorders>
              <w:top w:val="nil"/>
              <w:left w:val="nil"/>
              <w:bottom w:val="single" w:sz="4" w:space="0" w:color="auto"/>
              <w:right w:val="single" w:sz="4" w:space="0" w:color="auto"/>
            </w:tcBorders>
            <w:shd w:val="clear" w:color="000000" w:fill="99CCFF"/>
            <w:noWrap/>
            <w:vAlign w:val="bottom"/>
            <w:hideMark/>
          </w:tcPr>
          <w:p w14:paraId="2397A4B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B97CAF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9532E1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71B1A1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5C3DA7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36B7B1A2"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923C26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Tunely</w:t>
            </w:r>
          </w:p>
        </w:tc>
        <w:tc>
          <w:tcPr>
            <w:tcW w:w="0" w:type="auto"/>
            <w:tcBorders>
              <w:top w:val="nil"/>
              <w:left w:val="nil"/>
              <w:bottom w:val="single" w:sz="4" w:space="0" w:color="auto"/>
              <w:right w:val="single" w:sz="4" w:space="0" w:color="auto"/>
            </w:tcBorders>
            <w:shd w:val="clear" w:color="auto" w:fill="auto"/>
            <w:noWrap/>
            <w:vAlign w:val="bottom"/>
            <w:hideMark/>
          </w:tcPr>
          <w:p w14:paraId="6BE5EA5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E5D093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237609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1806F9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745062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E0A46BD"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B486D1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48E008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6258BA61"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26653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Budovy</w:t>
            </w:r>
          </w:p>
        </w:tc>
        <w:tc>
          <w:tcPr>
            <w:tcW w:w="0" w:type="auto"/>
            <w:tcBorders>
              <w:top w:val="nil"/>
              <w:left w:val="nil"/>
              <w:bottom w:val="single" w:sz="4" w:space="0" w:color="auto"/>
              <w:right w:val="single" w:sz="4" w:space="0" w:color="auto"/>
            </w:tcBorders>
            <w:shd w:val="clear" w:color="auto" w:fill="auto"/>
            <w:noWrap/>
            <w:vAlign w:val="bottom"/>
            <w:hideMark/>
          </w:tcPr>
          <w:p w14:paraId="1C061F9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18 990,35</w:t>
            </w:r>
          </w:p>
        </w:tc>
        <w:tc>
          <w:tcPr>
            <w:tcW w:w="0" w:type="auto"/>
            <w:tcBorders>
              <w:top w:val="nil"/>
              <w:left w:val="nil"/>
              <w:bottom w:val="single" w:sz="4" w:space="0" w:color="auto"/>
              <w:right w:val="single" w:sz="4" w:space="0" w:color="auto"/>
            </w:tcBorders>
            <w:shd w:val="clear" w:color="000000" w:fill="99CCFF"/>
            <w:noWrap/>
            <w:vAlign w:val="bottom"/>
            <w:hideMark/>
          </w:tcPr>
          <w:p w14:paraId="31F69C3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18 990,35</w:t>
            </w:r>
          </w:p>
        </w:tc>
        <w:tc>
          <w:tcPr>
            <w:tcW w:w="0" w:type="auto"/>
            <w:tcBorders>
              <w:top w:val="nil"/>
              <w:left w:val="nil"/>
              <w:bottom w:val="single" w:sz="4" w:space="0" w:color="auto"/>
              <w:right w:val="single" w:sz="4" w:space="0" w:color="auto"/>
            </w:tcBorders>
            <w:shd w:val="clear" w:color="000000" w:fill="99CCFF"/>
            <w:noWrap/>
            <w:vAlign w:val="bottom"/>
            <w:hideMark/>
          </w:tcPr>
          <w:p w14:paraId="5CD3412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F77028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3A7F57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D7FBD1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885779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34AA99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10AFCE6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F301B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Nástupištia</w:t>
            </w:r>
          </w:p>
        </w:tc>
        <w:tc>
          <w:tcPr>
            <w:tcW w:w="0" w:type="auto"/>
            <w:tcBorders>
              <w:top w:val="nil"/>
              <w:left w:val="nil"/>
              <w:bottom w:val="single" w:sz="4" w:space="0" w:color="auto"/>
              <w:right w:val="single" w:sz="4" w:space="0" w:color="auto"/>
            </w:tcBorders>
            <w:shd w:val="clear" w:color="auto" w:fill="auto"/>
            <w:noWrap/>
            <w:vAlign w:val="bottom"/>
            <w:hideMark/>
          </w:tcPr>
          <w:p w14:paraId="0596B31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2 275 991,35</w:t>
            </w:r>
          </w:p>
        </w:tc>
        <w:tc>
          <w:tcPr>
            <w:tcW w:w="0" w:type="auto"/>
            <w:tcBorders>
              <w:top w:val="nil"/>
              <w:left w:val="nil"/>
              <w:bottom w:val="single" w:sz="4" w:space="0" w:color="auto"/>
              <w:right w:val="single" w:sz="4" w:space="0" w:color="auto"/>
            </w:tcBorders>
            <w:shd w:val="clear" w:color="000000" w:fill="99CCFF"/>
            <w:noWrap/>
            <w:vAlign w:val="bottom"/>
            <w:hideMark/>
          </w:tcPr>
          <w:p w14:paraId="01611D6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838 379,83</w:t>
            </w:r>
          </w:p>
        </w:tc>
        <w:tc>
          <w:tcPr>
            <w:tcW w:w="0" w:type="auto"/>
            <w:tcBorders>
              <w:top w:val="nil"/>
              <w:left w:val="nil"/>
              <w:bottom w:val="single" w:sz="4" w:space="0" w:color="auto"/>
              <w:right w:val="single" w:sz="4" w:space="0" w:color="auto"/>
            </w:tcBorders>
            <w:shd w:val="clear" w:color="000000" w:fill="99CCFF"/>
            <w:noWrap/>
            <w:vAlign w:val="bottom"/>
            <w:hideMark/>
          </w:tcPr>
          <w:p w14:paraId="05B19F3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1 437 611,52</w:t>
            </w:r>
          </w:p>
        </w:tc>
        <w:tc>
          <w:tcPr>
            <w:tcW w:w="0" w:type="auto"/>
            <w:tcBorders>
              <w:top w:val="nil"/>
              <w:left w:val="nil"/>
              <w:bottom w:val="single" w:sz="4" w:space="0" w:color="auto"/>
              <w:right w:val="single" w:sz="4" w:space="0" w:color="auto"/>
            </w:tcBorders>
            <w:shd w:val="clear" w:color="000000" w:fill="99CCFF"/>
            <w:noWrap/>
            <w:vAlign w:val="bottom"/>
            <w:hideMark/>
          </w:tcPr>
          <w:p w14:paraId="0A34D9C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8941D1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52CADD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E1638C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58C413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40CF62B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8E07F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Cestné komunikácie</w:t>
            </w:r>
          </w:p>
        </w:tc>
        <w:tc>
          <w:tcPr>
            <w:tcW w:w="0" w:type="auto"/>
            <w:tcBorders>
              <w:top w:val="nil"/>
              <w:left w:val="nil"/>
              <w:bottom w:val="single" w:sz="4" w:space="0" w:color="auto"/>
              <w:right w:val="single" w:sz="4" w:space="0" w:color="auto"/>
            </w:tcBorders>
            <w:shd w:val="clear" w:color="auto" w:fill="auto"/>
            <w:noWrap/>
            <w:vAlign w:val="bottom"/>
            <w:hideMark/>
          </w:tcPr>
          <w:p w14:paraId="3AD400D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1 535 604,00</w:t>
            </w:r>
          </w:p>
        </w:tc>
        <w:tc>
          <w:tcPr>
            <w:tcW w:w="0" w:type="auto"/>
            <w:tcBorders>
              <w:top w:val="nil"/>
              <w:left w:val="nil"/>
              <w:bottom w:val="single" w:sz="4" w:space="0" w:color="auto"/>
              <w:right w:val="single" w:sz="4" w:space="0" w:color="auto"/>
            </w:tcBorders>
            <w:shd w:val="clear" w:color="000000" w:fill="99CCFF"/>
            <w:noWrap/>
            <w:vAlign w:val="bottom"/>
            <w:hideMark/>
          </w:tcPr>
          <w:p w14:paraId="72322DB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1 535 604,00</w:t>
            </w:r>
          </w:p>
        </w:tc>
        <w:tc>
          <w:tcPr>
            <w:tcW w:w="0" w:type="auto"/>
            <w:tcBorders>
              <w:top w:val="nil"/>
              <w:left w:val="nil"/>
              <w:bottom w:val="single" w:sz="4" w:space="0" w:color="auto"/>
              <w:right w:val="single" w:sz="4" w:space="0" w:color="auto"/>
            </w:tcBorders>
            <w:shd w:val="clear" w:color="000000" w:fill="99CCFF"/>
            <w:noWrap/>
            <w:vAlign w:val="bottom"/>
            <w:hideMark/>
          </w:tcPr>
          <w:p w14:paraId="0A0FF8D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1C9BDE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386F51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B74AF8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67F58F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E83C95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4252161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F0A35E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 xml:space="preserve">Trať – železničný spodok </w:t>
            </w:r>
          </w:p>
        </w:tc>
        <w:tc>
          <w:tcPr>
            <w:tcW w:w="0" w:type="auto"/>
            <w:tcBorders>
              <w:top w:val="nil"/>
              <w:left w:val="nil"/>
              <w:bottom w:val="single" w:sz="4" w:space="0" w:color="auto"/>
              <w:right w:val="single" w:sz="4" w:space="0" w:color="auto"/>
            </w:tcBorders>
            <w:shd w:val="clear" w:color="auto" w:fill="auto"/>
            <w:noWrap/>
            <w:vAlign w:val="bottom"/>
            <w:hideMark/>
          </w:tcPr>
          <w:p w14:paraId="75C3E18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15 984 485,06</w:t>
            </w:r>
          </w:p>
        </w:tc>
        <w:tc>
          <w:tcPr>
            <w:tcW w:w="0" w:type="auto"/>
            <w:tcBorders>
              <w:top w:val="nil"/>
              <w:left w:val="nil"/>
              <w:bottom w:val="single" w:sz="4" w:space="0" w:color="auto"/>
              <w:right w:val="single" w:sz="4" w:space="0" w:color="auto"/>
            </w:tcBorders>
            <w:shd w:val="clear" w:color="000000" w:fill="99CCFF"/>
            <w:noWrap/>
            <w:vAlign w:val="bottom"/>
            <w:hideMark/>
          </w:tcPr>
          <w:p w14:paraId="76B09BE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10 936 103,34</w:t>
            </w:r>
          </w:p>
        </w:tc>
        <w:tc>
          <w:tcPr>
            <w:tcW w:w="0" w:type="auto"/>
            <w:tcBorders>
              <w:top w:val="nil"/>
              <w:left w:val="nil"/>
              <w:bottom w:val="single" w:sz="4" w:space="0" w:color="auto"/>
              <w:right w:val="single" w:sz="4" w:space="0" w:color="auto"/>
            </w:tcBorders>
            <w:shd w:val="clear" w:color="000000" w:fill="99CCFF"/>
            <w:noWrap/>
            <w:vAlign w:val="bottom"/>
            <w:hideMark/>
          </w:tcPr>
          <w:p w14:paraId="7059402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5 048 381,72</w:t>
            </w:r>
          </w:p>
        </w:tc>
        <w:tc>
          <w:tcPr>
            <w:tcW w:w="0" w:type="auto"/>
            <w:tcBorders>
              <w:top w:val="nil"/>
              <w:left w:val="nil"/>
              <w:bottom w:val="single" w:sz="4" w:space="0" w:color="auto"/>
              <w:right w:val="single" w:sz="4" w:space="0" w:color="auto"/>
            </w:tcBorders>
            <w:shd w:val="clear" w:color="000000" w:fill="99CCFF"/>
            <w:noWrap/>
            <w:vAlign w:val="bottom"/>
            <w:hideMark/>
          </w:tcPr>
          <w:p w14:paraId="2B003A7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2D0D18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0024AF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303687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4CB323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32CDD74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25327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 xml:space="preserve">Trať – železničný zvršok </w:t>
            </w:r>
          </w:p>
        </w:tc>
        <w:tc>
          <w:tcPr>
            <w:tcW w:w="0" w:type="auto"/>
            <w:tcBorders>
              <w:top w:val="nil"/>
              <w:left w:val="nil"/>
              <w:bottom w:val="single" w:sz="4" w:space="0" w:color="auto"/>
              <w:right w:val="single" w:sz="4" w:space="0" w:color="auto"/>
            </w:tcBorders>
            <w:shd w:val="clear" w:color="auto" w:fill="auto"/>
            <w:noWrap/>
            <w:vAlign w:val="bottom"/>
            <w:hideMark/>
          </w:tcPr>
          <w:p w14:paraId="480EB49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30 969 075,53</w:t>
            </w:r>
          </w:p>
        </w:tc>
        <w:tc>
          <w:tcPr>
            <w:tcW w:w="0" w:type="auto"/>
            <w:tcBorders>
              <w:top w:val="nil"/>
              <w:left w:val="nil"/>
              <w:bottom w:val="single" w:sz="4" w:space="0" w:color="auto"/>
              <w:right w:val="single" w:sz="4" w:space="0" w:color="auto"/>
            </w:tcBorders>
            <w:shd w:val="clear" w:color="000000" w:fill="99CCFF"/>
            <w:noWrap/>
            <w:vAlign w:val="bottom"/>
            <w:hideMark/>
          </w:tcPr>
          <w:p w14:paraId="77339E4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18 834 808,78</w:t>
            </w:r>
          </w:p>
        </w:tc>
        <w:tc>
          <w:tcPr>
            <w:tcW w:w="0" w:type="auto"/>
            <w:tcBorders>
              <w:top w:val="nil"/>
              <w:left w:val="nil"/>
              <w:bottom w:val="single" w:sz="4" w:space="0" w:color="auto"/>
              <w:right w:val="single" w:sz="4" w:space="0" w:color="auto"/>
            </w:tcBorders>
            <w:shd w:val="clear" w:color="000000" w:fill="99CCFF"/>
            <w:noWrap/>
            <w:vAlign w:val="bottom"/>
            <w:hideMark/>
          </w:tcPr>
          <w:p w14:paraId="124C39A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12 134 266,75</w:t>
            </w:r>
          </w:p>
        </w:tc>
        <w:tc>
          <w:tcPr>
            <w:tcW w:w="0" w:type="auto"/>
            <w:tcBorders>
              <w:top w:val="nil"/>
              <w:left w:val="nil"/>
              <w:bottom w:val="single" w:sz="4" w:space="0" w:color="auto"/>
              <w:right w:val="single" w:sz="4" w:space="0" w:color="auto"/>
            </w:tcBorders>
            <w:shd w:val="clear" w:color="000000" w:fill="99CCFF"/>
            <w:noWrap/>
            <w:vAlign w:val="bottom"/>
            <w:hideMark/>
          </w:tcPr>
          <w:p w14:paraId="114C7B2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E1C9B6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A83506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AB16FC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41989F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3B8396D2"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C90B9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Podporné a oporné múry, spevnenie svahu</w:t>
            </w:r>
          </w:p>
        </w:tc>
        <w:tc>
          <w:tcPr>
            <w:tcW w:w="0" w:type="auto"/>
            <w:tcBorders>
              <w:top w:val="nil"/>
              <w:left w:val="nil"/>
              <w:bottom w:val="single" w:sz="4" w:space="0" w:color="auto"/>
              <w:right w:val="single" w:sz="4" w:space="0" w:color="auto"/>
            </w:tcBorders>
            <w:shd w:val="clear" w:color="auto" w:fill="auto"/>
            <w:noWrap/>
            <w:vAlign w:val="bottom"/>
            <w:hideMark/>
          </w:tcPr>
          <w:p w14:paraId="44CDCA2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5 161 149,23</w:t>
            </w:r>
          </w:p>
        </w:tc>
        <w:tc>
          <w:tcPr>
            <w:tcW w:w="0" w:type="auto"/>
            <w:tcBorders>
              <w:top w:val="nil"/>
              <w:left w:val="nil"/>
              <w:bottom w:val="single" w:sz="4" w:space="0" w:color="auto"/>
              <w:right w:val="single" w:sz="4" w:space="0" w:color="auto"/>
            </w:tcBorders>
            <w:shd w:val="clear" w:color="000000" w:fill="99CCFF"/>
            <w:noWrap/>
            <w:vAlign w:val="bottom"/>
            <w:hideMark/>
          </w:tcPr>
          <w:p w14:paraId="25D0825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639 251,25</w:t>
            </w:r>
          </w:p>
        </w:tc>
        <w:tc>
          <w:tcPr>
            <w:tcW w:w="0" w:type="auto"/>
            <w:tcBorders>
              <w:top w:val="nil"/>
              <w:left w:val="nil"/>
              <w:bottom w:val="single" w:sz="4" w:space="0" w:color="auto"/>
              <w:right w:val="single" w:sz="4" w:space="0" w:color="auto"/>
            </w:tcBorders>
            <w:shd w:val="clear" w:color="000000" w:fill="99CCFF"/>
            <w:noWrap/>
            <w:vAlign w:val="bottom"/>
            <w:hideMark/>
          </w:tcPr>
          <w:p w14:paraId="4B255DC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4 521 897,98</w:t>
            </w:r>
          </w:p>
        </w:tc>
        <w:tc>
          <w:tcPr>
            <w:tcW w:w="0" w:type="auto"/>
            <w:tcBorders>
              <w:top w:val="nil"/>
              <w:left w:val="nil"/>
              <w:bottom w:val="single" w:sz="4" w:space="0" w:color="auto"/>
              <w:right w:val="single" w:sz="4" w:space="0" w:color="auto"/>
            </w:tcBorders>
            <w:shd w:val="clear" w:color="000000" w:fill="99CCFF"/>
            <w:noWrap/>
            <w:vAlign w:val="bottom"/>
            <w:hideMark/>
          </w:tcPr>
          <w:p w14:paraId="738CA0F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509257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AEEFD0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D6CE0D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4F9502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67CDE40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3DBCC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Elektrifikácia – trakčné napájacie stanice, trakčné vedenia</w:t>
            </w:r>
          </w:p>
        </w:tc>
        <w:tc>
          <w:tcPr>
            <w:tcW w:w="0" w:type="auto"/>
            <w:tcBorders>
              <w:top w:val="nil"/>
              <w:left w:val="nil"/>
              <w:bottom w:val="single" w:sz="4" w:space="0" w:color="auto"/>
              <w:right w:val="single" w:sz="4" w:space="0" w:color="auto"/>
            </w:tcBorders>
            <w:shd w:val="clear" w:color="auto" w:fill="auto"/>
            <w:noWrap/>
            <w:vAlign w:val="bottom"/>
            <w:hideMark/>
          </w:tcPr>
          <w:p w14:paraId="5580B50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26 072 729,84</w:t>
            </w:r>
          </w:p>
        </w:tc>
        <w:tc>
          <w:tcPr>
            <w:tcW w:w="0" w:type="auto"/>
            <w:tcBorders>
              <w:top w:val="nil"/>
              <w:left w:val="nil"/>
              <w:bottom w:val="single" w:sz="4" w:space="0" w:color="auto"/>
              <w:right w:val="single" w:sz="4" w:space="0" w:color="auto"/>
            </w:tcBorders>
            <w:shd w:val="clear" w:color="000000" w:fill="99CCFF"/>
            <w:noWrap/>
            <w:vAlign w:val="bottom"/>
            <w:hideMark/>
          </w:tcPr>
          <w:p w14:paraId="45AD9BF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14 340 001,41</w:t>
            </w:r>
          </w:p>
        </w:tc>
        <w:tc>
          <w:tcPr>
            <w:tcW w:w="0" w:type="auto"/>
            <w:tcBorders>
              <w:top w:val="nil"/>
              <w:left w:val="nil"/>
              <w:bottom w:val="single" w:sz="4" w:space="0" w:color="auto"/>
              <w:right w:val="single" w:sz="4" w:space="0" w:color="auto"/>
            </w:tcBorders>
            <w:shd w:val="clear" w:color="000000" w:fill="99CCFF"/>
            <w:noWrap/>
            <w:vAlign w:val="bottom"/>
            <w:hideMark/>
          </w:tcPr>
          <w:p w14:paraId="30463FE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11 732 728,43</w:t>
            </w:r>
          </w:p>
        </w:tc>
        <w:tc>
          <w:tcPr>
            <w:tcW w:w="0" w:type="auto"/>
            <w:tcBorders>
              <w:top w:val="nil"/>
              <w:left w:val="nil"/>
              <w:bottom w:val="single" w:sz="4" w:space="0" w:color="auto"/>
              <w:right w:val="single" w:sz="4" w:space="0" w:color="auto"/>
            </w:tcBorders>
            <w:shd w:val="clear" w:color="000000" w:fill="99CCFF"/>
            <w:noWrap/>
            <w:vAlign w:val="bottom"/>
            <w:hideMark/>
          </w:tcPr>
          <w:p w14:paraId="120F737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5CC71B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F32839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FF0290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B62C93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3E2EE85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B197FD"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Oznamovacie a telekomunikačné zariadenia</w:t>
            </w:r>
          </w:p>
        </w:tc>
        <w:tc>
          <w:tcPr>
            <w:tcW w:w="0" w:type="auto"/>
            <w:tcBorders>
              <w:top w:val="nil"/>
              <w:left w:val="nil"/>
              <w:bottom w:val="single" w:sz="4" w:space="0" w:color="auto"/>
              <w:right w:val="single" w:sz="4" w:space="0" w:color="auto"/>
            </w:tcBorders>
            <w:shd w:val="clear" w:color="auto" w:fill="auto"/>
            <w:noWrap/>
            <w:vAlign w:val="bottom"/>
            <w:hideMark/>
          </w:tcPr>
          <w:p w14:paraId="1820AEA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2 147 900,72</w:t>
            </w:r>
          </w:p>
        </w:tc>
        <w:tc>
          <w:tcPr>
            <w:tcW w:w="0" w:type="auto"/>
            <w:tcBorders>
              <w:top w:val="nil"/>
              <w:left w:val="nil"/>
              <w:bottom w:val="single" w:sz="4" w:space="0" w:color="auto"/>
              <w:right w:val="single" w:sz="4" w:space="0" w:color="auto"/>
            </w:tcBorders>
            <w:shd w:val="clear" w:color="000000" w:fill="99CCFF"/>
            <w:noWrap/>
            <w:vAlign w:val="bottom"/>
            <w:hideMark/>
          </w:tcPr>
          <w:p w14:paraId="38D8620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604 198,92</w:t>
            </w:r>
          </w:p>
        </w:tc>
        <w:tc>
          <w:tcPr>
            <w:tcW w:w="0" w:type="auto"/>
            <w:tcBorders>
              <w:top w:val="nil"/>
              <w:left w:val="nil"/>
              <w:bottom w:val="single" w:sz="4" w:space="0" w:color="auto"/>
              <w:right w:val="single" w:sz="4" w:space="0" w:color="auto"/>
            </w:tcBorders>
            <w:shd w:val="clear" w:color="000000" w:fill="99CCFF"/>
            <w:noWrap/>
            <w:vAlign w:val="bottom"/>
            <w:hideMark/>
          </w:tcPr>
          <w:p w14:paraId="6034A27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1 543 701,80</w:t>
            </w:r>
          </w:p>
        </w:tc>
        <w:tc>
          <w:tcPr>
            <w:tcW w:w="0" w:type="auto"/>
            <w:tcBorders>
              <w:top w:val="nil"/>
              <w:left w:val="nil"/>
              <w:bottom w:val="single" w:sz="4" w:space="0" w:color="auto"/>
              <w:right w:val="single" w:sz="4" w:space="0" w:color="auto"/>
            </w:tcBorders>
            <w:shd w:val="clear" w:color="000000" w:fill="99CCFF"/>
            <w:noWrap/>
            <w:vAlign w:val="bottom"/>
            <w:hideMark/>
          </w:tcPr>
          <w:p w14:paraId="5E48C05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80783AD"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35354E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EEDA9BD"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E95A6D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0978224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932D3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Signalizačné a zabezpečovacie zariadenia</w:t>
            </w:r>
          </w:p>
        </w:tc>
        <w:tc>
          <w:tcPr>
            <w:tcW w:w="0" w:type="auto"/>
            <w:tcBorders>
              <w:top w:val="nil"/>
              <w:left w:val="nil"/>
              <w:bottom w:val="single" w:sz="4" w:space="0" w:color="auto"/>
              <w:right w:val="single" w:sz="4" w:space="0" w:color="auto"/>
            </w:tcBorders>
            <w:shd w:val="clear" w:color="auto" w:fill="auto"/>
            <w:noWrap/>
            <w:vAlign w:val="bottom"/>
            <w:hideMark/>
          </w:tcPr>
          <w:p w14:paraId="313A5CE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5 898 644,28</w:t>
            </w:r>
          </w:p>
        </w:tc>
        <w:tc>
          <w:tcPr>
            <w:tcW w:w="0" w:type="auto"/>
            <w:tcBorders>
              <w:top w:val="nil"/>
              <w:left w:val="nil"/>
              <w:bottom w:val="single" w:sz="4" w:space="0" w:color="auto"/>
              <w:right w:val="single" w:sz="4" w:space="0" w:color="auto"/>
            </w:tcBorders>
            <w:shd w:val="clear" w:color="000000" w:fill="99CCFF"/>
            <w:noWrap/>
            <w:vAlign w:val="bottom"/>
            <w:hideMark/>
          </w:tcPr>
          <w:p w14:paraId="270A5C5D"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1 471 924,09</w:t>
            </w:r>
          </w:p>
        </w:tc>
        <w:tc>
          <w:tcPr>
            <w:tcW w:w="0" w:type="auto"/>
            <w:tcBorders>
              <w:top w:val="nil"/>
              <w:left w:val="nil"/>
              <w:bottom w:val="single" w:sz="4" w:space="0" w:color="auto"/>
              <w:right w:val="single" w:sz="4" w:space="0" w:color="auto"/>
            </w:tcBorders>
            <w:shd w:val="clear" w:color="000000" w:fill="99CCFF"/>
            <w:noWrap/>
            <w:vAlign w:val="bottom"/>
            <w:hideMark/>
          </w:tcPr>
          <w:p w14:paraId="538624D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4 426 720,19</w:t>
            </w:r>
          </w:p>
        </w:tc>
        <w:tc>
          <w:tcPr>
            <w:tcW w:w="0" w:type="auto"/>
            <w:tcBorders>
              <w:top w:val="nil"/>
              <w:left w:val="nil"/>
              <w:bottom w:val="single" w:sz="4" w:space="0" w:color="auto"/>
              <w:right w:val="single" w:sz="4" w:space="0" w:color="auto"/>
            </w:tcBorders>
            <w:shd w:val="clear" w:color="000000" w:fill="99CCFF"/>
            <w:noWrap/>
            <w:vAlign w:val="bottom"/>
            <w:hideMark/>
          </w:tcPr>
          <w:p w14:paraId="5C4029C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48F1FF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1CB1A4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7BD03A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9428F1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38FE6C0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0C7A4D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Zariadenia energetiky a elektrotechniky</w:t>
            </w:r>
          </w:p>
        </w:tc>
        <w:tc>
          <w:tcPr>
            <w:tcW w:w="0" w:type="auto"/>
            <w:tcBorders>
              <w:top w:val="nil"/>
              <w:left w:val="nil"/>
              <w:bottom w:val="single" w:sz="4" w:space="0" w:color="auto"/>
              <w:right w:val="single" w:sz="4" w:space="0" w:color="auto"/>
            </w:tcBorders>
            <w:shd w:val="clear" w:color="auto" w:fill="auto"/>
            <w:noWrap/>
            <w:vAlign w:val="bottom"/>
            <w:hideMark/>
          </w:tcPr>
          <w:p w14:paraId="660B4B3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A51033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0F4984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28323C6"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C005B7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4C2AE4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BA52B9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A86307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76537A4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82E26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 xml:space="preserve">Stroje a zariadenia </w:t>
            </w:r>
          </w:p>
        </w:tc>
        <w:tc>
          <w:tcPr>
            <w:tcW w:w="0" w:type="auto"/>
            <w:tcBorders>
              <w:top w:val="nil"/>
              <w:left w:val="nil"/>
              <w:bottom w:val="single" w:sz="4" w:space="0" w:color="auto"/>
              <w:right w:val="single" w:sz="4" w:space="0" w:color="auto"/>
            </w:tcBorders>
            <w:shd w:val="clear" w:color="auto" w:fill="auto"/>
            <w:noWrap/>
            <w:vAlign w:val="bottom"/>
            <w:hideMark/>
          </w:tcPr>
          <w:p w14:paraId="1F3409B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A65A73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8CBEA5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1EA5995"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67B8FA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D41FFE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803613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4B45CA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4B37EB0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8739E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Protihlukové a iné prvky ochrany životného prostredia</w:t>
            </w:r>
          </w:p>
        </w:tc>
        <w:tc>
          <w:tcPr>
            <w:tcW w:w="0" w:type="auto"/>
            <w:tcBorders>
              <w:top w:val="nil"/>
              <w:left w:val="nil"/>
              <w:bottom w:val="single" w:sz="4" w:space="0" w:color="auto"/>
              <w:right w:val="single" w:sz="4" w:space="0" w:color="auto"/>
            </w:tcBorders>
            <w:shd w:val="clear" w:color="auto" w:fill="auto"/>
            <w:noWrap/>
            <w:vAlign w:val="bottom"/>
            <w:hideMark/>
          </w:tcPr>
          <w:p w14:paraId="0DC4543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1 511 560,02</w:t>
            </w:r>
          </w:p>
        </w:tc>
        <w:tc>
          <w:tcPr>
            <w:tcW w:w="0" w:type="auto"/>
            <w:tcBorders>
              <w:top w:val="nil"/>
              <w:left w:val="nil"/>
              <w:bottom w:val="single" w:sz="4" w:space="0" w:color="auto"/>
              <w:right w:val="single" w:sz="4" w:space="0" w:color="auto"/>
            </w:tcBorders>
            <w:shd w:val="clear" w:color="000000" w:fill="99CCFF"/>
            <w:noWrap/>
            <w:vAlign w:val="bottom"/>
            <w:hideMark/>
          </w:tcPr>
          <w:p w14:paraId="3FDF95FA"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125 836,83</w:t>
            </w:r>
          </w:p>
        </w:tc>
        <w:tc>
          <w:tcPr>
            <w:tcW w:w="0" w:type="auto"/>
            <w:tcBorders>
              <w:top w:val="nil"/>
              <w:left w:val="nil"/>
              <w:bottom w:val="single" w:sz="4" w:space="0" w:color="auto"/>
              <w:right w:val="single" w:sz="4" w:space="0" w:color="auto"/>
            </w:tcBorders>
            <w:shd w:val="clear" w:color="000000" w:fill="99CCFF"/>
            <w:noWrap/>
            <w:vAlign w:val="bottom"/>
            <w:hideMark/>
          </w:tcPr>
          <w:p w14:paraId="7F89630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1 385 723,19</w:t>
            </w:r>
          </w:p>
        </w:tc>
        <w:tc>
          <w:tcPr>
            <w:tcW w:w="0" w:type="auto"/>
            <w:tcBorders>
              <w:top w:val="nil"/>
              <w:left w:val="nil"/>
              <w:bottom w:val="single" w:sz="4" w:space="0" w:color="auto"/>
              <w:right w:val="single" w:sz="4" w:space="0" w:color="auto"/>
            </w:tcBorders>
            <w:shd w:val="clear" w:color="000000" w:fill="99CCFF"/>
            <w:noWrap/>
            <w:vAlign w:val="bottom"/>
            <w:hideMark/>
          </w:tcPr>
          <w:p w14:paraId="54A9AB4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C1CE6F7"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BD5443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FA7759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657A3E8"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7271E3B2"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3F322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Ostatné</w:t>
            </w:r>
          </w:p>
        </w:tc>
        <w:tc>
          <w:tcPr>
            <w:tcW w:w="0" w:type="auto"/>
            <w:tcBorders>
              <w:top w:val="nil"/>
              <w:left w:val="nil"/>
              <w:bottom w:val="single" w:sz="4" w:space="0" w:color="auto"/>
              <w:right w:val="single" w:sz="4" w:space="0" w:color="auto"/>
            </w:tcBorders>
            <w:shd w:val="clear" w:color="auto" w:fill="auto"/>
            <w:noWrap/>
            <w:vAlign w:val="bottom"/>
            <w:hideMark/>
          </w:tcPr>
          <w:p w14:paraId="02748D4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C5D186A"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A7E6DC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F456E63"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5A8ADA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31B73E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F3B4022"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F184DEA"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4A784AB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390DC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Vyvolané investície</w:t>
            </w:r>
          </w:p>
        </w:tc>
        <w:tc>
          <w:tcPr>
            <w:tcW w:w="0" w:type="auto"/>
            <w:tcBorders>
              <w:top w:val="nil"/>
              <w:left w:val="nil"/>
              <w:bottom w:val="single" w:sz="4" w:space="0" w:color="auto"/>
              <w:right w:val="single" w:sz="4" w:space="0" w:color="auto"/>
            </w:tcBorders>
            <w:shd w:val="clear" w:color="auto" w:fill="auto"/>
            <w:noWrap/>
            <w:vAlign w:val="bottom"/>
            <w:hideMark/>
          </w:tcPr>
          <w:p w14:paraId="25D1D37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13 040 897,95</w:t>
            </w:r>
          </w:p>
        </w:tc>
        <w:tc>
          <w:tcPr>
            <w:tcW w:w="0" w:type="auto"/>
            <w:tcBorders>
              <w:top w:val="nil"/>
              <w:left w:val="nil"/>
              <w:bottom w:val="single" w:sz="4" w:space="0" w:color="auto"/>
              <w:right w:val="single" w:sz="4" w:space="0" w:color="auto"/>
            </w:tcBorders>
            <w:shd w:val="clear" w:color="000000" w:fill="99CCFF"/>
            <w:noWrap/>
            <w:vAlign w:val="bottom"/>
            <w:hideMark/>
          </w:tcPr>
          <w:p w14:paraId="7DAA966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13 040 897,95</w:t>
            </w:r>
          </w:p>
        </w:tc>
        <w:tc>
          <w:tcPr>
            <w:tcW w:w="0" w:type="auto"/>
            <w:tcBorders>
              <w:top w:val="nil"/>
              <w:left w:val="nil"/>
              <w:bottom w:val="single" w:sz="4" w:space="0" w:color="auto"/>
              <w:right w:val="single" w:sz="4" w:space="0" w:color="auto"/>
            </w:tcBorders>
            <w:shd w:val="clear" w:color="000000" w:fill="99CCFF"/>
            <w:noWrap/>
            <w:vAlign w:val="bottom"/>
            <w:hideMark/>
          </w:tcPr>
          <w:p w14:paraId="1459F31F"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9D0BB29"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7A8F80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83EE540"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FEDAC81"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BFFAC0C"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11CE8A52"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3D7EA3D"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Dozor</w:t>
            </w:r>
          </w:p>
        </w:tc>
        <w:tc>
          <w:tcPr>
            <w:tcW w:w="0" w:type="auto"/>
            <w:tcBorders>
              <w:top w:val="nil"/>
              <w:left w:val="nil"/>
              <w:bottom w:val="single" w:sz="4" w:space="0" w:color="auto"/>
              <w:right w:val="single" w:sz="4" w:space="0" w:color="auto"/>
            </w:tcBorders>
            <w:shd w:val="clear" w:color="auto" w:fill="auto"/>
            <w:noWrap/>
            <w:vAlign w:val="bottom"/>
            <w:hideMark/>
          </w:tcPr>
          <w:p w14:paraId="0D41D4C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3 899 965,57</w:t>
            </w:r>
          </w:p>
        </w:tc>
        <w:tc>
          <w:tcPr>
            <w:tcW w:w="0" w:type="auto"/>
            <w:tcBorders>
              <w:top w:val="nil"/>
              <w:left w:val="nil"/>
              <w:bottom w:val="single" w:sz="4" w:space="0" w:color="auto"/>
              <w:right w:val="single" w:sz="4" w:space="0" w:color="auto"/>
            </w:tcBorders>
            <w:shd w:val="clear" w:color="000000" w:fill="99CCFF"/>
            <w:noWrap/>
            <w:vAlign w:val="bottom"/>
            <w:hideMark/>
          </w:tcPr>
          <w:p w14:paraId="318C3C4B"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2 232 255,99</w:t>
            </w:r>
          </w:p>
        </w:tc>
        <w:tc>
          <w:tcPr>
            <w:tcW w:w="0" w:type="auto"/>
            <w:tcBorders>
              <w:top w:val="nil"/>
              <w:left w:val="nil"/>
              <w:bottom w:val="single" w:sz="4" w:space="0" w:color="auto"/>
              <w:right w:val="single" w:sz="4" w:space="0" w:color="auto"/>
            </w:tcBorders>
            <w:shd w:val="clear" w:color="000000" w:fill="99CCFF"/>
            <w:noWrap/>
            <w:vAlign w:val="bottom"/>
            <w:hideMark/>
          </w:tcPr>
          <w:p w14:paraId="6BF1E1F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1 667 709,59</w:t>
            </w:r>
          </w:p>
        </w:tc>
        <w:tc>
          <w:tcPr>
            <w:tcW w:w="0" w:type="auto"/>
            <w:tcBorders>
              <w:top w:val="nil"/>
              <w:left w:val="nil"/>
              <w:bottom w:val="single" w:sz="4" w:space="0" w:color="auto"/>
              <w:right w:val="single" w:sz="4" w:space="0" w:color="auto"/>
            </w:tcBorders>
            <w:shd w:val="clear" w:color="000000" w:fill="99CCFF"/>
            <w:noWrap/>
            <w:vAlign w:val="bottom"/>
            <w:hideMark/>
          </w:tcPr>
          <w:p w14:paraId="3976769B"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0B0E2DE"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CFC07D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BC65904"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351BD0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4BF881AD"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9D2329"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Iné služby (Technická pomoc, Publicita, Externé riadenie)</w:t>
            </w:r>
          </w:p>
        </w:tc>
        <w:tc>
          <w:tcPr>
            <w:tcW w:w="0" w:type="auto"/>
            <w:tcBorders>
              <w:top w:val="nil"/>
              <w:left w:val="nil"/>
              <w:bottom w:val="single" w:sz="4" w:space="0" w:color="auto"/>
              <w:right w:val="single" w:sz="4" w:space="0" w:color="auto"/>
            </w:tcBorders>
            <w:shd w:val="clear" w:color="auto" w:fill="auto"/>
            <w:noWrap/>
            <w:vAlign w:val="bottom"/>
            <w:hideMark/>
          </w:tcPr>
          <w:p w14:paraId="165ABEA7"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250CF9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1384278"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65AF067"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9C56E18"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61D5DEC"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FA8D9FB"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BBF7BAE" w14:textId="77777777" w:rsidR="001A24C3" w:rsidRPr="00BF17CC" w:rsidRDefault="001A24C3" w:rsidP="00300963">
            <w:pPr>
              <w:jc w:val="right"/>
              <w:rPr>
                <w:rFonts w:ascii="Arial" w:eastAsia="Times New Roman" w:hAnsi="Arial" w:cs="Arial"/>
                <w:i/>
                <w:iCs/>
                <w:sz w:val="20"/>
                <w:szCs w:val="20"/>
                <w:vertAlign w:val="subscript"/>
                <w:lang w:eastAsia="sk-SK"/>
              </w:rPr>
            </w:pPr>
            <w:r w:rsidRPr="00BF17CC">
              <w:rPr>
                <w:rFonts w:ascii="Arial" w:eastAsia="Times New Roman" w:hAnsi="Arial" w:cs="Arial"/>
                <w:i/>
                <w:iCs/>
                <w:sz w:val="20"/>
                <w:szCs w:val="20"/>
                <w:vertAlign w:val="subscript"/>
                <w:lang w:eastAsia="sk-SK"/>
              </w:rPr>
              <w:t>0,00</w:t>
            </w:r>
          </w:p>
        </w:tc>
      </w:tr>
      <w:tr w:rsidR="001A24C3" w:rsidRPr="00BF17CC" w14:paraId="0DD9410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17939DEC" w14:textId="77777777" w:rsidR="001A24C3" w:rsidRPr="00BF17CC" w:rsidRDefault="001A24C3" w:rsidP="00300963">
            <w:pPr>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Celkové investičné výdavky</w:t>
            </w:r>
          </w:p>
        </w:tc>
        <w:tc>
          <w:tcPr>
            <w:tcW w:w="0" w:type="auto"/>
            <w:tcBorders>
              <w:top w:val="nil"/>
              <w:left w:val="nil"/>
              <w:bottom w:val="single" w:sz="4" w:space="0" w:color="auto"/>
              <w:right w:val="single" w:sz="4" w:space="0" w:color="auto"/>
            </w:tcBorders>
            <w:shd w:val="clear" w:color="auto" w:fill="auto"/>
            <w:vAlign w:val="bottom"/>
            <w:hideMark/>
          </w:tcPr>
          <w:p w14:paraId="151E1292"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145 961 402,96</w:t>
            </w:r>
          </w:p>
        </w:tc>
        <w:tc>
          <w:tcPr>
            <w:tcW w:w="0" w:type="auto"/>
            <w:tcBorders>
              <w:top w:val="nil"/>
              <w:left w:val="nil"/>
              <w:bottom w:val="single" w:sz="4" w:space="0" w:color="auto"/>
              <w:right w:val="single" w:sz="4" w:space="0" w:color="auto"/>
            </w:tcBorders>
            <w:shd w:val="clear" w:color="auto" w:fill="auto"/>
            <w:vAlign w:val="bottom"/>
            <w:hideMark/>
          </w:tcPr>
          <w:p w14:paraId="3DBB287B"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88 703 373,87</w:t>
            </w:r>
          </w:p>
        </w:tc>
        <w:tc>
          <w:tcPr>
            <w:tcW w:w="0" w:type="auto"/>
            <w:tcBorders>
              <w:top w:val="nil"/>
              <w:left w:val="nil"/>
              <w:bottom w:val="single" w:sz="4" w:space="0" w:color="auto"/>
              <w:right w:val="single" w:sz="4" w:space="0" w:color="auto"/>
            </w:tcBorders>
            <w:shd w:val="clear" w:color="auto" w:fill="auto"/>
            <w:vAlign w:val="bottom"/>
            <w:hideMark/>
          </w:tcPr>
          <w:p w14:paraId="500CCE6D"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57 258 029,09</w:t>
            </w:r>
          </w:p>
        </w:tc>
        <w:tc>
          <w:tcPr>
            <w:tcW w:w="0" w:type="auto"/>
            <w:tcBorders>
              <w:top w:val="nil"/>
              <w:left w:val="nil"/>
              <w:bottom w:val="single" w:sz="4" w:space="0" w:color="auto"/>
              <w:right w:val="single" w:sz="4" w:space="0" w:color="auto"/>
            </w:tcBorders>
            <w:shd w:val="clear" w:color="auto" w:fill="auto"/>
            <w:vAlign w:val="bottom"/>
            <w:hideMark/>
          </w:tcPr>
          <w:p w14:paraId="1657F9FA"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vAlign w:val="bottom"/>
            <w:hideMark/>
          </w:tcPr>
          <w:p w14:paraId="481D9F25"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vAlign w:val="bottom"/>
            <w:hideMark/>
          </w:tcPr>
          <w:p w14:paraId="336F388A"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vAlign w:val="bottom"/>
            <w:hideMark/>
          </w:tcPr>
          <w:p w14:paraId="4CD8E7C4"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vAlign w:val="bottom"/>
            <w:hideMark/>
          </w:tcPr>
          <w:p w14:paraId="384017AE"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r>
      <w:tr w:rsidR="001A24C3" w:rsidRPr="00BF17CC" w14:paraId="7B4FD0C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9FB88D"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Rezerva na nepredvídané výdavky</w:t>
            </w:r>
          </w:p>
        </w:tc>
        <w:tc>
          <w:tcPr>
            <w:tcW w:w="0" w:type="auto"/>
            <w:tcBorders>
              <w:top w:val="nil"/>
              <w:left w:val="nil"/>
              <w:bottom w:val="single" w:sz="4" w:space="0" w:color="auto"/>
              <w:right w:val="single" w:sz="4" w:space="0" w:color="auto"/>
            </w:tcBorders>
            <w:shd w:val="clear" w:color="auto" w:fill="auto"/>
            <w:noWrap/>
            <w:vAlign w:val="bottom"/>
            <w:hideMark/>
          </w:tcPr>
          <w:p w14:paraId="2477D65C"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13 389 881,80</w:t>
            </w:r>
          </w:p>
        </w:tc>
        <w:tc>
          <w:tcPr>
            <w:tcW w:w="0" w:type="auto"/>
            <w:tcBorders>
              <w:top w:val="nil"/>
              <w:left w:val="nil"/>
              <w:bottom w:val="single" w:sz="4" w:space="0" w:color="auto"/>
              <w:right w:val="single" w:sz="4" w:space="0" w:color="auto"/>
            </w:tcBorders>
            <w:shd w:val="clear" w:color="000000" w:fill="99CCFF"/>
            <w:noWrap/>
            <w:vAlign w:val="bottom"/>
            <w:hideMark/>
          </w:tcPr>
          <w:p w14:paraId="246758CC"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7 664 078,89</w:t>
            </w:r>
          </w:p>
        </w:tc>
        <w:tc>
          <w:tcPr>
            <w:tcW w:w="0" w:type="auto"/>
            <w:tcBorders>
              <w:top w:val="nil"/>
              <w:left w:val="nil"/>
              <w:bottom w:val="single" w:sz="4" w:space="0" w:color="auto"/>
              <w:right w:val="single" w:sz="4" w:space="0" w:color="auto"/>
            </w:tcBorders>
            <w:shd w:val="clear" w:color="000000" w:fill="99CCFF"/>
            <w:noWrap/>
            <w:vAlign w:val="bottom"/>
            <w:hideMark/>
          </w:tcPr>
          <w:p w14:paraId="2BC647A1"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5 725 802,91</w:t>
            </w:r>
          </w:p>
        </w:tc>
        <w:tc>
          <w:tcPr>
            <w:tcW w:w="0" w:type="auto"/>
            <w:tcBorders>
              <w:top w:val="nil"/>
              <w:left w:val="nil"/>
              <w:bottom w:val="single" w:sz="4" w:space="0" w:color="auto"/>
              <w:right w:val="single" w:sz="4" w:space="0" w:color="auto"/>
            </w:tcBorders>
            <w:shd w:val="clear" w:color="000000" w:fill="99CCFF"/>
            <w:noWrap/>
            <w:vAlign w:val="bottom"/>
            <w:hideMark/>
          </w:tcPr>
          <w:p w14:paraId="70B6A3D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9B812FF"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5BD9AC7"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5E78B7A"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EDE903A"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r>
      <w:tr w:rsidR="001A24C3" w:rsidRPr="00BF17CC" w14:paraId="361C859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009DFC7"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Cenové úpravy (valorizácia)</w:t>
            </w:r>
          </w:p>
        </w:tc>
        <w:tc>
          <w:tcPr>
            <w:tcW w:w="0" w:type="auto"/>
            <w:tcBorders>
              <w:top w:val="nil"/>
              <w:left w:val="nil"/>
              <w:bottom w:val="single" w:sz="4" w:space="0" w:color="auto"/>
              <w:right w:val="single" w:sz="4" w:space="0" w:color="auto"/>
            </w:tcBorders>
            <w:shd w:val="clear" w:color="auto" w:fill="auto"/>
            <w:noWrap/>
            <w:vAlign w:val="bottom"/>
            <w:hideMark/>
          </w:tcPr>
          <w:p w14:paraId="55DA9BA6"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3 078 475,66</w:t>
            </w:r>
          </w:p>
        </w:tc>
        <w:tc>
          <w:tcPr>
            <w:tcW w:w="0" w:type="auto"/>
            <w:tcBorders>
              <w:top w:val="nil"/>
              <w:left w:val="nil"/>
              <w:bottom w:val="single" w:sz="4" w:space="0" w:color="auto"/>
              <w:right w:val="single" w:sz="4" w:space="0" w:color="auto"/>
            </w:tcBorders>
            <w:shd w:val="clear" w:color="000000" w:fill="99CCFF"/>
            <w:noWrap/>
            <w:vAlign w:val="bottom"/>
            <w:hideMark/>
          </w:tcPr>
          <w:p w14:paraId="3E921EA6"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1 762 052,92</w:t>
            </w:r>
          </w:p>
        </w:tc>
        <w:tc>
          <w:tcPr>
            <w:tcW w:w="0" w:type="auto"/>
            <w:tcBorders>
              <w:top w:val="nil"/>
              <w:left w:val="nil"/>
              <w:bottom w:val="single" w:sz="4" w:space="0" w:color="auto"/>
              <w:right w:val="single" w:sz="4" w:space="0" w:color="auto"/>
            </w:tcBorders>
            <w:shd w:val="clear" w:color="000000" w:fill="99CCFF"/>
            <w:noWrap/>
            <w:vAlign w:val="bottom"/>
            <w:hideMark/>
          </w:tcPr>
          <w:p w14:paraId="06AE9D00"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1 316 422,74</w:t>
            </w:r>
          </w:p>
        </w:tc>
        <w:tc>
          <w:tcPr>
            <w:tcW w:w="0" w:type="auto"/>
            <w:tcBorders>
              <w:top w:val="nil"/>
              <w:left w:val="nil"/>
              <w:bottom w:val="single" w:sz="4" w:space="0" w:color="auto"/>
              <w:right w:val="single" w:sz="4" w:space="0" w:color="auto"/>
            </w:tcBorders>
            <w:shd w:val="clear" w:color="000000" w:fill="99CCFF"/>
            <w:noWrap/>
            <w:vAlign w:val="bottom"/>
            <w:hideMark/>
          </w:tcPr>
          <w:p w14:paraId="73C9C28B"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E393B8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4AD1BE2"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0137A47"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646D31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r>
      <w:tr w:rsidR="001A24C3" w:rsidRPr="00BF17CC" w14:paraId="4D85B805" w14:textId="77777777" w:rsidTr="00300963">
        <w:trPr>
          <w:trHeight w:val="22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7F3D3409" w14:textId="77777777" w:rsidR="001A24C3" w:rsidRPr="00BF17CC" w:rsidRDefault="001A24C3" w:rsidP="00300963">
            <w:pPr>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Celkové investičné výdavky vrátane rezervy a valorizácie</w:t>
            </w:r>
          </w:p>
        </w:tc>
        <w:tc>
          <w:tcPr>
            <w:tcW w:w="0" w:type="auto"/>
            <w:tcBorders>
              <w:top w:val="nil"/>
              <w:left w:val="nil"/>
              <w:bottom w:val="single" w:sz="4" w:space="0" w:color="auto"/>
              <w:right w:val="single" w:sz="4" w:space="0" w:color="auto"/>
            </w:tcBorders>
            <w:shd w:val="clear" w:color="auto" w:fill="auto"/>
            <w:noWrap/>
            <w:vAlign w:val="bottom"/>
            <w:hideMark/>
          </w:tcPr>
          <w:p w14:paraId="6A024317"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162 429 760,42</w:t>
            </w:r>
          </w:p>
        </w:tc>
        <w:tc>
          <w:tcPr>
            <w:tcW w:w="0" w:type="auto"/>
            <w:tcBorders>
              <w:top w:val="nil"/>
              <w:left w:val="nil"/>
              <w:bottom w:val="single" w:sz="4" w:space="0" w:color="auto"/>
              <w:right w:val="single" w:sz="4" w:space="0" w:color="auto"/>
            </w:tcBorders>
            <w:shd w:val="clear" w:color="auto" w:fill="auto"/>
            <w:noWrap/>
            <w:vAlign w:val="bottom"/>
            <w:hideMark/>
          </w:tcPr>
          <w:p w14:paraId="73D4B314"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98 129 505,68</w:t>
            </w:r>
          </w:p>
        </w:tc>
        <w:tc>
          <w:tcPr>
            <w:tcW w:w="0" w:type="auto"/>
            <w:tcBorders>
              <w:top w:val="nil"/>
              <w:left w:val="nil"/>
              <w:bottom w:val="single" w:sz="4" w:space="0" w:color="auto"/>
              <w:right w:val="single" w:sz="4" w:space="0" w:color="auto"/>
            </w:tcBorders>
            <w:shd w:val="clear" w:color="auto" w:fill="auto"/>
            <w:noWrap/>
            <w:vAlign w:val="bottom"/>
            <w:hideMark/>
          </w:tcPr>
          <w:p w14:paraId="41E6EB6B"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64 300 254,74</w:t>
            </w:r>
          </w:p>
        </w:tc>
        <w:tc>
          <w:tcPr>
            <w:tcW w:w="0" w:type="auto"/>
            <w:tcBorders>
              <w:top w:val="nil"/>
              <w:left w:val="nil"/>
              <w:bottom w:val="single" w:sz="4" w:space="0" w:color="auto"/>
              <w:right w:val="single" w:sz="4" w:space="0" w:color="auto"/>
            </w:tcBorders>
            <w:shd w:val="clear" w:color="auto" w:fill="auto"/>
            <w:noWrap/>
            <w:vAlign w:val="bottom"/>
            <w:hideMark/>
          </w:tcPr>
          <w:p w14:paraId="52E24A1A"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E41A64E"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795D687"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A53CADD"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B9A679C"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r>
      <w:tr w:rsidR="001A24C3" w:rsidRPr="00BF17CC" w14:paraId="38031E8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DF16452" w14:textId="77777777" w:rsidR="001A24C3" w:rsidRPr="00BF17CC" w:rsidRDefault="001A24C3" w:rsidP="00300963">
            <w:pPr>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DPH</w:t>
            </w:r>
          </w:p>
        </w:tc>
        <w:tc>
          <w:tcPr>
            <w:tcW w:w="0" w:type="auto"/>
            <w:tcBorders>
              <w:top w:val="nil"/>
              <w:left w:val="nil"/>
              <w:bottom w:val="single" w:sz="4" w:space="0" w:color="auto"/>
              <w:right w:val="single" w:sz="4" w:space="0" w:color="auto"/>
            </w:tcBorders>
            <w:shd w:val="clear" w:color="auto" w:fill="auto"/>
            <w:noWrap/>
            <w:vAlign w:val="bottom"/>
            <w:hideMark/>
          </w:tcPr>
          <w:p w14:paraId="50A262B9"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32 167 772,08</w:t>
            </w:r>
          </w:p>
        </w:tc>
        <w:tc>
          <w:tcPr>
            <w:tcW w:w="0" w:type="auto"/>
            <w:tcBorders>
              <w:top w:val="nil"/>
              <w:left w:val="nil"/>
              <w:bottom w:val="single" w:sz="4" w:space="0" w:color="auto"/>
              <w:right w:val="single" w:sz="4" w:space="0" w:color="auto"/>
            </w:tcBorders>
            <w:shd w:val="clear" w:color="000000" w:fill="99CCFF"/>
            <w:noWrap/>
            <w:vAlign w:val="bottom"/>
            <w:hideMark/>
          </w:tcPr>
          <w:p w14:paraId="00B2313F"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19 307 721,14</w:t>
            </w:r>
          </w:p>
        </w:tc>
        <w:tc>
          <w:tcPr>
            <w:tcW w:w="0" w:type="auto"/>
            <w:tcBorders>
              <w:top w:val="nil"/>
              <w:left w:val="nil"/>
              <w:bottom w:val="single" w:sz="4" w:space="0" w:color="auto"/>
              <w:right w:val="single" w:sz="4" w:space="0" w:color="auto"/>
            </w:tcBorders>
            <w:shd w:val="clear" w:color="000000" w:fill="99CCFF"/>
            <w:noWrap/>
            <w:vAlign w:val="bottom"/>
            <w:hideMark/>
          </w:tcPr>
          <w:p w14:paraId="4F17EFCA"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12 860 050,95</w:t>
            </w:r>
          </w:p>
        </w:tc>
        <w:tc>
          <w:tcPr>
            <w:tcW w:w="0" w:type="auto"/>
            <w:tcBorders>
              <w:top w:val="nil"/>
              <w:left w:val="nil"/>
              <w:bottom w:val="single" w:sz="4" w:space="0" w:color="auto"/>
              <w:right w:val="single" w:sz="4" w:space="0" w:color="auto"/>
            </w:tcBorders>
            <w:shd w:val="clear" w:color="000000" w:fill="99CCFF"/>
            <w:noWrap/>
            <w:vAlign w:val="bottom"/>
            <w:hideMark/>
          </w:tcPr>
          <w:p w14:paraId="6456F12C"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66F13A7"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E51D260"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4006525"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E352617" w14:textId="77777777" w:rsidR="001A24C3" w:rsidRPr="00BF17CC" w:rsidRDefault="001A24C3" w:rsidP="00300963">
            <w:pPr>
              <w:jc w:val="right"/>
              <w:rPr>
                <w:rFonts w:ascii="Arial" w:eastAsia="Times New Roman" w:hAnsi="Arial" w:cs="Arial"/>
                <w:sz w:val="20"/>
                <w:szCs w:val="20"/>
                <w:vertAlign w:val="subscript"/>
                <w:lang w:eastAsia="sk-SK"/>
              </w:rPr>
            </w:pPr>
            <w:r w:rsidRPr="00BF17CC">
              <w:rPr>
                <w:rFonts w:ascii="Arial" w:eastAsia="Times New Roman" w:hAnsi="Arial" w:cs="Arial"/>
                <w:sz w:val="20"/>
                <w:szCs w:val="20"/>
                <w:vertAlign w:val="subscript"/>
                <w:lang w:eastAsia="sk-SK"/>
              </w:rPr>
              <w:t>0,00</w:t>
            </w:r>
          </w:p>
        </w:tc>
      </w:tr>
      <w:tr w:rsidR="001A24C3" w:rsidRPr="00BF17CC" w14:paraId="77248A2F"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AB77A55" w14:textId="77777777" w:rsidR="001A24C3" w:rsidRPr="00BF17CC" w:rsidRDefault="001A24C3" w:rsidP="00300963">
            <w:pPr>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Celkové investičné výdavky vrátane DPH</w:t>
            </w:r>
          </w:p>
        </w:tc>
        <w:tc>
          <w:tcPr>
            <w:tcW w:w="0" w:type="auto"/>
            <w:tcBorders>
              <w:top w:val="nil"/>
              <w:left w:val="nil"/>
              <w:bottom w:val="single" w:sz="4" w:space="0" w:color="auto"/>
              <w:right w:val="single" w:sz="4" w:space="0" w:color="auto"/>
            </w:tcBorders>
            <w:shd w:val="clear" w:color="auto" w:fill="auto"/>
            <w:noWrap/>
            <w:vAlign w:val="bottom"/>
            <w:hideMark/>
          </w:tcPr>
          <w:p w14:paraId="1BDD05CB"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194 597 532,50</w:t>
            </w:r>
          </w:p>
        </w:tc>
        <w:tc>
          <w:tcPr>
            <w:tcW w:w="0" w:type="auto"/>
            <w:tcBorders>
              <w:top w:val="nil"/>
              <w:left w:val="nil"/>
              <w:bottom w:val="single" w:sz="4" w:space="0" w:color="auto"/>
              <w:right w:val="single" w:sz="4" w:space="0" w:color="auto"/>
            </w:tcBorders>
            <w:shd w:val="clear" w:color="auto" w:fill="auto"/>
            <w:noWrap/>
            <w:vAlign w:val="bottom"/>
            <w:hideMark/>
          </w:tcPr>
          <w:p w14:paraId="0933FA57"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117 437 226,82</w:t>
            </w:r>
          </w:p>
        </w:tc>
        <w:tc>
          <w:tcPr>
            <w:tcW w:w="0" w:type="auto"/>
            <w:tcBorders>
              <w:top w:val="nil"/>
              <w:left w:val="nil"/>
              <w:bottom w:val="single" w:sz="4" w:space="0" w:color="auto"/>
              <w:right w:val="single" w:sz="4" w:space="0" w:color="auto"/>
            </w:tcBorders>
            <w:shd w:val="clear" w:color="auto" w:fill="auto"/>
            <w:noWrap/>
            <w:vAlign w:val="bottom"/>
            <w:hideMark/>
          </w:tcPr>
          <w:p w14:paraId="2A179AEC"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77 160 305,69</w:t>
            </w:r>
          </w:p>
        </w:tc>
        <w:tc>
          <w:tcPr>
            <w:tcW w:w="0" w:type="auto"/>
            <w:tcBorders>
              <w:top w:val="nil"/>
              <w:left w:val="nil"/>
              <w:bottom w:val="single" w:sz="4" w:space="0" w:color="auto"/>
              <w:right w:val="single" w:sz="4" w:space="0" w:color="auto"/>
            </w:tcBorders>
            <w:shd w:val="clear" w:color="auto" w:fill="auto"/>
            <w:noWrap/>
            <w:vAlign w:val="bottom"/>
            <w:hideMark/>
          </w:tcPr>
          <w:p w14:paraId="669F15DD"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016C017"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3D3EF0D"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4867E24"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6A23051" w14:textId="77777777" w:rsidR="001A24C3" w:rsidRPr="00BF17CC" w:rsidRDefault="001A24C3" w:rsidP="00300963">
            <w:pPr>
              <w:jc w:val="right"/>
              <w:rPr>
                <w:rFonts w:ascii="Arial" w:eastAsia="Times New Roman" w:hAnsi="Arial" w:cs="Arial"/>
                <w:b/>
                <w:bCs/>
                <w:sz w:val="20"/>
                <w:szCs w:val="20"/>
                <w:vertAlign w:val="subscript"/>
                <w:lang w:eastAsia="sk-SK"/>
              </w:rPr>
            </w:pPr>
            <w:r w:rsidRPr="00BF17CC">
              <w:rPr>
                <w:rFonts w:ascii="Arial" w:eastAsia="Times New Roman" w:hAnsi="Arial" w:cs="Arial"/>
                <w:b/>
                <w:bCs/>
                <w:sz w:val="20"/>
                <w:szCs w:val="20"/>
                <w:vertAlign w:val="subscript"/>
                <w:lang w:eastAsia="sk-SK"/>
              </w:rPr>
              <w:t>0,00</w:t>
            </w:r>
          </w:p>
        </w:tc>
      </w:tr>
      <w:tr w:rsidR="001A24C3" w:rsidRPr="00BF17CC" w14:paraId="42A4AFE1" w14:textId="77777777" w:rsidTr="00300963">
        <w:trPr>
          <w:trHeight w:val="204"/>
        </w:trPr>
        <w:tc>
          <w:tcPr>
            <w:tcW w:w="0" w:type="auto"/>
            <w:tcBorders>
              <w:top w:val="nil"/>
              <w:left w:val="nil"/>
              <w:bottom w:val="nil"/>
              <w:right w:val="nil"/>
            </w:tcBorders>
            <w:shd w:val="clear" w:color="auto" w:fill="auto"/>
            <w:noWrap/>
            <w:vAlign w:val="bottom"/>
            <w:hideMark/>
          </w:tcPr>
          <w:p w14:paraId="4FD62974" w14:textId="77777777" w:rsidR="001A24C3" w:rsidRPr="00BF17CC" w:rsidRDefault="001A24C3" w:rsidP="00300963">
            <w:pPr>
              <w:jc w:val="right"/>
              <w:rPr>
                <w:rFonts w:ascii="Arial" w:eastAsia="Times New Roman" w:hAnsi="Arial" w:cs="Arial"/>
                <w:b/>
                <w:bCs/>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6601350F"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575D6C32"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360C9BA6"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1CBBEED9"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70C6AF81"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1147DC4E"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0CDB5A4E"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c>
          <w:tcPr>
            <w:tcW w:w="0" w:type="auto"/>
            <w:tcBorders>
              <w:top w:val="nil"/>
              <w:left w:val="nil"/>
              <w:bottom w:val="nil"/>
              <w:right w:val="nil"/>
            </w:tcBorders>
            <w:shd w:val="clear" w:color="auto" w:fill="auto"/>
            <w:noWrap/>
            <w:vAlign w:val="bottom"/>
            <w:hideMark/>
          </w:tcPr>
          <w:p w14:paraId="56241E21" w14:textId="77777777" w:rsidR="001A24C3" w:rsidRPr="00BF17CC" w:rsidRDefault="001A24C3" w:rsidP="00300963">
            <w:pPr>
              <w:rPr>
                <w:rFonts w:ascii="Times New Roman" w:eastAsia="Times New Roman" w:hAnsi="Times New Roman" w:cs="Times New Roman"/>
                <w:sz w:val="20"/>
                <w:szCs w:val="20"/>
                <w:vertAlign w:val="subscript"/>
                <w:lang w:eastAsia="sk-SK"/>
              </w:rPr>
            </w:pPr>
          </w:p>
        </w:tc>
      </w:tr>
      <w:tr w:rsidR="001A24C3" w:rsidRPr="00BF17CC" w14:paraId="760BAF89" w14:textId="77777777" w:rsidTr="00300963">
        <w:trPr>
          <w:trHeight w:val="204"/>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2FC270D" w14:textId="77777777" w:rsidR="001A24C3" w:rsidRPr="00BF17CC" w:rsidRDefault="001A24C3" w:rsidP="00300963">
            <w:pPr>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Oprávnené investičné výdavky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E72EF2B"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154 897 559,42</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7A4E2F77"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90 597 304,68</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247FE92F"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64 300 254,74</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5A217AC7"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517001CE"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510209B0"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563A7436"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1B891C34"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r>
      <w:tr w:rsidR="001A24C3" w:rsidRPr="00BF17CC" w14:paraId="258D8B85"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95A00E6" w14:textId="77777777" w:rsidR="001A24C3" w:rsidRPr="00BF17CC" w:rsidRDefault="001A24C3" w:rsidP="00300963">
            <w:pPr>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Oprávnené investičné výdavky bez DPH, rezervy a valorizácie</w:t>
            </w:r>
          </w:p>
        </w:tc>
        <w:tc>
          <w:tcPr>
            <w:tcW w:w="0" w:type="auto"/>
            <w:tcBorders>
              <w:top w:val="nil"/>
              <w:left w:val="nil"/>
              <w:bottom w:val="single" w:sz="4" w:space="0" w:color="auto"/>
              <w:right w:val="single" w:sz="4" w:space="0" w:color="auto"/>
            </w:tcBorders>
            <w:shd w:val="clear" w:color="auto" w:fill="auto"/>
            <w:noWrap/>
            <w:vAlign w:val="bottom"/>
            <w:hideMark/>
          </w:tcPr>
          <w:p w14:paraId="4CE14135"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138 429 201,96</w:t>
            </w:r>
          </w:p>
        </w:tc>
        <w:tc>
          <w:tcPr>
            <w:tcW w:w="0" w:type="auto"/>
            <w:tcBorders>
              <w:top w:val="nil"/>
              <w:left w:val="nil"/>
              <w:bottom w:val="single" w:sz="4" w:space="0" w:color="auto"/>
              <w:right w:val="single" w:sz="4" w:space="0" w:color="auto"/>
            </w:tcBorders>
            <w:shd w:val="clear" w:color="auto" w:fill="auto"/>
            <w:noWrap/>
            <w:vAlign w:val="bottom"/>
            <w:hideMark/>
          </w:tcPr>
          <w:p w14:paraId="788F7D4B"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81 171 172,87</w:t>
            </w:r>
          </w:p>
        </w:tc>
        <w:tc>
          <w:tcPr>
            <w:tcW w:w="0" w:type="auto"/>
            <w:tcBorders>
              <w:top w:val="nil"/>
              <w:left w:val="nil"/>
              <w:bottom w:val="single" w:sz="4" w:space="0" w:color="auto"/>
              <w:right w:val="single" w:sz="4" w:space="0" w:color="auto"/>
            </w:tcBorders>
            <w:shd w:val="clear" w:color="auto" w:fill="auto"/>
            <w:noWrap/>
            <w:vAlign w:val="bottom"/>
            <w:hideMark/>
          </w:tcPr>
          <w:p w14:paraId="33C6ADCB"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57 258 029,09</w:t>
            </w:r>
          </w:p>
        </w:tc>
        <w:tc>
          <w:tcPr>
            <w:tcW w:w="0" w:type="auto"/>
            <w:tcBorders>
              <w:top w:val="nil"/>
              <w:left w:val="nil"/>
              <w:bottom w:val="single" w:sz="4" w:space="0" w:color="auto"/>
              <w:right w:val="single" w:sz="4" w:space="0" w:color="auto"/>
            </w:tcBorders>
            <w:shd w:val="clear" w:color="auto" w:fill="auto"/>
            <w:noWrap/>
            <w:vAlign w:val="bottom"/>
            <w:hideMark/>
          </w:tcPr>
          <w:p w14:paraId="68060ED9"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B748D52"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15E719B"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F3939F3"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170F5AB"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r>
      <w:tr w:rsidR="001A24C3" w:rsidRPr="00BF17CC" w14:paraId="310C7BF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2E4475" w14:textId="77777777" w:rsidR="001A24C3" w:rsidRPr="00BF17CC" w:rsidRDefault="001A24C3" w:rsidP="00300963">
            <w:pPr>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Neoprávnené investičné výdavky</w:t>
            </w:r>
          </w:p>
        </w:tc>
        <w:tc>
          <w:tcPr>
            <w:tcW w:w="0" w:type="auto"/>
            <w:tcBorders>
              <w:top w:val="nil"/>
              <w:left w:val="nil"/>
              <w:bottom w:val="single" w:sz="4" w:space="0" w:color="auto"/>
              <w:right w:val="single" w:sz="4" w:space="0" w:color="auto"/>
            </w:tcBorders>
            <w:shd w:val="clear" w:color="auto" w:fill="auto"/>
            <w:noWrap/>
            <w:vAlign w:val="bottom"/>
            <w:hideMark/>
          </w:tcPr>
          <w:p w14:paraId="04051FDD"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39 699 973,08</w:t>
            </w:r>
          </w:p>
        </w:tc>
        <w:tc>
          <w:tcPr>
            <w:tcW w:w="0" w:type="auto"/>
            <w:tcBorders>
              <w:top w:val="nil"/>
              <w:left w:val="nil"/>
              <w:bottom w:val="single" w:sz="4" w:space="0" w:color="auto"/>
              <w:right w:val="single" w:sz="4" w:space="0" w:color="auto"/>
            </w:tcBorders>
            <w:shd w:val="clear" w:color="auto" w:fill="auto"/>
            <w:noWrap/>
            <w:vAlign w:val="bottom"/>
            <w:hideMark/>
          </w:tcPr>
          <w:p w14:paraId="53A40F37"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26 839 922,14</w:t>
            </w:r>
          </w:p>
        </w:tc>
        <w:tc>
          <w:tcPr>
            <w:tcW w:w="0" w:type="auto"/>
            <w:tcBorders>
              <w:top w:val="nil"/>
              <w:left w:val="nil"/>
              <w:bottom w:val="single" w:sz="4" w:space="0" w:color="auto"/>
              <w:right w:val="single" w:sz="4" w:space="0" w:color="auto"/>
            </w:tcBorders>
            <w:shd w:val="clear" w:color="auto" w:fill="auto"/>
            <w:noWrap/>
            <w:vAlign w:val="bottom"/>
            <w:hideMark/>
          </w:tcPr>
          <w:p w14:paraId="57E89815"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12 860 050,95</w:t>
            </w:r>
          </w:p>
        </w:tc>
        <w:tc>
          <w:tcPr>
            <w:tcW w:w="0" w:type="auto"/>
            <w:tcBorders>
              <w:top w:val="nil"/>
              <w:left w:val="nil"/>
              <w:bottom w:val="single" w:sz="4" w:space="0" w:color="auto"/>
              <w:right w:val="single" w:sz="4" w:space="0" w:color="auto"/>
            </w:tcBorders>
            <w:shd w:val="clear" w:color="auto" w:fill="auto"/>
            <w:noWrap/>
            <w:vAlign w:val="bottom"/>
            <w:hideMark/>
          </w:tcPr>
          <w:p w14:paraId="111F3513"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543CC67"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5057597"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D7D0A87"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109D3BB" w14:textId="77777777" w:rsidR="001A24C3" w:rsidRPr="00BF17CC" w:rsidRDefault="001A24C3" w:rsidP="00300963">
            <w:pPr>
              <w:jc w:val="right"/>
              <w:rPr>
                <w:rFonts w:ascii="Arial" w:eastAsia="Times New Roman" w:hAnsi="Arial" w:cs="Arial"/>
                <w:color w:val="1F497D"/>
                <w:sz w:val="20"/>
                <w:szCs w:val="20"/>
                <w:vertAlign w:val="subscript"/>
                <w:lang w:eastAsia="sk-SK"/>
              </w:rPr>
            </w:pPr>
            <w:r w:rsidRPr="00BF17CC">
              <w:rPr>
                <w:rFonts w:ascii="Arial" w:eastAsia="Times New Roman" w:hAnsi="Arial" w:cs="Arial"/>
                <w:color w:val="1F497D"/>
                <w:sz w:val="20"/>
                <w:szCs w:val="20"/>
                <w:vertAlign w:val="subscript"/>
                <w:lang w:eastAsia="sk-SK"/>
              </w:rPr>
              <w:t>0,00</w:t>
            </w:r>
          </w:p>
        </w:tc>
      </w:tr>
    </w:tbl>
    <w:p w14:paraId="46FD3E39" w14:textId="77777777" w:rsidR="001A24C3" w:rsidRDefault="001A24C3" w:rsidP="001A24C3">
      <w:pPr>
        <w:rPr>
          <w:b/>
          <w:iCs/>
          <w:color w:val="C00000"/>
          <w:sz w:val="20"/>
          <w:szCs w:val="18"/>
        </w:rPr>
      </w:pPr>
    </w:p>
    <w:p w14:paraId="16FB7046" w14:textId="5D215323" w:rsidR="001A24C3" w:rsidRDefault="001A24C3" w:rsidP="001A24C3">
      <w:pPr>
        <w:pStyle w:val="Popis"/>
        <w:keepNext/>
        <w:jc w:val="both"/>
      </w:pPr>
      <w:bookmarkStart w:id="260" w:name="_Toc83677901"/>
      <w:r>
        <w:t xml:space="preserve">Tabuľka </w:t>
      </w:r>
      <w:r w:rsidR="00DA0B84">
        <w:rPr>
          <w:noProof/>
        </w:rPr>
        <w:t>30</w:t>
      </w:r>
      <w:r>
        <w:tab/>
      </w:r>
      <w:r w:rsidRPr="00E934A0">
        <w:t>Prevádzkové náklady bez projektu</w:t>
      </w:r>
      <w:bookmarkEnd w:id="260"/>
    </w:p>
    <w:tbl>
      <w:tblPr>
        <w:tblW w:w="5360" w:type="dxa"/>
        <w:tblCellMar>
          <w:left w:w="70" w:type="dxa"/>
          <w:right w:w="70" w:type="dxa"/>
        </w:tblCellMar>
        <w:tblLook w:val="04A0" w:firstRow="1" w:lastRow="0" w:firstColumn="1" w:lastColumn="0" w:noHBand="0" w:noVBand="1"/>
      </w:tblPr>
      <w:tblGrid>
        <w:gridCol w:w="4060"/>
        <w:gridCol w:w="1300"/>
      </w:tblGrid>
      <w:tr w:rsidR="001A24C3" w:rsidRPr="00BF17CC" w14:paraId="34BEFB57"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70EDB36"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3.1 Prevádzkové výdavky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1FFC7FC9"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 </w:t>
            </w:r>
          </w:p>
        </w:tc>
      </w:tr>
      <w:tr w:rsidR="001A24C3" w:rsidRPr="00BF17CC" w14:paraId="5AA0AEE5"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D9D9D9"/>
            <w:noWrap/>
            <w:vAlign w:val="bottom"/>
            <w:hideMark/>
          </w:tcPr>
          <w:p w14:paraId="1DBD10B9"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BEZ PROJEKTU</w:t>
            </w:r>
          </w:p>
        </w:tc>
        <w:tc>
          <w:tcPr>
            <w:tcW w:w="1300" w:type="dxa"/>
            <w:tcBorders>
              <w:top w:val="nil"/>
              <w:left w:val="nil"/>
              <w:bottom w:val="single" w:sz="4" w:space="0" w:color="auto"/>
              <w:right w:val="single" w:sz="4" w:space="0" w:color="auto"/>
            </w:tcBorders>
            <w:shd w:val="clear" w:color="000000" w:fill="D9D9D9"/>
            <w:noWrap/>
            <w:vAlign w:val="bottom"/>
            <w:hideMark/>
          </w:tcPr>
          <w:p w14:paraId="7937540F"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Celkom</w:t>
            </w:r>
          </w:p>
        </w:tc>
      </w:tr>
      <w:tr w:rsidR="001A24C3" w:rsidRPr="00BF17CC" w14:paraId="15CA917B"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1627350"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Prevádzkové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18EEA206"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104 370 119,10</w:t>
            </w:r>
          </w:p>
        </w:tc>
      </w:tr>
      <w:tr w:rsidR="001A24C3" w:rsidRPr="00BF17CC" w14:paraId="41996E95"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73BD23C"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Výmeny</w:t>
            </w:r>
          </w:p>
        </w:tc>
        <w:tc>
          <w:tcPr>
            <w:tcW w:w="1300" w:type="dxa"/>
            <w:tcBorders>
              <w:top w:val="nil"/>
              <w:left w:val="nil"/>
              <w:bottom w:val="single" w:sz="4" w:space="0" w:color="auto"/>
              <w:right w:val="single" w:sz="4" w:space="0" w:color="auto"/>
            </w:tcBorders>
            <w:shd w:val="clear" w:color="auto" w:fill="auto"/>
            <w:noWrap/>
            <w:vAlign w:val="bottom"/>
            <w:hideMark/>
          </w:tcPr>
          <w:p w14:paraId="6CFD0443"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91 236 411,74</w:t>
            </w:r>
          </w:p>
        </w:tc>
      </w:tr>
      <w:tr w:rsidR="001A24C3" w:rsidRPr="00BF17CC" w14:paraId="77A864E7"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63427DD"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 na údržbu</w:t>
            </w:r>
          </w:p>
        </w:tc>
        <w:tc>
          <w:tcPr>
            <w:tcW w:w="1300" w:type="dxa"/>
            <w:tcBorders>
              <w:top w:val="nil"/>
              <w:left w:val="nil"/>
              <w:bottom w:val="single" w:sz="4" w:space="0" w:color="auto"/>
              <w:right w:val="single" w:sz="4" w:space="0" w:color="auto"/>
            </w:tcBorders>
            <w:shd w:val="clear" w:color="auto" w:fill="auto"/>
            <w:noWrap/>
            <w:vAlign w:val="bottom"/>
            <w:hideMark/>
          </w:tcPr>
          <w:p w14:paraId="09EA2C0B"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195 606 530,84</w:t>
            </w:r>
          </w:p>
        </w:tc>
      </w:tr>
      <w:tr w:rsidR="001A24C3" w:rsidRPr="00BF17CC" w14:paraId="7560F8BB"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233F9FE"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Iné špecifické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6F0A335A"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0,00</w:t>
            </w:r>
          </w:p>
        </w:tc>
      </w:tr>
      <w:tr w:rsidR="001A24C3" w:rsidRPr="00BF17CC" w14:paraId="5BD50488"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243313A6"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iné špecifické prevádzkové výdavky</w:t>
            </w:r>
          </w:p>
        </w:tc>
        <w:tc>
          <w:tcPr>
            <w:tcW w:w="1300" w:type="dxa"/>
            <w:tcBorders>
              <w:top w:val="nil"/>
              <w:left w:val="nil"/>
              <w:bottom w:val="double" w:sz="6" w:space="0" w:color="auto"/>
              <w:right w:val="single" w:sz="4" w:space="0" w:color="auto"/>
            </w:tcBorders>
            <w:shd w:val="clear" w:color="auto" w:fill="auto"/>
            <w:noWrap/>
            <w:vAlign w:val="bottom"/>
            <w:hideMark/>
          </w:tcPr>
          <w:p w14:paraId="56858891"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0,00</w:t>
            </w:r>
          </w:p>
        </w:tc>
      </w:tr>
      <w:tr w:rsidR="001A24C3" w:rsidRPr="00BF17CC" w14:paraId="384ECFE0"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61BB7CA"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406686D1"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195 606 530,84</w:t>
            </w:r>
          </w:p>
        </w:tc>
      </w:tr>
    </w:tbl>
    <w:p w14:paraId="726249E5" w14:textId="77777777" w:rsidR="001A24C3" w:rsidRDefault="001A24C3" w:rsidP="001A24C3">
      <w:pPr>
        <w:pStyle w:val="Popis"/>
        <w:keepNext/>
        <w:jc w:val="both"/>
      </w:pPr>
      <w:bookmarkStart w:id="261" w:name="_Toc83677902"/>
    </w:p>
    <w:p w14:paraId="58C4FFCF" w14:textId="01075BE3" w:rsidR="001A24C3" w:rsidRDefault="001A24C3" w:rsidP="001A24C3">
      <w:pPr>
        <w:pStyle w:val="Popis"/>
        <w:keepNext/>
        <w:jc w:val="both"/>
      </w:pPr>
      <w:r>
        <w:t xml:space="preserve">Tabuľka </w:t>
      </w:r>
      <w:r w:rsidR="00DA0B84">
        <w:rPr>
          <w:noProof/>
        </w:rPr>
        <w:t>31</w:t>
      </w:r>
      <w:r>
        <w:tab/>
      </w:r>
      <w:r w:rsidRPr="00E934A0">
        <w:t>Prevádzkové náklady s projekt</w:t>
      </w:r>
      <w:r>
        <w:t>om</w:t>
      </w:r>
      <w:bookmarkEnd w:id="261"/>
    </w:p>
    <w:tbl>
      <w:tblPr>
        <w:tblW w:w="5360" w:type="dxa"/>
        <w:tblCellMar>
          <w:left w:w="70" w:type="dxa"/>
          <w:right w:w="70" w:type="dxa"/>
        </w:tblCellMar>
        <w:tblLook w:val="04A0" w:firstRow="1" w:lastRow="0" w:firstColumn="1" w:lastColumn="0" w:noHBand="0" w:noVBand="1"/>
      </w:tblPr>
      <w:tblGrid>
        <w:gridCol w:w="4060"/>
        <w:gridCol w:w="1300"/>
      </w:tblGrid>
      <w:tr w:rsidR="001A24C3" w:rsidRPr="00BF17CC" w14:paraId="7F0D97CE"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8968F01"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3.2 Prevádzkové výdavky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62F8D4EE"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 </w:t>
            </w:r>
          </w:p>
        </w:tc>
      </w:tr>
      <w:tr w:rsidR="001A24C3" w:rsidRPr="00BF17CC" w14:paraId="021BC6F4"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D9D9D9"/>
            <w:noWrap/>
            <w:vAlign w:val="bottom"/>
            <w:hideMark/>
          </w:tcPr>
          <w:p w14:paraId="4785C8E0"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S PROJEKTOM</w:t>
            </w:r>
          </w:p>
        </w:tc>
        <w:tc>
          <w:tcPr>
            <w:tcW w:w="1300" w:type="dxa"/>
            <w:tcBorders>
              <w:top w:val="nil"/>
              <w:left w:val="nil"/>
              <w:bottom w:val="single" w:sz="4" w:space="0" w:color="auto"/>
              <w:right w:val="single" w:sz="4" w:space="0" w:color="auto"/>
            </w:tcBorders>
            <w:shd w:val="clear" w:color="000000" w:fill="D9D9D9"/>
            <w:noWrap/>
            <w:vAlign w:val="bottom"/>
            <w:hideMark/>
          </w:tcPr>
          <w:p w14:paraId="727809C5"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Celkom</w:t>
            </w:r>
          </w:p>
        </w:tc>
      </w:tr>
      <w:tr w:rsidR="001A24C3" w:rsidRPr="00BF17CC" w14:paraId="4B4D362F"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EAC1FD5"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lastRenderedPageBreak/>
              <w:t>Prevádzkové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2C4E1A21"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104 370 119,10</w:t>
            </w:r>
          </w:p>
        </w:tc>
      </w:tr>
      <w:tr w:rsidR="001A24C3" w:rsidRPr="00BF17CC" w14:paraId="3C511C22"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C248CE0"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Výmeny</w:t>
            </w:r>
          </w:p>
        </w:tc>
        <w:tc>
          <w:tcPr>
            <w:tcW w:w="1300" w:type="dxa"/>
            <w:tcBorders>
              <w:top w:val="nil"/>
              <w:left w:val="nil"/>
              <w:bottom w:val="single" w:sz="4" w:space="0" w:color="auto"/>
              <w:right w:val="single" w:sz="4" w:space="0" w:color="auto"/>
            </w:tcBorders>
            <w:shd w:val="clear" w:color="auto" w:fill="auto"/>
            <w:noWrap/>
            <w:vAlign w:val="bottom"/>
            <w:hideMark/>
          </w:tcPr>
          <w:p w14:paraId="513D6B7B"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29 286 408,87</w:t>
            </w:r>
          </w:p>
        </w:tc>
      </w:tr>
      <w:tr w:rsidR="001A24C3" w:rsidRPr="00BF17CC" w14:paraId="50C61265"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EB12503"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 na údržbu</w:t>
            </w:r>
          </w:p>
        </w:tc>
        <w:tc>
          <w:tcPr>
            <w:tcW w:w="1300" w:type="dxa"/>
            <w:tcBorders>
              <w:top w:val="nil"/>
              <w:left w:val="nil"/>
              <w:bottom w:val="single" w:sz="4" w:space="0" w:color="auto"/>
              <w:right w:val="single" w:sz="4" w:space="0" w:color="auto"/>
            </w:tcBorders>
            <w:shd w:val="clear" w:color="auto" w:fill="auto"/>
            <w:noWrap/>
            <w:vAlign w:val="bottom"/>
            <w:hideMark/>
          </w:tcPr>
          <w:p w14:paraId="3CE5A3B4"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133 656 527,97</w:t>
            </w:r>
          </w:p>
        </w:tc>
      </w:tr>
      <w:tr w:rsidR="001A24C3" w:rsidRPr="00BF17CC" w14:paraId="3C28ACDB"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9BC9D02"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Iné špecifické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33E03A48"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0,00</w:t>
            </w:r>
          </w:p>
        </w:tc>
      </w:tr>
      <w:tr w:rsidR="001A24C3" w:rsidRPr="00BF17CC" w14:paraId="33F6C8EB"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7F7C1915"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iné špecifické prevádzkové výdavky</w:t>
            </w:r>
          </w:p>
        </w:tc>
        <w:tc>
          <w:tcPr>
            <w:tcW w:w="1300" w:type="dxa"/>
            <w:tcBorders>
              <w:top w:val="nil"/>
              <w:left w:val="nil"/>
              <w:bottom w:val="double" w:sz="6" w:space="0" w:color="auto"/>
              <w:right w:val="single" w:sz="4" w:space="0" w:color="auto"/>
            </w:tcBorders>
            <w:shd w:val="clear" w:color="auto" w:fill="auto"/>
            <w:noWrap/>
            <w:vAlign w:val="bottom"/>
            <w:hideMark/>
          </w:tcPr>
          <w:p w14:paraId="56DB3E6D"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0,00</w:t>
            </w:r>
          </w:p>
        </w:tc>
      </w:tr>
      <w:tr w:rsidR="001A24C3" w:rsidRPr="00BF17CC" w14:paraId="3C8FBB82"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D86B9BD"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54903D62"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133 656 527,97</w:t>
            </w:r>
          </w:p>
        </w:tc>
      </w:tr>
    </w:tbl>
    <w:p w14:paraId="71193B12" w14:textId="77777777" w:rsidR="001A24C3" w:rsidRDefault="001A24C3" w:rsidP="001A24C3">
      <w:pPr>
        <w:spacing w:after="160"/>
      </w:pPr>
    </w:p>
    <w:p w14:paraId="6FFC215D" w14:textId="6686D80B" w:rsidR="001A24C3" w:rsidRDefault="001A24C3" w:rsidP="001A24C3">
      <w:pPr>
        <w:pStyle w:val="Popis"/>
        <w:keepNext/>
        <w:jc w:val="both"/>
      </w:pPr>
      <w:bookmarkStart w:id="262" w:name="_Toc83677903"/>
      <w:r>
        <w:t xml:space="preserve">Tabuľka </w:t>
      </w:r>
      <w:r w:rsidR="00DA0B84">
        <w:rPr>
          <w:noProof/>
        </w:rPr>
        <w:t>32</w:t>
      </w:r>
      <w:r>
        <w:tab/>
      </w:r>
      <w:r w:rsidRPr="003E01F6">
        <w:t>Prevádzkové príjmy bez projektu</w:t>
      </w:r>
      <w:bookmarkEnd w:id="262"/>
    </w:p>
    <w:tbl>
      <w:tblPr>
        <w:tblW w:w="5600" w:type="dxa"/>
        <w:tblCellMar>
          <w:left w:w="70" w:type="dxa"/>
          <w:right w:w="70" w:type="dxa"/>
        </w:tblCellMar>
        <w:tblLook w:val="04A0" w:firstRow="1" w:lastRow="0" w:firstColumn="1" w:lastColumn="0" w:noHBand="0" w:noVBand="1"/>
      </w:tblPr>
      <w:tblGrid>
        <w:gridCol w:w="4160"/>
        <w:gridCol w:w="1440"/>
      </w:tblGrid>
      <w:tr w:rsidR="001A24C3" w:rsidRPr="00BF17CC" w14:paraId="042276F4" w14:textId="77777777" w:rsidTr="00300963">
        <w:trPr>
          <w:trHeight w:val="204"/>
        </w:trPr>
        <w:tc>
          <w:tcPr>
            <w:tcW w:w="4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98E87E"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 </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231BFF6B"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 </w:t>
            </w:r>
          </w:p>
        </w:tc>
      </w:tr>
      <w:tr w:rsidR="001A24C3" w:rsidRPr="00BF17CC" w14:paraId="16985036"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393A2244"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4.1 Príjmy</w:t>
            </w:r>
          </w:p>
        </w:tc>
        <w:tc>
          <w:tcPr>
            <w:tcW w:w="1440" w:type="dxa"/>
            <w:tcBorders>
              <w:top w:val="nil"/>
              <w:left w:val="nil"/>
              <w:bottom w:val="single" w:sz="4" w:space="0" w:color="auto"/>
              <w:right w:val="single" w:sz="4" w:space="0" w:color="auto"/>
            </w:tcBorders>
            <w:shd w:val="clear" w:color="auto" w:fill="auto"/>
            <w:noWrap/>
            <w:vAlign w:val="bottom"/>
            <w:hideMark/>
          </w:tcPr>
          <w:p w14:paraId="06416A51"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 </w:t>
            </w:r>
          </w:p>
        </w:tc>
      </w:tr>
      <w:tr w:rsidR="001A24C3" w:rsidRPr="00BF17CC" w14:paraId="686C18AA" w14:textId="77777777" w:rsidTr="00300963">
        <w:trPr>
          <w:trHeight w:val="204"/>
        </w:trPr>
        <w:tc>
          <w:tcPr>
            <w:tcW w:w="4160" w:type="dxa"/>
            <w:tcBorders>
              <w:top w:val="nil"/>
              <w:left w:val="single" w:sz="4" w:space="0" w:color="auto"/>
              <w:bottom w:val="single" w:sz="4" w:space="0" w:color="auto"/>
              <w:right w:val="single" w:sz="4" w:space="0" w:color="auto"/>
            </w:tcBorders>
            <w:shd w:val="clear" w:color="000000" w:fill="D9D9D9"/>
            <w:noWrap/>
            <w:vAlign w:val="bottom"/>
            <w:hideMark/>
          </w:tcPr>
          <w:p w14:paraId="6C49F697"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BEZ PROJEKTU</w:t>
            </w:r>
          </w:p>
        </w:tc>
        <w:tc>
          <w:tcPr>
            <w:tcW w:w="1440" w:type="dxa"/>
            <w:tcBorders>
              <w:top w:val="nil"/>
              <w:left w:val="nil"/>
              <w:bottom w:val="single" w:sz="4" w:space="0" w:color="auto"/>
              <w:right w:val="single" w:sz="4" w:space="0" w:color="auto"/>
            </w:tcBorders>
            <w:shd w:val="clear" w:color="000000" w:fill="D9D9D9"/>
            <w:noWrap/>
            <w:vAlign w:val="bottom"/>
            <w:hideMark/>
          </w:tcPr>
          <w:p w14:paraId="6C85E9ED"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Celkom</w:t>
            </w:r>
          </w:p>
        </w:tc>
      </w:tr>
      <w:tr w:rsidR="001A24C3" w:rsidRPr="00BF17CC" w14:paraId="191E0EFC"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15FB1D6F"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Tržby za DC - osobná doprava</w:t>
            </w:r>
          </w:p>
        </w:tc>
        <w:tc>
          <w:tcPr>
            <w:tcW w:w="1440" w:type="dxa"/>
            <w:tcBorders>
              <w:top w:val="nil"/>
              <w:left w:val="nil"/>
              <w:bottom w:val="single" w:sz="4" w:space="0" w:color="auto"/>
              <w:right w:val="single" w:sz="4" w:space="0" w:color="auto"/>
            </w:tcBorders>
            <w:shd w:val="clear" w:color="auto" w:fill="auto"/>
            <w:noWrap/>
            <w:vAlign w:val="bottom"/>
            <w:hideMark/>
          </w:tcPr>
          <w:p w14:paraId="5DA4DF79"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18 839 701,33</w:t>
            </w:r>
          </w:p>
        </w:tc>
      </w:tr>
      <w:tr w:rsidR="001A24C3" w:rsidRPr="00BF17CC" w14:paraId="1D5A4162"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31318DD9"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Tržby za DC - nákladná doprava</w:t>
            </w:r>
          </w:p>
        </w:tc>
        <w:tc>
          <w:tcPr>
            <w:tcW w:w="1440" w:type="dxa"/>
            <w:tcBorders>
              <w:top w:val="nil"/>
              <w:left w:val="nil"/>
              <w:bottom w:val="single" w:sz="4" w:space="0" w:color="auto"/>
              <w:right w:val="single" w:sz="4" w:space="0" w:color="auto"/>
            </w:tcBorders>
            <w:shd w:val="clear" w:color="auto" w:fill="auto"/>
            <w:noWrap/>
            <w:vAlign w:val="bottom"/>
            <w:hideMark/>
          </w:tcPr>
          <w:p w14:paraId="551B8F6E"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19 238 361,49</w:t>
            </w:r>
          </w:p>
        </w:tc>
      </w:tr>
      <w:tr w:rsidR="001A24C3" w:rsidRPr="00BF17CC" w14:paraId="4844CB88"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2A8B1EF3"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príjmy</w:t>
            </w:r>
          </w:p>
        </w:tc>
        <w:tc>
          <w:tcPr>
            <w:tcW w:w="1440" w:type="dxa"/>
            <w:tcBorders>
              <w:top w:val="nil"/>
              <w:left w:val="nil"/>
              <w:bottom w:val="single" w:sz="4" w:space="0" w:color="auto"/>
              <w:right w:val="single" w:sz="4" w:space="0" w:color="auto"/>
            </w:tcBorders>
            <w:shd w:val="clear" w:color="auto" w:fill="auto"/>
            <w:noWrap/>
            <w:vAlign w:val="bottom"/>
            <w:hideMark/>
          </w:tcPr>
          <w:p w14:paraId="362F1BA8"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38 078 062,82</w:t>
            </w:r>
          </w:p>
        </w:tc>
      </w:tr>
    </w:tbl>
    <w:p w14:paraId="1240EF89" w14:textId="77777777" w:rsidR="001A24C3" w:rsidRDefault="001A24C3" w:rsidP="001A24C3">
      <w:pPr>
        <w:spacing w:after="160"/>
      </w:pPr>
    </w:p>
    <w:p w14:paraId="6032070D" w14:textId="59487FAF" w:rsidR="001A24C3" w:rsidRDefault="001A24C3" w:rsidP="001A24C3">
      <w:pPr>
        <w:pStyle w:val="Popis"/>
        <w:keepNext/>
        <w:jc w:val="both"/>
      </w:pPr>
      <w:bookmarkStart w:id="263" w:name="_Toc83677904"/>
      <w:r>
        <w:t xml:space="preserve">Tabuľka </w:t>
      </w:r>
      <w:r w:rsidR="00DA0B84">
        <w:rPr>
          <w:noProof/>
        </w:rPr>
        <w:t>33</w:t>
      </w:r>
      <w:r>
        <w:tab/>
      </w:r>
      <w:r w:rsidRPr="003E01F6">
        <w:t>Prevádzkové príjmy s projektom</w:t>
      </w:r>
      <w:bookmarkEnd w:id="263"/>
    </w:p>
    <w:tbl>
      <w:tblPr>
        <w:tblW w:w="5600" w:type="dxa"/>
        <w:tblCellMar>
          <w:left w:w="70" w:type="dxa"/>
          <w:right w:w="70" w:type="dxa"/>
        </w:tblCellMar>
        <w:tblLook w:val="04A0" w:firstRow="1" w:lastRow="0" w:firstColumn="1" w:lastColumn="0" w:noHBand="0" w:noVBand="1"/>
      </w:tblPr>
      <w:tblGrid>
        <w:gridCol w:w="4160"/>
        <w:gridCol w:w="1440"/>
      </w:tblGrid>
      <w:tr w:rsidR="001A24C3" w:rsidRPr="00BF17CC" w14:paraId="4797A771" w14:textId="77777777" w:rsidTr="00300963">
        <w:trPr>
          <w:trHeight w:val="204"/>
        </w:trPr>
        <w:tc>
          <w:tcPr>
            <w:tcW w:w="4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A4564F8"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 </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533F89D6"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 </w:t>
            </w:r>
          </w:p>
        </w:tc>
      </w:tr>
      <w:tr w:rsidR="001A24C3" w:rsidRPr="00BF17CC" w14:paraId="3288DDC6"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1FFF6595"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4.2 Príjmy</w:t>
            </w:r>
          </w:p>
        </w:tc>
        <w:tc>
          <w:tcPr>
            <w:tcW w:w="1440" w:type="dxa"/>
            <w:tcBorders>
              <w:top w:val="nil"/>
              <w:left w:val="nil"/>
              <w:bottom w:val="single" w:sz="4" w:space="0" w:color="auto"/>
              <w:right w:val="single" w:sz="4" w:space="0" w:color="auto"/>
            </w:tcBorders>
            <w:shd w:val="clear" w:color="auto" w:fill="auto"/>
            <w:noWrap/>
            <w:vAlign w:val="bottom"/>
            <w:hideMark/>
          </w:tcPr>
          <w:p w14:paraId="23E8BC34"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 </w:t>
            </w:r>
          </w:p>
        </w:tc>
      </w:tr>
      <w:tr w:rsidR="001A24C3" w:rsidRPr="00BF17CC" w14:paraId="3AA1C3F4" w14:textId="77777777" w:rsidTr="00300963">
        <w:trPr>
          <w:trHeight w:val="204"/>
        </w:trPr>
        <w:tc>
          <w:tcPr>
            <w:tcW w:w="4160" w:type="dxa"/>
            <w:tcBorders>
              <w:top w:val="nil"/>
              <w:left w:val="single" w:sz="4" w:space="0" w:color="auto"/>
              <w:bottom w:val="single" w:sz="4" w:space="0" w:color="auto"/>
              <w:right w:val="single" w:sz="4" w:space="0" w:color="auto"/>
            </w:tcBorders>
            <w:shd w:val="clear" w:color="000000" w:fill="D9D9D9"/>
            <w:noWrap/>
            <w:vAlign w:val="bottom"/>
            <w:hideMark/>
          </w:tcPr>
          <w:p w14:paraId="47B0C853"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S PROJEKTOM</w:t>
            </w:r>
          </w:p>
        </w:tc>
        <w:tc>
          <w:tcPr>
            <w:tcW w:w="1440" w:type="dxa"/>
            <w:tcBorders>
              <w:top w:val="nil"/>
              <w:left w:val="nil"/>
              <w:bottom w:val="single" w:sz="4" w:space="0" w:color="auto"/>
              <w:right w:val="single" w:sz="4" w:space="0" w:color="auto"/>
            </w:tcBorders>
            <w:shd w:val="clear" w:color="000000" w:fill="D9D9D9"/>
            <w:noWrap/>
            <w:vAlign w:val="bottom"/>
            <w:hideMark/>
          </w:tcPr>
          <w:p w14:paraId="6401F85C"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Celkom</w:t>
            </w:r>
          </w:p>
        </w:tc>
      </w:tr>
      <w:tr w:rsidR="001A24C3" w:rsidRPr="00BF17CC" w14:paraId="506F9381"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6AE73C02"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Tržby za DC - osobná doprava</w:t>
            </w:r>
          </w:p>
        </w:tc>
        <w:tc>
          <w:tcPr>
            <w:tcW w:w="1440" w:type="dxa"/>
            <w:tcBorders>
              <w:top w:val="nil"/>
              <w:left w:val="nil"/>
              <w:bottom w:val="single" w:sz="4" w:space="0" w:color="auto"/>
              <w:right w:val="single" w:sz="4" w:space="0" w:color="auto"/>
            </w:tcBorders>
            <w:shd w:val="clear" w:color="auto" w:fill="auto"/>
            <w:noWrap/>
            <w:vAlign w:val="bottom"/>
            <w:hideMark/>
          </w:tcPr>
          <w:p w14:paraId="43F606CC"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21 588 833,63</w:t>
            </w:r>
          </w:p>
        </w:tc>
      </w:tr>
      <w:tr w:rsidR="001A24C3" w:rsidRPr="00BF17CC" w14:paraId="444723E9"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637A9C12"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Tržby za DC - nákladná doprava</w:t>
            </w:r>
          </w:p>
        </w:tc>
        <w:tc>
          <w:tcPr>
            <w:tcW w:w="1440" w:type="dxa"/>
            <w:tcBorders>
              <w:top w:val="nil"/>
              <w:left w:val="nil"/>
              <w:bottom w:val="single" w:sz="4" w:space="0" w:color="auto"/>
              <w:right w:val="single" w:sz="4" w:space="0" w:color="auto"/>
            </w:tcBorders>
            <w:shd w:val="clear" w:color="auto" w:fill="auto"/>
            <w:noWrap/>
            <w:vAlign w:val="bottom"/>
            <w:hideMark/>
          </w:tcPr>
          <w:p w14:paraId="71C24111"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20 026 177,06</w:t>
            </w:r>
          </w:p>
        </w:tc>
      </w:tr>
      <w:tr w:rsidR="001A24C3" w:rsidRPr="00BF17CC" w14:paraId="56A1C79F"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7839697F"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príjmy</w:t>
            </w:r>
          </w:p>
        </w:tc>
        <w:tc>
          <w:tcPr>
            <w:tcW w:w="1440" w:type="dxa"/>
            <w:tcBorders>
              <w:top w:val="nil"/>
              <w:left w:val="nil"/>
              <w:bottom w:val="single" w:sz="4" w:space="0" w:color="auto"/>
              <w:right w:val="single" w:sz="4" w:space="0" w:color="auto"/>
            </w:tcBorders>
            <w:shd w:val="clear" w:color="auto" w:fill="auto"/>
            <w:noWrap/>
            <w:vAlign w:val="bottom"/>
            <w:hideMark/>
          </w:tcPr>
          <w:p w14:paraId="4D9134C2"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41 615 010,69</w:t>
            </w:r>
          </w:p>
        </w:tc>
      </w:tr>
    </w:tbl>
    <w:p w14:paraId="1774141A" w14:textId="77777777" w:rsidR="001A24C3" w:rsidRDefault="001A24C3" w:rsidP="001A24C3">
      <w:pPr>
        <w:spacing w:after="160"/>
      </w:pPr>
    </w:p>
    <w:p w14:paraId="5B33EE27" w14:textId="2F3212EF" w:rsidR="001A24C3" w:rsidRPr="001A24C3" w:rsidRDefault="001A24C3" w:rsidP="001A24C3">
      <w:pPr>
        <w:pStyle w:val="Nadpis31"/>
        <w:rPr>
          <w:color w:val="auto"/>
        </w:rPr>
      </w:pPr>
      <w:bookmarkStart w:id="264" w:name="_Toc88652980"/>
      <w:r w:rsidRPr="001A24C3">
        <w:rPr>
          <w:color w:val="auto"/>
        </w:rPr>
        <w:t xml:space="preserve">Variant </w:t>
      </w:r>
      <w:r w:rsidR="00D83A6C">
        <w:rPr>
          <w:color w:val="auto"/>
        </w:rPr>
        <w:t xml:space="preserve">B </w:t>
      </w:r>
      <w:r w:rsidRPr="001A24C3">
        <w:rPr>
          <w:color w:val="auto"/>
        </w:rPr>
        <w:t>„</w:t>
      </w:r>
      <w:r w:rsidR="00D83A6C">
        <w:rPr>
          <w:color w:val="auto"/>
        </w:rPr>
        <w:t>MODERNIZÁCIA</w:t>
      </w:r>
      <w:r w:rsidR="00271AEE">
        <w:rPr>
          <w:color w:val="auto"/>
        </w:rPr>
        <w:t xml:space="preserve"> žel. trate na rýchlosť 120 až 160 km/hod</w:t>
      </w:r>
      <w:r w:rsidRPr="001A24C3">
        <w:rPr>
          <w:color w:val="auto"/>
        </w:rPr>
        <w:t>“</w:t>
      </w:r>
      <w:bookmarkEnd w:id="264"/>
      <w:r w:rsidRPr="001A24C3">
        <w:rPr>
          <w:color w:val="auto"/>
        </w:rPr>
        <w:t xml:space="preserve"> </w:t>
      </w:r>
    </w:p>
    <w:p w14:paraId="72443DA9" w14:textId="36A77441" w:rsidR="001A24C3" w:rsidRDefault="001A24C3" w:rsidP="00D83A6C">
      <w:pPr>
        <w:pStyle w:val="Popis"/>
        <w:keepNext/>
        <w:jc w:val="both"/>
      </w:pPr>
      <w:bookmarkStart w:id="265" w:name="_Toc83677905"/>
      <w:r>
        <w:t xml:space="preserve">Tabuľka </w:t>
      </w:r>
      <w:r w:rsidR="00DA0B84">
        <w:rPr>
          <w:noProof/>
        </w:rPr>
        <w:t>34</w:t>
      </w:r>
      <w:r>
        <w:tab/>
      </w:r>
      <w:r w:rsidRPr="003E01F6">
        <w:t>Obdobie realizácie</w:t>
      </w:r>
      <w:bookmarkEnd w:id="265"/>
    </w:p>
    <w:tbl>
      <w:tblPr>
        <w:tblW w:w="6920" w:type="dxa"/>
        <w:tblCellMar>
          <w:left w:w="70" w:type="dxa"/>
          <w:right w:w="70" w:type="dxa"/>
        </w:tblCellMar>
        <w:tblLook w:val="04A0" w:firstRow="1" w:lastRow="0" w:firstColumn="1" w:lastColumn="0" w:noHBand="0" w:noVBand="1"/>
      </w:tblPr>
      <w:tblGrid>
        <w:gridCol w:w="5440"/>
        <w:gridCol w:w="1480"/>
      </w:tblGrid>
      <w:tr w:rsidR="001A24C3" w:rsidRPr="00E934A0" w14:paraId="1B92FE1D" w14:textId="77777777" w:rsidTr="00300963">
        <w:trPr>
          <w:trHeight w:val="204"/>
        </w:trPr>
        <w:tc>
          <w:tcPr>
            <w:tcW w:w="5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EFE6106" w14:textId="77777777" w:rsidR="001A24C3" w:rsidRPr="00E934A0" w:rsidRDefault="001A24C3" w:rsidP="00300963">
            <w:pPr>
              <w:rPr>
                <w:rFonts w:ascii="Arial" w:eastAsia="Times New Roman" w:hAnsi="Arial" w:cs="Arial"/>
                <w:sz w:val="16"/>
                <w:szCs w:val="16"/>
                <w:lang w:eastAsia="sk-SK"/>
              </w:rPr>
            </w:pPr>
            <w:bookmarkStart w:id="266" w:name="_Hlk78129312"/>
            <w:r w:rsidRPr="00E934A0">
              <w:rPr>
                <w:rFonts w:ascii="Arial" w:eastAsia="Times New Roman" w:hAnsi="Arial" w:cs="Arial"/>
                <w:sz w:val="16"/>
                <w:szCs w:val="16"/>
                <w:lang w:eastAsia="sk-SK"/>
              </w:rPr>
              <w:t>Rok začiatku</w:t>
            </w:r>
          </w:p>
        </w:tc>
        <w:tc>
          <w:tcPr>
            <w:tcW w:w="1480" w:type="dxa"/>
            <w:tcBorders>
              <w:top w:val="single" w:sz="4" w:space="0" w:color="auto"/>
              <w:left w:val="nil"/>
              <w:bottom w:val="single" w:sz="4" w:space="0" w:color="auto"/>
              <w:right w:val="single" w:sz="4" w:space="0" w:color="auto"/>
            </w:tcBorders>
            <w:shd w:val="clear" w:color="000000" w:fill="99CCFF"/>
            <w:noWrap/>
            <w:vAlign w:val="bottom"/>
            <w:hideMark/>
          </w:tcPr>
          <w:p w14:paraId="3FDCFAEC" w14:textId="77777777" w:rsidR="001A24C3" w:rsidRPr="00E934A0" w:rsidRDefault="001A24C3" w:rsidP="00300963">
            <w:pPr>
              <w:jc w:val="center"/>
              <w:rPr>
                <w:rFonts w:ascii="Arial" w:eastAsia="Times New Roman" w:hAnsi="Arial" w:cs="Arial"/>
                <w:sz w:val="16"/>
                <w:szCs w:val="16"/>
                <w:lang w:eastAsia="sk-SK"/>
              </w:rPr>
            </w:pPr>
            <w:r w:rsidRPr="00E934A0">
              <w:rPr>
                <w:rFonts w:ascii="Arial" w:eastAsia="Times New Roman" w:hAnsi="Arial" w:cs="Arial"/>
                <w:sz w:val="16"/>
                <w:szCs w:val="16"/>
                <w:lang w:eastAsia="sk-SK"/>
              </w:rPr>
              <w:t>202</w:t>
            </w:r>
            <w:r>
              <w:rPr>
                <w:rFonts w:ascii="Arial" w:eastAsia="Times New Roman" w:hAnsi="Arial" w:cs="Arial"/>
                <w:sz w:val="16"/>
                <w:szCs w:val="16"/>
                <w:lang w:eastAsia="sk-SK"/>
              </w:rPr>
              <w:t>3</w:t>
            </w:r>
          </w:p>
        </w:tc>
      </w:tr>
      <w:tr w:rsidR="001A24C3" w:rsidRPr="00E934A0" w14:paraId="0F145474" w14:textId="77777777" w:rsidTr="00300963">
        <w:trPr>
          <w:trHeight w:val="204"/>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712B51DC" w14:textId="77777777" w:rsidR="001A24C3" w:rsidRPr="00E934A0" w:rsidRDefault="001A24C3" w:rsidP="00300963">
            <w:pPr>
              <w:rPr>
                <w:rFonts w:ascii="Arial" w:eastAsia="Times New Roman" w:hAnsi="Arial" w:cs="Arial"/>
                <w:sz w:val="16"/>
                <w:szCs w:val="16"/>
                <w:lang w:eastAsia="sk-SK"/>
              </w:rPr>
            </w:pPr>
            <w:r w:rsidRPr="00E934A0">
              <w:rPr>
                <w:rFonts w:ascii="Arial" w:eastAsia="Times New Roman" w:hAnsi="Arial" w:cs="Arial"/>
                <w:sz w:val="16"/>
                <w:szCs w:val="16"/>
                <w:lang w:eastAsia="sk-SK"/>
              </w:rPr>
              <w:t>Rok dodania</w:t>
            </w:r>
          </w:p>
        </w:tc>
        <w:tc>
          <w:tcPr>
            <w:tcW w:w="1480" w:type="dxa"/>
            <w:tcBorders>
              <w:top w:val="nil"/>
              <w:left w:val="nil"/>
              <w:bottom w:val="single" w:sz="4" w:space="0" w:color="auto"/>
              <w:right w:val="single" w:sz="4" w:space="0" w:color="auto"/>
            </w:tcBorders>
            <w:shd w:val="clear" w:color="000000" w:fill="99CCFF"/>
            <w:noWrap/>
            <w:vAlign w:val="bottom"/>
            <w:hideMark/>
          </w:tcPr>
          <w:p w14:paraId="25F04F06" w14:textId="77777777" w:rsidR="001A24C3" w:rsidRPr="00E934A0" w:rsidRDefault="001A24C3" w:rsidP="00300963">
            <w:pPr>
              <w:jc w:val="center"/>
              <w:rPr>
                <w:rFonts w:ascii="Arial" w:eastAsia="Times New Roman" w:hAnsi="Arial" w:cs="Arial"/>
                <w:sz w:val="16"/>
                <w:szCs w:val="16"/>
                <w:lang w:eastAsia="sk-SK"/>
              </w:rPr>
            </w:pPr>
            <w:r w:rsidRPr="00E934A0">
              <w:rPr>
                <w:rFonts w:ascii="Arial" w:eastAsia="Times New Roman" w:hAnsi="Arial" w:cs="Arial"/>
                <w:sz w:val="16"/>
                <w:szCs w:val="16"/>
                <w:lang w:eastAsia="sk-SK"/>
              </w:rPr>
              <w:t>202</w:t>
            </w:r>
            <w:r>
              <w:rPr>
                <w:rFonts w:ascii="Arial" w:eastAsia="Times New Roman" w:hAnsi="Arial" w:cs="Arial"/>
                <w:sz w:val="16"/>
                <w:szCs w:val="16"/>
                <w:lang w:eastAsia="sk-SK"/>
              </w:rPr>
              <w:t>6</w:t>
            </w:r>
          </w:p>
        </w:tc>
      </w:tr>
      <w:bookmarkEnd w:id="266"/>
    </w:tbl>
    <w:p w14:paraId="3E707ED3" w14:textId="77777777" w:rsidR="001A24C3" w:rsidRDefault="001A24C3" w:rsidP="001A24C3">
      <w:pPr>
        <w:suppressAutoHyphens/>
        <w:rPr>
          <w:b/>
          <w:iCs/>
          <w:color w:val="C00000"/>
          <w:sz w:val="20"/>
          <w:szCs w:val="18"/>
        </w:rPr>
      </w:pPr>
    </w:p>
    <w:p w14:paraId="7CBE3D37" w14:textId="1E288699" w:rsidR="001A24C3" w:rsidRDefault="001A24C3" w:rsidP="00D83A6C">
      <w:pPr>
        <w:pStyle w:val="Popis"/>
        <w:keepNext/>
        <w:jc w:val="both"/>
      </w:pPr>
      <w:bookmarkStart w:id="267" w:name="_Toc83677906"/>
      <w:r>
        <w:t xml:space="preserve">Tabuľka </w:t>
      </w:r>
      <w:r w:rsidR="00DA0B84">
        <w:rPr>
          <w:noProof/>
        </w:rPr>
        <w:t>35</w:t>
      </w:r>
      <w:r>
        <w:tab/>
      </w:r>
      <w:r w:rsidRPr="003E01F6">
        <w:t>Investičné náklady</w:t>
      </w:r>
      <w:bookmarkEnd w:id="267"/>
    </w:p>
    <w:tbl>
      <w:tblPr>
        <w:tblW w:w="9209" w:type="dxa"/>
        <w:tblLayout w:type="fixed"/>
        <w:tblCellMar>
          <w:left w:w="70" w:type="dxa"/>
          <w:right w:w="70" w:type="dxa"/>
        </w:tblCellMar>
        <w:tblLook w:val="04A0" w:firstRow="1" w:lastRow="0" w:firstColumn="1" w:lastColumn="0" w:noHBand="0" w:noVBand="1"/>
      </w:tblPr>
      <w:tblGrid>
        <w:gridCol w:w="3265"/>
        <w:gridCol w:w="983"/>
        <w:gridCol w:w="992"/>
        <w:gridCol w:w="992"/>
        <w:gridCol w:w="993"/>
        <w:gridCol w:w="992"/>
        <w:gridCol w:w="425"/>
        <w:gridCol w:w="567"/>
      </w:tblGrid>
      <w:tr w:rsidR="001A24C3" w:rsidRPr="00BF17CC" w14:paraId="117EC10B" w14:textId="77777777" w:rsidTr="00300963">
        <w:trPr>
          <w:trHeight w:val="204"/>
        </w:trPr>
        <w:tc>
          <w:tcPr>
            <w:tcW w:w="32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93F5BA5"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Kategória investičných výdavkov*  **</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14:paraId="7EAB9BBC"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1882707D"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Rok</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5F22222E"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 </w:t>
            </w:r>
          </w:p>
        </w:tc>
        <w:tc>
          <w:tcPr>
            <w:tcW w:w="993" w:type="dxa"/>
            <w:tcBorders>
              <w:top w:val="single" w:sz="4" w:space="0" w:color="auto"/>
              <w:left w:val="nil"/>
              <w:bottom w:val="single" w:sz="4" w:space="0" w:color="auto"/>
              <w:right w:val="single" w:sz="4" w:space="0" w:color="auto"/>
            </w:tcBorders>
            <w:shd w:val="clear" w:color="auto" w:fill="auto"/>
            <w:noWrap/>
            <w:vAlign w:val="bottom"/>
            <w:hideMark/>
          </w:tcPr>
          <w:p w14:paraId="3B863672"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 </w:t>
            </w:r>
          </w:p>
        </w:tc>
        <w:tc>
          <w:tcPr>
            <w:tcW w:w="992" w:type="dxa"/>
            <w:tcBorders>
              <w:top w:val="single" w:sz="4" w:space="0" w:color="auto"/>
              <w:left w:val="nil"/>
              <w:bottom w:val="single" w:sz="4" w:space="0" w:color="auto"/>
              <w:right w:val="single" w:sz="4" w:space="0" w:color="auto"/>
            </w:tcBorders>
            <w:shd w:val="clear" w:color="auto" w:fill="auto"/>
            <w:noWrap/>
            <w:vAlign w:val="bottom"/>
            <w:hideMark/>
          </w:tcPr>
          <w:p w14:paraId="26E3974C"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 </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042FF6F6"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 </w:t>
            </w:r>
          </w:p>
        </w:tc>
        <w:tc>
          <w:tcPr>
            <w:tcW w:w="567" w:type="dxa"/>
            <w:tcBorders>
              <w:top w:val="single" w:sz="4" w:space="0" w:color="auto"/>
              <w:left w:val="nil"/>
              <w:bottom w:val="single" w:sz="4" w:space="0" w:color="auto"/>
              <w:right w:val="single" w:sz="4" w:space="0" w:color="auto"/>
            </w:tcBorders>
            <w:shd w:val="clear" w:color="auto" w:fill="auto"/>
            <w:noWrap/>
            <w:vAlign w:val="bottom"/>
            <w:hideMark/>
          </w:tcPr>
          <w:p w14:paraId="3F21DF42"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 </w:t>
            </w:r>
          </w:p>
        </w:tc>
      </w:tr>
      <w:tr w:rsidR="001A24C3" w:rsidRPr="00BF17CC" w14:paraId="630EA6E4"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46C08336" w14:textId="77777777" w:rsidR="001A24C3" w:rsidRPr="00BF17CC" w:rsidRDefault="001A24C3" w:rsidP="00300963">
            <w:pPr>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 </w:t>
            </w:r>
          </w:p>
        </w:tc>
        <w:tc>
          <w:tcPr>
            <w:tcW w:w="983" w:type="dxa"/>
            <w:tcBorders>
              <w:top w:val="nil"/>
              <w:left w:val="nil"/>
              <w:bottom w:val="single" w:sz="4" w:space="0" w:color="auto"/>
              <w:right w:val="single" w:sz="4" w:space="0" w:color="auto"/>
            </w:tcBorders>
            <w:shd w:val="clear" w:color="auto" w:fill="auto"/>
            <w:noWrap/>
            <w:vAlign w:val="bottom"/>
            <w:hideMark/>
          </w:tcPr>
          <w:p w14:paraId="62767BA4" w14:textId="77777777" w:rsidR="001A24C3" w:rsidRPr="00BF17CC" w:rsidRDefault="001A24C3" w:rsidP="00300963">
            <w:pPr>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14:paraId="7672384A"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w:t>
            </w:r>
          </w:p>
        </w:tc>
        <w:tc>
          <w:tcPr>
            <w:tcW w:w="992" w:type="dxa"/>
            <w:tcBorders>
              <w:top w:val="nil"/>
              <w:left w:val="nil"/>
              <w:bottom w:val="single" w:sz="4" w:space="0" w:color="auto"/>
              <w:right w:val="single" w:sz="4" w:space="0" w:color="auto"/>
            </w:tcBorders>
            <w:shd w:val="clear" w:color="auto" w:fill="auto"/>
            <w:noWrap/>
            <w:vAlign w:val="bottom"/>
            <w:hideMark/>
          </w:tcPr>
          <w:p w14:paraId="16E6567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w:t>
            </w:r>
          </w:p>
        </w:tc>
        <w:tc>
          <w:tcPr>
            <w:tcW w:w="993" w:type="dxa"/>
            <w:tcBorders>
              <w:top w:val="nil"/>
              <w:left w:val="nil"/>
              <w:bottom w:val="single" w:sz="4" w:space="0" w:color="auto"/>
              <w:right w:val="single" w:sz="4" w:space="0" w:color="auto"/>
            </w:tcBorders>
            <w:shd w:val="clear" w:color="auto" w:fill="auto"/>
            <w:noWrap/>
            <w:vAlign w:val="bottom"/>
            <w:hideMark/>
          </w:tcPr>
          <w:p w14:paraId="1D8EBB5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w:t>
            </w:r>
          </w:p>
        </w:tc>
        <w:tc>
          <w:tcPr>
            <w:tcW w:w="992" w:type="dxa"/>
            <w:tcBorders>
              <w:top w:val="nil"/>
              <w:left w:val="nil"/>
              <w:bottom w:val="single" w:sz="4" w:space="0" w:color="auto"/>
              <w:right w:val="single" w:sz="4" w:space="0" w:color="auto"/>
            </w:tcBorders>
            <w:shd w:val="clear" w:color="auto" w:fill="auto"/>
            <w:noWrap/>
            <w:vAlign w:val="bottom"/>
            <w:hideMark/>
          </w:tcPr>
          <w:p w14:paraId="07B6ACD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4</w:t>
            </w:r>
          </w:p>
        </w:tc>
        <w:tc>
          <w:tcPr>
            <w:tcW w:w="425" w:type="dxa"/>
            <w:tcBorders>
              <w:top w:val="nil"/>
              <w:left w:val="nil"/>
              <w:bottom w:val="single" w:sz="4" w:space="0" w:color="auto"/>
              <w:right w:val="single" w:sz="4" w:space="0" w:color="auto"/>
            </w:tcBorders>
            <w:shd w:val="clear" w:color="auto" w:fill="auto"/>
            <w:noWrap/>
            <w:vAlign w:val="bottom"/>
            <w:hideMark/>
          </w:tcPr>
          <w:p w14:paraId="0612581B" w14:textId="77777777" w:rsidR="001A24C3" w:rsidRPr="00BF17CC" w:rsidRDefault="001A24C3" w:rsidP="00300963">
            <w:pPr>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 </w:t>
            </w:r>
          </w:p>
        </w:tc>
        <w:tc>
          <w:tcPr>
            <w:tcW w:w="567" w:type="dxa"/>
            <w:tcBorders>
              <w:top w:val="nil"/>
              <w:left w:val="nil"/>
              <w:bottom w:val="single" w:sz="4" w:space="0" w:color="auto"/>
              <w:right w:val="single" w:sz="4" w:space="0" w:color="auto"/>
            </w:tcBorders>
            <w:shd w:val="clear" w:color="auto" w:fill="auto"/>
            <w:noWrap/>
            <w:vAlign w:val="bottom"/>
            <w:hideMark/>
          </w:tcPr>
          <w:p w14:paraId="08CAB1A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30</w:t>
            </w:r>
          </w:p>
        </w:tc>
      </w:tr>
      <w:tr w:rsidR="001A24C3" w:rsidRPr="00BF17CC" w14:paraId="6A0FAF64" w14:textId="77777777" w:rsidTr="00300963">
        <w:trPr>
          <w:trHeight w:val="204"/>
        </w:trPr>
        <w:tc>
          <w:tcPr>
            <w:tcW w:w="3265" w:type="dxa"/>
            <w:tcBorders>
              <w:top w:val="nil"/>
              <w:left w:val="single" w:sz="4" w:space="0" w:color="auto"/>
              <w:bottom w:val="single" w:sz="4" w:space="0" w:color="auto"/>
              <w:right w:val="single" w:sz="4" w:space="0" w:color="auto"/>
            </w:tcBorders>
            <w:shd w:val="clear" w:color="000000" w:fill="D9D9D9"/>
            <w:noWrap/>
            <w:vAlign w:val="bottom"/>
            <w:hideMark/>
          </w:tcPr>
          <w:p w14:paraId="44255464" w14:textId="77777777" w:rsidR="001A24C3" w:rsidRPr="00BF17CC" w:rsidRDefault="001A24C3" w:rsidP="00300963">
            <w:pPr>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1.1 Investičné výdavky (EUR) - finančné</w:t>
            </w:r>
          </w:p>
        </w:tc>
        <w:tc>
          <w:tcPr>
            <w:tcW w:w="983" w:type="dxa"/>
            <w:tcBorders>
              <w:top w:val="nil"/>
              <w:left w:val="nil"/>
              <w:bottom w:val="single" w:sz="4" w:space="0" w:color="auto"/>
              <w:right w:val="single" w:sz="4" w:space="0" w:color="auto"/>
            </w:tcBorders>
            <w:shd w:val="clear" w:color="000000" w:fill="D9D9D9"/>
            <w:noWrap/>
            <w:vAlign w:val="bottom"/>
            <w:hideMark/>
          </w:tcPr>
          <w:p w14:paraId="672358D1" w14:textId="77777777" w:rsidR="001A24C3" w:rsidRPr="00BF17CC" w:rsidRDefault="001A24C3" w:rsidP="00300963">
            <w:pPr>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Celkom</w:t>
            </w:r>
          </w:p>
        </w:tc>
        <w:tc>
          <w:tcPr>
            <w:tcW w:w="992" w:type="dxa"/>
            <w:tcBorders>
              <w:top w:val="nil"/>
              <w:left w:val="nil"/>
              <w:bottom w:val="single" w:sz="4" w:space="0" w:color="auto"/>
              <w:right w:val="single" w:sz="4" w:space="0" w:color="auto"/>
            </w:tcBorders>
            <w:shd w:val="clear" w:color="000000" w:fill="D9D9D9"/>
            <w:noWrap/>
            <w:vAlign w:val="bottom"/>
            <w:hideMark/>
          </w:tcPr>
          <w:p w14:paraId="5213379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2023</w:t>
            </w:r>
          </w:p>
        </w:tc>
        <w:tc>
          <w:tcPr>
            <w:tcW w:w="992" w:type="dxa"/>
            <w:tcBorders>
              <w:top w:val="nil"/>
              <w:left w:val="nil"/>
              <w:bottom w:val="single" w:sz="4" w:space="0" w:color="auto"/>
              <w:right w:val="single" w:sz="4" w:space="0" w:color="auto"/>
            </w:tcBorders>
            <w:shd w:val="clear" w:color="000000" w:fill="D9D9D9"/>
            <w:noWrap/>
            <w:vAlign w:val="bottom"/>
            <w:hideMark/>
          </w:tcPr>
          <w:p w14:paraId="4649A59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2024</w:t>
            </w:r>
          </w:p>
        </w:tc>
        <w:tc>
          <w:tcPr>
            <w:tcW w:w="993" w:type="dxa"/>
            <w:tcBorders>
              <w:top w:val="nil"/>
              <w:left w:val="nil"/>
              <w:bottom w:val="single" w:sz="4" w:space="0" w:color="auto"/>
              <w:right w:val="single" w:sz="4" w:space="0" w:color="auto"/>
            </w:tcBorders>
            <w:shd w:val="clear" w:color="000000" w:fill="D9D9D9"/>
            <w:noWrap/>
            <w:vAlign w:val="bottom"/>
            <w:hideMark/>
          </w:tcPr>
          <w:p w14:paraId="1262F2C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2025</w:t>
            </w:r>
          </w:p>
        </w:tc>
        <w:tc>
          <w:tcPr>
            <w:tcW w:w="992" w:type="dxa"/>
            <w:tcBorders>
              <w:top w:val="nil"/>
              <w:left w:val="nil"/>
              <w:bottom w:val="single" w:sz="4" w:space="0" w:color="auto"/>
              <w:right w:val="single" w:sz="4" w:space="0" w:color="auto"/>
            </w:tcBorders>
            <w:shd w:val="clear" w:color="000000" w:fill="D9D9D9"/>
            <w:noWrap/>
            <w:vAlign w:val="bottom"/>
            <w:hideMark/>
          </w:tcPr>
          <w:p w14:paraId="7909142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2026</w:t>
            </w:r>
          </w:p>
        </w:tc>
        <w:tc>
          <w:tcPr>
            <w:tcW w:w="425" w:type="dxa"/>
            <w:tcBorders>
              <w:top w:val="nil"/>
              <w:left w:val="nil"/>
              <w:bottom w:val="single" w:sz="4" w:space="0" w:color="auto"/>
              <w:right w:val="single" w:sz="4" w:space="0" w:color="auto"/>
            </w:tcBorders>
            <w:shd w:val="clear" w:color="000000" w:fill="D9D9D9"/>
            <w:noWrap/>
            <w:vAlign w:val="bottom"/>
            <w:hideMark/>
          </w:tcPr>
          <w:p w14:paraId="6C574E7F" w14:textId="77777777" w:rsidR="001A24C3" w:rsidRPr="00BF17CC" w:rsidRDefault="001A24C3" w:rsidP="00300963">
            <w:pPr>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w:t>
            </w:r>
          </w:p>
        </w:tc>
        <w:tc>
          <w:tcPr>
            <w:tcW w:w="567" w:type="dxa"/>
            <w:tcBorders>
              <w:top w:val="nil"/>
              <w:left w:val="nil"/>
              <w:bottom w:val="single" w:sz="4" w:space="0" w:color="auto"/>
              <w:right w:val="single" w:sz="4" w:space="0" w:color="auto"/>
            </w:tcBorders>
            <w:shd w:val="clear" w:color="000000" w:fill="D9D9D9"/>
            <w:noWrap/>
            <w:vAlign w:val="bottom"/>
            <w:hideMark/>
          </w:tcPr>
          <w:p w14:paraId="6C6B43AA"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2052</w:t>
            </w:r>
          </w:p>
        </w:tc>
      </w:tr>
      <w:tr w:rsidR="001A24C3" w:rsidRPr="00BF17CC" w14:paraId="22DBFE11"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76C8790D"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Plánovacie/projektové poplatky</w:t>
            </w:r>
          </w:p>
        </w:tc>
        <w:tc>
          <w:tcPr>
            <w:tcW w:w="983" w:type="dxa"/>
            <w:tcBorders>
              <w:top w:val="nil"/>
              <w:left w:val="nil"/>
              <w:bottom w:val="single" w:sz="4" w:space="0" w:color="auto"/>
              <w:right w:val="single" w:sz="4" w:space="0" w:color="auto"/>
            </w:tcBorders>
            <w:shd w:val="clear" w:color="auto" w:fill="auto"/>
            <w:noWrap/>
            <w:vAlign w:val="bottom"/>
            <w:hideMark/>
          </w:tcPr>
          <w:p w14:paraId="03D8CCE1"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10 471 685,00</w:t>
            </w:r>
          </w:p>
        </w:tc>
        <w:tc>
          <w:tcPr>
            <w:tcW w:w="992" w:type="dxa"/>
            <w:tcBorders>
              <w:top w:val="nil"/>
              <w:left w:val="nil"/>
              <w:bottom w:val="single" w:sz="4" w:space="0" w:color="auto"/>
              <w:right w:val="single" w:sz="4" w:space="0" w:color="auto"/>
            </w:tcBorders>
            <w:shd w:val="clear" w:color="000000" w:fill="99CCFF"/>
            <w:noWrap/>
            <w:vAlign w:val="bottom"/>
            <w:hideMark/>
          </w:tcPr>
          <w:p w14:paraId="2F388F9B"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10 471 685,00</w:t>
            </w:r>
          </w:p>
        </w:tc>
        <w:tc>
          <w:tcPr>
            <w:tcW w:w="992" w:type="dxa"/>
            <w:tcBorders>
              <w:top w:val="nil"/>
              <w:left w:val="nil"/>
              <w:bottom w:val="single" w:sz="4" w:space="0" w:color="auto"/>
              <w:right w:val="single" w:sz="4" w:space="0" w:color="auto"/>
            </w:tcBorders>
            <w:shd w:val="clear" w:color="000000" w:fill="99CCFF"/>
            <w:noWrap/>
            <w:vAlign w:val="bottom"/>
            <w:hideMark/>
          </w:tcPr>
          <w:p w14:paraId="27EA0C2B"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3" w:type="dxa"/>
            <w:tcBorders>
              <w:top w:val="nil"/>
              <w:left w:val="nil"/>
              <w:bottom w:val="single" w:sz="4" w:space="0" w:color="auto"/>
              <w:right w:val="single" w:sz="4" w:space="0" w:color="auto"/>
            </w:tcBorders>
            <w:shd w:val="clear" w:color="000000" w:fill="99CCFF"/>
            <w:noWrap/>
            <w:vAlign w:val="bottom"/>
            <w:hideMark/>
          </w:tcPr>
          <w:p w14:paraId="58E1A5CF"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63A2EE62"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7CA00CED"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231CCC72"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r>
      <w:tr w:rsidR="001A24C3" w:rsidRPr="00BF17CC" w14:paraId="0D44B58D"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6CAEA50B"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Pozemky</w:t>
            </w:r>
          </w:p>
        </w:tc>
        <w:tc>
          <w:tcPr>
            <w:tcW w:w="983" w:type="dxa"/>
            <w:tcBorders>
              <w:top w:val="nil"/>
              <w:left w:val="nil"/>
              <w:bottom w:val="single" w:sz="4" w:space="0" w:color="auto"/>
              <w:right w:val="single" w:sz="4" w:space="0" w:color="auto"/>
            </w:tcBorders>
            <w:shd w:val="clear" w:color="auto" w:fill="auto"/>
            <w:noWrap/>
            <w:vAlign w:val="bottom"/>
            <w:hideMark/>
          </w:tcPr>
          <w:p w14:paraId="02FE9328"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1 590 900,00</w:t>
            </w:r>
          </w:p>
        </w:tc>
        <w:tc>
          <w:tcPr>
            <w:tcW w:w="992" w:type="dxa"/>
            <w:tcBorders>
              <w:top w:val="nil"/>
              <w:left w:val="nil"/>
              <w:bottom w:val="single" w:sz="4" w:space="0" w:color="auto"/>
              <w:right w:val="single" w:sz="4" w:space="0" w:color="auto"/>
            </w:tcBorders>
            <w:shd w:val="clear" w:color="000000" w:fill="99CCFF"/>
            <w:noWrap/>
            <w:vAlign w:val="bottom"/>
            <w:hideMark/>
          </w:tcPr>
          <w:p w14:paraId="7B601841"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1 590 900,00</w:t>
            </w:r>
          </w:p>
        </w:tc>
        <w:tc>
          <w:tcPr>
            <w:tcW w:w="992" w:type="dxa"/>
            <w:tcBorders>
              <w:top w:val="nil"/>
              <w:left w:val="nil"/>
              <w:bottom w:val="single" w:sz="4" w:space="0" w:color="auto"/>
              <w:right w:val="single" w:sz="4" w:space="0" w:color="auto"/>
            </w:tcBorders>
            <w:shd w:val="clear" w:color="000000" w:fill="99CCFF"/>
            <w:noWrap/>
            <w:vAlign w:val="bottom"/>
            <w:hideMark/>
          </w:tcPr>
          <w:p w14:paraId="308F74B2"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3" w:type="dxa"/>
            <w:tcBorders>
              <w:top w:val="nil"/>
              <w:left w:val="nil"/>
              <w:bottom w:val="single" w:sz="4" w:space="0" w:color="auto"/>
              <w:right w:val="single" w:sz="4" w:space="0" w:color="auto"/>
            </w:tcBorders>
            <w:shd w:val="clear" w:color="000000" w:fill="99CCFF"/>
            <w:noWrap/>
            <w:vAlign w:val="bottom"/>
            <w:hideMark/>
          </w:tcPr>
          <w:p w14:paraId="0A7C9D9E"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69B77EC7"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3F8783F7"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4CDE753E"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r>
      <w:tr w:rsidR="001A24C3" w:rsidRPr="00BF17CC" w14:paraId="0205D1C7"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1FF59686"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Príprava staveniska</w:t>
            </w:r>
          </w:p>
        </w:tc>
        <w:tc>
          <w:tcPr>
            <w:tcW w:w="983" w:type="dxa"/>
            <w:tcBorders>
              <w:top w:val="nil"/>
              <w:left w:val="nil"/>
              <w:bottom w:val="single" w:sz="4" w:space="0" w:color="auto"/>
              <w:right w:val="single" w:sz="4" w:space="0" w:color="auto"/>
            </w:tcBorders>
            <w:shd w:val="clear" w:color="auto" w:fill="auto"/>
            <w:noWrap/>
            <w:vAlign w:val="bottom"/>
            <w:hideMark/>
          </w:tcPr>
          <w:p w14:paraId="2B9C6447"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29BFCA37"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3DBD7254"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3" w:type="dxa"/>
            <w:tcBorders>
              <w:top w:val="nil"/>
              <w:left w:val="nil"/>
              <w:bottom w:val="single" w:sz="4" w:space="0" w:color="auto"/>
              <w:right w:val="single" w:sz="4" w:space="0" w:color="auto"/>
            </w:tcBorders>
            <w:shd w:val="clear" w:color="000000" w:fill="99CCFF"/>
            <w:noWrap/>
            <w:vAlign w:val="bottom"/>
            <w:hideMark/>
          </w:tcPr>
          <w:p w14:paraId="27D7CBE5"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1CB5DFB1"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0853586E"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0074203F"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r>
      <w:tr w:rsidR="001A24C3" w:rsidRPr="00BF17CC" w14:paraId="40499326"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344D7E4F"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Stavebné práce</w:t>
            </w:r>
          </w:p>
        </w:tc>
        <w:tc>
          <w:tcPr>
            <w:tcW w:w="983" w:type="dxa"/>
            <w:tcBorders>
              <w:top w:val="nil"/>
              <w:left w:val="nil"/>
              <w:bottom w:val="single" w:sz="4" w:space="0" w:color="auto"/>
              <w:right w:val="single" w:sz="4" w:space="0" w:color="auto"/>
            </w:tcBorders>
            <w:shd w:val="clear" w:color="auto" w:fill="auto"/>
            <w:noWrap/>
            <w:vAlign w:val="bottom"/>
            <w:hideMark/>
          </w:tcPr>
          <w:p w14:paraId="1BF378D3"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402 398 328,56</w:t>
            </w:r>
          </w:p>
        </w:tc>
        <w:tc>
          <w:tcPr>
            <w:tcW w:w="992" w:type="dxa"/>
            <w:tcBorders>
              <w:top w:val="nil"/>
              <w:left w:val="nil"/>
              <w:bottom w:val="single" w:sz="4" w:space="0" w:color="auto"/>
              <w:right w:val="single" w:sz="4" w:space="0" w:color="auto"/>
            </w:tcBorders>
            <w:shd w:val="clear" w:color="auto" w:fill="auto"/>
            <w:noWrap/>
            <w:vAlign w:val="bottom"/>
            <w:hideMark/>
          </w:tcPr>
          <w:p w14:paraId="666EF2DB"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114 034 256,31</w:t>
            </w:r>
          </w:p>
        </w:tc>
        <w:tc>
          <w:tcPr>
            <w:tcW w:w="992" w:type="dxa"/>
            <w:tcBorders>
              <w:top w:val="nil"/>
              <w:left w:val="nil"/>
              <w:bottom w:val="single" w:sz="4" w:space="0" w:color="auto"/>
              <w:right w:val="single" w:sz="4" w:space="0" w:color="auto"/>
            </w:tcBorders>
            <w:shd w:val="clear" w:color="auto" w:fill="auto"/>
            <w:noWrap/>
            <w:vAlign w:val="bottom"/>
            <w:hideMark/>
          </w:tcPr>
          <w:p w14:paraId="4967A698"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112 115 991,23</w:t>
            </w:r>
          </w:p>
        </w:tc>
        <w:tc>
          <w:tcPr>
            <w:tcW w:w="993" w:type="dxa"/>
            <w:tcBorders>
              <w:top w:val="nil"/>
              <w:left w:val="nil"/>
              <w:bottom w:val="single" w:sz="4" w:space="0" w:color="auto"/>
              <w:right w:val="single" w:sz="4" w:space="0" w:color="auto"/>
            </w:tcBorders>
            <w:shd w:val="clear" w:color="auto" w:fill="auto"/>
            <w:noWrap/>
            <w:vAlign w:val="bottom"/>
            <w:hideMark/>
          </w:tcPr>
          <w:p w14:paraId="286EEE16"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99 202 996,60</w:t>
            </w:r>
          </w:p>
        </w:tc>
        <w:tc>
          <w:tcPr>
            <w:tcW w:w="992" w:type="dxa"/>
            <w:tcBorders>
              <w:top w:val="nil"/>
              <w:left w:val="nil"/>
              <w:bottom w:val="single" w:sz="4" w:space="0" w:color="auto"/>
              <w:right w:val="single" w:sz="4" w:space="0" w:color="auto"/>
            </w:tcBorders>
            <w:shd w:val="clear" w:color="auto" w:fill="auto"/>
            <w:noWrap/>
            <w:vAlign w:val="bottom"/>
            <w:hideMark/>
          </w:tcPr>
          <w:p w14:paraId="42B085CD"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77 045 084,41</w:t>
            </w:r>
          </w:p>
        </w:tc>
        <w:tc>
          <w:tcPr>
            <w:tcW w:w="425" w:type="dxa"/>
            <w:tcBorders>
              <w:top w:val="nil"/>
              <w:left w:val="nil"/>
              <w:bottom w:val="single" w:sz="4" w:space="0" w:color="auto"/>
              <w:right w:val="single" w:sz="4" w:space="0" w:color="auto"/>
            </w:tcBorders>
            <w:shd w:val="clear" w:color="auto" w:fill="auto"/>
            <w:noWrap/>
            <w:vAlign w:val="bottom"/>
            <w:hideMark/>
          </w:tcPr>
          <w:p w14:paraId="0909F214"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c>
          <w:tcPr>
            <w:tcW w:w="567" w:type="dxa"/>
            <w:tcBorders>
              <w:top w:val="nil"/>
              <w:left w:val="nil"/>
              <w:bottom w:val="single" w:sz="4" w:space="0" w:color="auto"/>
              <w:right w:val="single" w:sz="4" w:space="0" w:color="auto"/>
            </w:tcBorders>
            <w:shd w:val="clear" w:color="auto" w:fill="auto"/>
            <w:noWrap/>
            <w:vAlign w:val="bottom"/>
            <w:hideMark/>
          </w:tcPr>
          <w:p w14:paraId="5D988C41"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r>
      <w:tr w:rsidR="001A24C3" w:rsidRPr="00BF17CC" w14:paraId="4FB65149"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619EE41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Mosty železobetónové</w:t>
            </w:r>
          </w:p>
        </w:tc>
        <w:tc>
          <w:tcPr>
            <w:tcW w:w="983" w:type="dxa"/>
            <w:tcBorders>
              <w:top w:val="nil"/>
              <w:left w:val="nil"/>
              <w:bottom w:val="single" w:sz="4" w:space="0" w:color="auto"/>
              <w:right w:val="single" w:sz="4" w:space="0" w:color="auto"/>
            </w:tcBorders>
            <w:shd w:val="clear" w:color="auto" w:fill="auto"/>
            <w:noWrap/>
            <w:vAlign w:val="bottom"/>
            <w:hideMark/>
          </w:tcPr>
          <w:p w14:paraId="27A1CEB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0583A2A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2603197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3" w:type="dxa"/>
            <w:tcBorders>
              <w:top w:val="nil"/>
              <w:left w:val="nil"/>
              <w:bottom w:val="single" w:sz="4" w:space="0" w:color="auto"/>
              <w:right w:val="single" w:sz="4" w:space="0" w:color="auto"/>
            </w:tcBorders>
            <w:shd w:val="clear" w:color="000000" w:fill="99CCFF"/>
            <w:noWrap/>
            <w:vAlign w:val="bottom"/>
            <w:hideMark/>
          </w:tcPr>
          <w:p w14:paraId="5FF594D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6B5B0FE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1F7E2C6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4679F4E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7AB2A278"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20593CE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Mosty oceľové a mosty priepusty</w:t>
            </w:r>
          </w:p>
        </w:tc>
        <w:tc>
          <w:tcPr>
            <w:tcW w:w="983" w:type="dxa"/>
            <w:tcBorders>
              <w:top w:val="nil"/>
              <w:left w:val="nil"/>
              <w:bottom w:val="single" w:sz="4" w:space="0" w:color="auto"/>
              <w:right w:val="single" w:sz="4" w:space="0" w:color="auto"/>
            </w:tcBorders>
            <w:shd w:val="clear" w:color="auto" w:fill="auto"/>
            <w:noWrap/>
            <w:vAlign w:val="bottom"/>
            <w:hideMark/>
          </w:tcPr>
          <w:p w14:paraId="1A824C8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29 209 863,20</w:t>
            </w:r>
          </w:p>
        </w:tc>
        <w:tc>
          <w:tcPr>
            <w:tcW w:w="992" w:type="dxa"/>
            <w:tcBorders>
              <w:top w:val="nil"/>
              <w:left w:val="nil"/>
              <w:bottom w:val="single" w:sz="4" w:space="0" w:color="auto"/>
              <w:right w:val="single" w:sz="4" w:space="0" w:color="auto"/>
            </w:tcBorders>
            <w:shd w:val="clear" w:color="000000" w:fill="99CCFF"/>
            <w:noWrap/>
            <w:vAlign w:val="bottom"/>
            <w:hideMark/>
          </w:tcPr>
          <w:p w14:paraId="13BE8C0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16 964 790,12</w:t>
            </w:r>
          </w:p>
        </w:tc>
        <w:tc>
          <w:tcPr>
            <w:tcW w:w="992" w:type="dxa"/>
            <w:tcBorders>
              <w:top w:val="nil"/>
              <w:left w:val="nil"/>
              <w:bottom w:val="single" w:sz="4" w:space="0" w:color="auto"/>
              <w:right w:val="single" w:sz="4" w:space="0" w:color="auto"/>
            </w:tcBorders>
            <w:shd w:val="clear" w:color="000000" w:fill="99CCFF"/>
            <w:noWrap/>
            <w:vAlign w:val="bottom"/>
            <w:hideMark/>
          </w:tcPr>
          <w:p w14:paraId="100E5F6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8 523 160,77</w:t>
            </w:r>
          </w:p>
        </w:tc>
        <w:tc>
          <w:tcPr>
            <w:tcW w:w="993" w:type="dxa"/>
            <w:tcBorders>
              <w:top w:val="nil"/>
              <w:left w:val="nil"/>
              <w:bottom w:val="single" w:sz="4" w:space="0" w:color="auto"/>
              <w:right w:val="single" w:sz="4" w:space="0" w:color="auto"/>
            </w:tcBorders>
            <w:shd w:val="clear" w:color="000000" w:fill="99CCFF"/>
            <w:noWrap/>
            <w:vAlign w:val="bottom"/>
            <w:hideMark/>
          </w:tcPr>
          <w:p w14:paraId="126EC61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2 920 986,32</w:t>
            </w:r>
          </w:p>
        </w:tc>
        <w:tc>
          <w:tcPr>
            <w:tcW w:w="992" w:type="dxa"/>
            <w:tcBorders>
              <w:top w:val="nil"/>
              <w:left w:val="nil"/>
              <w:bottom w:val="single" w:sz="4" w:space="0" w:color="auto"/>
              <w:right w:val="single" w:sz="4" w:space="0" w:color="auto"/>
            </w:tcBorders>
            <w:shd w:val="clear" w:color="000000" w:fill="99CCFF"/>
            <w:noWrap/>
            <w:vAlign w:val="bottom"/>
            <w:hideMark/>
          </w:tcPr>
          <w:p w14:paraId="3EB31C4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800 925,99</w:t>
            </w:r>
          </w:p>
        </w:tc>
        <w:tc>
          <w:tcPr>
            <w:tcW w:w="425" w:type="dxa"/>
            <w:tcBorders>
              <w:top w:val="nil"/>
              <w:left w:val="nil"/>
              <w:bottom w:val="single" w:sz="4" w:space="0" w:color="auto"/>
              <w:right w:val="single" w:sz="4" w:space="0" w:color="auto"/>
            </w:tcBorders>
            <w:shd w:val="clear" w:color="000000" w:fill="99CCFF"/>
            <w:noWrap/>
            <w:vAlign w:val="bottom"/>
            <w:hideMark/>
          </w:tcPr>
          <w:p w14:paraId="784FBBA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25DF184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14C86FEC"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320FD78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Tunely</w:t>
            </w:r>
          </w:p>
        </w:tc>
        <w:tc>
          <w:tcPr>
            <w:tcW w:w="983" w:type="dxa"/>
            <w:tcBorders>
              <w:top w:val="nil"/>
              <w:left w:val="nil"/>
              <w:bottom w:val="single" w:sz="4" w:space="0" w:color="auto"/>
              <w:right w:val="single" w:sz="4" w:space="0" w:color="auto"/>
            </w:tcBorders>
            <w:shd w:val="clear" w:color="auto" w:fill="auto"/>
            <w:noWrap/>
            <w:vAlign w:val="bottom"/>
            <w:hideMark/>
          </w:tcPr>
          <w:p w14:paraId="24CBE1F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175 743 729,20</w:t>
            </w:r>
          </w:p>
        </w:tc>
        <w:tc>
          <w:tcPr>
            <w:tcW w:w="992" w:type="dxa"/>
            <w:tcBorders>
              <w:top w:val="nil"/>
              <w:left w:val="nil"/>
              <w:bottom w:val="single" w:sz="4" w:space="0" w:color="auto"/>
              <w:right w:val="single" w:sz="4" w:space="0" w:color="auto"/>
            </w:tcBorders>
            <w:shd w:val="clear" w:color="000000" w:fill="99CCFF"/>
            <w:noWrap/>
            <w:vAlign w:val="bottom"/>
            <w:hideMark/>
          </w:tcPr>
          <w:p w14:paraId="3CA8494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35 148 745,84</w:t>
            </w:r>
          </w:p>
        </w:tc>
        <w:tc>
          <w:tcPr>
            <w:tcW w:w="992" w:type="dxa"/>
            <w:tcBorders>
              <w:top w:val="nil"/>
              <w:left w:val="nil"/>
              <w:bottom w:val="single" w:sz="4" w:space="0" w:color="auto"/>
              <w:right w:val="single" w:sz="4" w:space="0" w:color="auto"/>
            </w:tcBorders>
            <w:shd w:val="clear" w:color="000000" w:fill="99CCFF"/>
            <w:noWrap/>
            <w:vAlign w:val="bottom"/>
            <w:hideMark/>
          </w:tcPr>
          <w:p w14:paraId="1F0FD10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52 723 118,76</w:t>
            </w:r>
          </w:p>
        </w:tc>
        <w:tc>
          <w:tcPr>
            <w:tcW w:w="993" w:type="dxa"/>
            <w:tcBorders>
              <w:top w:val="nil"/>
              <w:left w:val="nil"/>
              <w:bottom w:val="single" w:sz="4" w:space="0" w:color="auto"/>
              <w:right w:val="single" w:sz="4" w:space="0" w:color="auto"/>
            </w:tcBorders>
            <w:shd w:val="clear" w:color="000000" w:fill="99CCFF"/>
            <w:noWrap/>
            <w:vAlign w:val="bottom"/>
            <w:hideMark/>
          </w:tcPr>
          <w:p w14:paraId="3CD2E82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52 723 118,76</w:t>
            </w:r>
          </w:p>
        </w:tc>
        <w:tc>
          <w:tcPr>
            <w:tcW w:w="992" w:type="dxa"/>
            <w:tcBorders>
              <w:top w:val="nil"/>
              <w:left w:val="nil"/>
              <w:bottom w:val="single" w:sz="4" w:space="0" w:color="auto"/>
              <w:right w:val="single" w:sz="4" w:space="0" w:color="auto"/>
            </w:tcBorders>
            <w:shd w:val="clear" w:color="000000" w:fill="99CCFF"/>
            <w:noWrap/>
            <w:vAlign w:val="bottom"/>
            <w:hideMark/>
          </w:tcPr>
          <w:p w14:paraId="0220647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35 148 745,84</w:t>
            </w:r>
          </w:p>
        </w:tc>
        <w:tc>
          <w:tcPr>
            <w:tcW w:w="425" w:type="dxa"/>
            <w:tcBorders>
              <w:top w:val="nil"/>
              <w:left w:val="nil"/>
              <w:bottom w:val="single" w:sz="4" w:space="0" w:color="auto"/>
              <w:right w:val="single" w:sz="4" w:space="0" w:color="auto"/>
            </w:tcBorders>
            <w:shd w:val="clear" w:color="000000" w:fill="99CCFF"/>
            <w:noWrap/>
            <w:vAlign w:val="bottom"/>
            <w:hideMark/>
          </w:tcPr>
          <w:p w14:paraId="2FBA728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1EC8B4A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2ABAA244"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687A7C1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Budovy</w:t>
            </w:r>
          </w:p>
        </w:tc>
        <w:tc>
          <w:tcPr>
            <w:tcW w:w="983" w:type="dxa"/>
            <w:tcBorders>
              <w:top w:val="nil"/>
              <w:left w:val="nil"/>
              <w:bottom w:val="single" w:sz="4" w:space="0" w:color="auto"/>
              <w:right w:val="single" w:sz="4" w:space="0" w:color="auto"/>
            </w:tcBorders>
            <w:shd w:val="clear" w:color="auto" w:fill="auto"/>
            <w:noWrap/>
            <w:vAlign w:val="bottom"/>
            <w:hideMark/>
          </w:tcPr>
          <w:p w14:paraId="3DF8340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6 077 338,75</w:t>
            </w:r>
          </w:p>
        </w:tc>
        <w:tc>
          <w:tcPr>
            <w:tcW w:w="992" w:type="dxa"/>
            <w:tcBorders>
              <w:top w:val="nil"/>
              <w:left w:val="nil"/>
              <w:bottom w:val="single" w:sz="4" w:space="0" w:color="auto"/>
              <w:right w:val="single" w:sz="4" w:space="0" w:color="auto"/>
            </w:tcBorders>
            <w:shd w:val="clear" w:color="000000" w:fill="99CCFF"/>
            <w:noWrap/>
            <w:vAlign w:val="bottom"/>
            <w:hideMark/>
          </w:tcPr>
          <w:p w14:paraId="75F10C6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2 330 392,27</w:t>
            </w:r>
          </w:p>
        </w:tc>
        <w:tc>
          <w:tcPr>
            <w:tcW w:w="992" w:type="dxa"/>
            <w:tcBorders>
              <w:top w:val="nil"/>
              <w:left w:val="nil"/>
              <w:bottom w:val="single" w:sz="4" w:space="0" w:color="auto"/>
              <w:right w:val="single" w:sz="4" w:space="0" w:color="auto"/>
            </w:tcBorders>
            <w:shd w:val="clear" w:color="000000" w:fill="99CCFF"/>
            <w:noWrap/>
            <w:vAlign w:val="bottom"/>
            <w:hideMark/>
          </w:tcPr>
          <w:p w14:paraId="3B75515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2 330 392,27</w:t>
            </w:r>
          </w:p>
        </w:tc>
        <w:tc>
          <w:tcPr>
            <w:tcW w:w="993" w:type="dxa"/>
            <w:tcBorders>
              <w:top w:val="nil"/>
              <w:left w:val="nil"/>
              <w:bottom w:val="single" w:sz="4" w:space="0" w:color="auto"/>
              <w:right w:val="single" w:sz="4" w:space="0" w:color="auto"/>
            </w:tcBorders>
            <w:shd w:val="clear" w:color="000000" w:fill="99CCFF"/>
            <w:noWrap/>
            <w:vAlign w:val="bottom"/>
            <w:hideMark/>
          </w:tcPr>
          <w:p w14:paraId="1EBE3792"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1 240 603,56</w:t>
            </w:r>
          </w:p>
        </w:tc>
        <w:tc>
          <w:tcPr>
            <w:tcW w:w="992" w:type="dxa"/>
            <w:tcBorders>
              <w:top w:val="nil"/>
              <w:left w:val="nil"/>
              <w:bottom w:val="single" w:sz="4" w:space="0" w:color="auto"/>
              <w:right w:val="single" w:sz="4" w:space="0" w:color="auto"/>
            </w:tcBorders>
            <w:shd w:val="clear" w:color="000000" w:fill="99CCFF"/>
            <w:noWrap/>
            <w:vAlign w:val="bottom"/>
            <w:hideMark/>
          </w:tcPr>
          <w:p w14:paraId="0266A20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175 950,66</w:t>
            </w:r>
          </w:p>
        </w:tc>
        <w:tc>
          <w:tcPr>
            <w:tcW w:w="425" w:type="dxa"/>
            <w:tcBorders>
              <w:top w:val="nil"/>
              <w:left w:val="nil"/>
              <w:bottom w:val="single" w:sz="4" w:space="0" w:color="auto"/>
              <w:right w:val="single" w:sz="4" w:space="0" w:color="auto"/>
            </w:tcBorders>
            <w:shd w:val="clear" w:color="000000" w:fill="99CCFF"/>
            <w:noWrap/>
            <w:vAlign w:val="bottom"/>
            <w:hideMark/>
          </w:tcPr>
          <w:p w14:paraId="36628CA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7DBBDA82"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3B906C59"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54EFDA0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Nástupištia</w:t>
            </w:r>
          </w:p>
        </w:tc>
        <w:tc>
          <w:tcPr>
            <w:tcW w:w="983" w:type="dxa"/>
            <w:tcBorders>
              <w:top w:val="nil"/>
              <w:left w:val="nil"/>
              <w:bottom w:val="single" w:sz="4" w:space="0" w:color="auto"/>
              <w:right w:val="single" w:sz="4" w:space="0" w:color="auto"/>
            </w:tcBorders>
            <w:shd w:val="clear" w:color="auto" w:fill="auto"/>
            <w:noWrap/>
            <w:vAlign w:val="bottom"/>
            <w:hideMark/>
          </w:tcPr>
          <w:p w14:paraId="108D0C4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10 469 213,84</w:t>
            </w:r>
          </w:p>
        </w:tc>
        <w:tc>
          <w:tcPr>
            <w:tcW w:w="992" w:type="dxa"/>
            <w:tcBorders>
              <w:top w:val="nil"/>
              <w:left w:val="nil"/>
              <w:bottom w:val="single" w:sz="4" w:space="0" w:color="auto"/>
              <w:right w:val="single" w:sz="4" w:space="0" w:color="auto"/>
            </w:tcBorders>
            <w:shd w:val="clear" w:color="000000" w:fill="99CCFF"/>
            <w:noWrap/>
            <w:vAlign w:val="bottom"/>
            <w:hideMark/>
          </w:tcPr>
          <w:p w14:paraId="0E1CB452"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4 480 149,57</w:t>
            </w:r>
          </w:p>
        </w:tc>
        <w:tc>
          <w:tcPr>
            <w:tcW w:w="992" w:type="dxa"/>
            <w:tcBorders>
              <w:top w:val="nil"/>
              <w:left w:val="nil"/>
              <w:bottom w:val="single" w:sz="4" w:space="0" w:color="auto"/>
              <w:right w:val="single" w:sz="4" w:space="0" w:color="auto"/>
            </w:tcBorders>
            <w:shd w:val="clear" w:color="000000" w:fill="99CCFF"/>
            <w:noWrap/>
            <w:vAlign w:val="bottom"/>
            <w:hideMark/>
          </w:tcPr>
          <w:p w14:paraId="7E3E6DE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3 907 500,93</w:t>
            </w:r>
          </w:p>
        </w:tc>
        <w:tc>
          <w:tcPr>
            <w:tcW w:w="993" w:type="dxa"/>
            <w:tcBorders>
              <w:top w:val="nil"/>
              <w:left w:val="nil"/>
              <w:bottom w:val="single" w:sz="4" w:space="0" w:color="auto"/>
              <w:right w:val="single" w:sz="4" w:space="0" w:color="auto"/>
            </w:tcBorders>
            <w:shd w:val="clear" w:color="000000" w:fill="99CCFF"/>
            <w:noWrap/>
            <w:vAlign w:val="bottom"/>
            <w:hideMark/>
          </w:tcPr>
          <w:p w14:paraId="3C0C098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1 591 240,28</w:t>
            </w:r>
          </w:p>
        </w:tc>
        <w:tc>
          <w:tcPr>
            <w:tcW w:w="992" w:type="dxa"/>
            <w:tcBorders>
              <w:top w:val="nil"/>
              <w:left w:val="nil"/>
              <w:bottom w:val="single" w:sz="4" w:space="0" w:color="auto"/>
              <w:right w:val="single" w:sz="4" w:space="0" w:color="auto"/>
            </w:tcBorders>
            <w:shd w:val="clear" w:color="000000" w:fill="99CCFF"/>
            <w:noWrap/>
            <w:vAlign w:val="bottom"/>
            <w:hideMark/>
          </w:tcPr>
          <w:p w14:paraId="34D606D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490 323,06</w:t>
            </w:r>
          </w:p>
        </w:tc>
        <w:tc>
          <w:tcPr>
            <w:tcW w:w="425" w:type="dxa"/>
            <w:tcBorders>
              <w:top w:val="nil"/>
              <w:left w:val="nil"/>
              <w:bottom w:val="single" w:sz="4" w:space="0" w:color="auto"/>
              <w:right w:val="single" w:sz="4" w:space="0" w:color="auto"/>
            </w:tcBorders>
            <w:shd w:val="clear" w:color="000000" w:fill="99CCFF"/>
            <w:noWrap/>
            <w:vAlign w:val="bottom"/>
            <w:hideMark/>
          </w:tcPr>
          <w:p w14:paraId="11D21412"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4358AA7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5EF6E883"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2E99795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Cestné komunikácie</w:t>
            </w:r>
          </w:p>
        </w:tc>
        <w:tc>
          <w:tcPr>
            <w:tcW w:w="983" w:type="dxa"/>
            <w:tcBorders>
              <w:top w:val="nil"/>
              <w:left w:val="nil"/>
              <w:bottom w:val="single" w:sz="4" w:space="0" w:color="auto"/>
              <w:right w:val="single" w:sz="4" w:space="0" w:color="auto"/>
            </w:tcBorders>
            <w:shd w:val="clear" w:color="auto" w:fill="auto"/>
            <w:noWrap/>
            <w:vAlign w:val="bottom"/>
            <w:hideMark/>
          </w:tcPr>
          <w:p w14:paraId="50D18EE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2 172 137,36</w:t>
            </w:r>
          </w:p>
        </w:tc>
        <w:tc>
          <w:tcPr>
            <w:tcW w:w="992" w:type="dxa"/>
            <w:tcBorders>
              <w:top w:val="nil"/>
              <w:left w:val="nil"/>
              <w:bottom w:val="single" w:sz="4" w:space="0" w:color="auto"/>
              <w:right w:val="single" w:sz="4" w:space="0" w:color="auto"/>
            </w:tcBorders>
            <w:shd w:val="clear" w:color="000000" w:fill="99CCFF"/>
            <w:noWrap/>
            <w:vAlign w:val="bottom"/>
            <w:hideMark/>
          </w:tcPr>
          <w:p w14:paraId="1263C42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1 429 374,54</w:t>
            </w:r>
          </w:p>
        </w:tc>
        <w:tc>
          <w:tcPr>
            <w:tcW w:w="992" w:type="dxa"/>
            <w:tcBorders>
              <w:top w:val="nil"/>
              <w:left w:val="nil"/>
              <w:bottom w:val="single" w:sz="4" w:space="0" w:color="auto"/>
              <w:right w:val="single" w:sz="4" w:space="0" w:color="auto"/>
            </w:tcBorders>
            <w:shd w:val="clear" w:color="000000" w:fill="99CCFF"/>
            <w:noWrap/>
            <w:vAlign w:val="bottom"/>
            <w:hideMark/>
          </w:tcPr>
          <w:p w14:paraId="1869DC2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506 353,26</w:t>
            </w:r>
          </w:p>
        </w:tc>
        <w:tc>
          <w:tcPr>
            <w:tcW w:w="993" w:type="dxa"/>
            <w:tcBorders>
              <w:top w:val="nil"/>
              <w:left w:val="nil"/>
              <w:bottom w:val="single" w:sz="4" w:space="0" w:color="auto"/>
              <w:right w:val="single" w:sz="4" w:space="0" w:color="auto"/>
            </w:tcBorders>
            <w:shd w:val="clear" w:color="000000" w:fill="99CCFF"/>
            <w:noWrap/>
            <w:vAlign w:val="bottom"/>
            <w:hideMark/>
          </w:tcPr>
          <w:p w14:paraId="302F639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236 409,56</w:t>
            </w:r>
          </w:p>
        </w:tc>
        <w:tc>
          <w:tcPr>
            <w:tcW w:w="992" w:type="dxa"/>
            <w:tcBorders>
              <w:top w:val="nil"/>
              <w:left w:val="nil"/>
              <w:bottom w:val="single" w:sz="4" w:space="0" w:color="auto"/>
              <w:right w:val="single" w:sz="4" w:space="0" w:color="auto"/>
            </w:tcBorders>
            <w:shd w:val="clear" w:color="000000" w:fill="99CCFF"/>
            <w:noWrap/>
            <w:vAlign w:val="bottom"/>
            <w:hideMark/>
          </w:tcPr>
          <w:p w14:paraId="250B694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41D273BA"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41AE837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73F14C0B"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4142D9D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 xml:space="preserve">Trať – železničný spodok </w:t>
            </w:r>
          </w:p>
        </w:tc>
        <w:tc>
          <w:tcPr>
            <w:tcW w:w="983" w:type="dxa"/>
            <w:tcBorders>
              <w:top w:val="nil"/>
              <w:left w:val="nil"/>
              <w:bottom w:val="single" w:sz="4" w:space="0" w:color="auto"/>
              <w:right w:val="single" w:sz="4" w:space="0" w:color="auto"/>
            </w:tcBorders>
            <w:shd w:val="clear" w:color="auto" w:fill="auto"/>
            <w:noWrap/>
            <w:vAlign w:val="bottom"/>
            <w:hideMark/>
          </w:tcPr>
          <w:p w14:paraId="3CAB9DF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22 018 031,55</w:t>
            </w:r>
          </w:p>
        </w:tc>
        <w:tc>
          <w:tcPr>
            <w:tcW w:w="992" w:type="dxa"/>
            <w:tcBorders>
              <w:top w:val="nil"/>
              <w:left w:val="nil"/>
              <w:bottom w:val="single" w:sz="4" w:space="0" w:color="auto"/>
              <w:right w:val="single" w:sz="4" w:space="0" w:color="auto"/>
            </w:tcBorders>
            <w:shd w:val="clear" w:color="000000" w:fill="99CCFF"/>
            <w:noWrap/>
            <w:vAlign w:val="bottom"/>
            <w:hideMark/>
          </w:tcPr>
          <w:p w14:paraId="1ED7E18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6 392 152,77</w:t>
            </w:r>
          </w:p>
        </w:tc>
        <w:tc>
          <w:tcPr>
            <w:tcW w:w="992" w:type="dxa"/>
            <w:tcBorders>
              <w:top w:val="nil"/>
              <w:left w:val="nil"/>
              <w:bottom w:val="single" w:sz="4" w:space="0" w:color="auto"/>
              <w:right w:val="single" w:sz="4" w:space="0" w:color="auto"/>
            </w:tcBorders>
            <w:shd w:val="clear" w:color="000000" w:fill="99CCFF"/>
            <w:noWrap/>
            <w:vAlign w:val="bottom"/>
            <w:hideMark/>
          </w:tcPr>
          <w:p w14:paraId="5AF4A96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5 027 152,08</w:t>
            </w:r>
          </w:p>
        </w:tc>
        <w:tc>
          <w:tcPr>
            <w:tcW w:w="993" w:type="dxa"/>
            <w:tcBorders>
              <w:top w:val="nil"/>
              <w:left w:val="nil"/>
              <w:bottom w:val="single" w:sz="4" w:space="0" w:color="auto"/>
              <w:right w:val="single" w:sz="4" w:space="0" w:color="auto"/>
            </w:tcBorders>
            <w:shd w:val="clear" w:color="000000" w:fill="99CCFF"/>
            <w:noWrap/>
            <w:vAlign w:val="bottom"/>
            <w:hideMark/>
          </w:tcPr>
          <w:p w14:paraId="7712A8D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4 580 808,56</w:t>
            </w:r>
          </w:p>
        </w:tc>
        <w:tc>
          <w:tcPr>
            <w:tcW w:w="992" w:type="dxa"/>
            <w:tcBorders>
              <w:top w:val="nil"/>
              <w:left w:val="nil"/>
              <w:bottom w:val="single" w:sz="4" w:space="0" w:color="auto"/>
              <w:right w:val="single" w:sz="4" w:space="0" w:color="auto"/>
            </w:tcBorders>
            <w:shd w:val="clear" w:color="000000" w:fill="99CCFF"/>
            <w:noWrap/>
            <w:vAlign w:val="bottom"/>
            <w:hideMark/>
          </w:tcPr>
          <w:p w14:paraId="21E3CED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6 017 918,14</w:t>
            </w:r>
          </w:p>
        </w:tc>
        <w:tc>
          <w:tcPr>
            <w:tcW w:w="425" w:type="dxa"/>
            <w:tcBorders>
              <w:top w:val="nil"/>
              <w:left w:val="nil"/>
              <w:bottom w:val="single" w:sz="4" w:space="0" w:color="auto"/>
              <w:right w:val="single" w:sz="4" w:space="0" w:color="auto"/>
            </w:tcBorders>
            <w:shd w:val="clear" w:color="000000" w:fill="99CCFF"/>
            <w:noWrap/>
            <w:vAlign w:val="bottom"/>
            <w:hideMark/>
          </w:tcPr>
          <w:p w14:paraId="3B83EC3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4F0AFF4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20527912"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0AFF33B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 xml:space="preserve">Trať – železničný zvršok </w:t>
            </w:r>
          </w:p>
        </w:tc>
        <w:tc>
          <w:tcPr>
            <w:tcW w:w="983" w:type="dxa"/>
            <w:tcBorders>
              <w:top w:val="nil"/>
              <w:left w:val="nil"/>
              <w:bottom w:val="single" w:sz="4" w:space="0" w:color="auto"/>
              <w:right w:val="single" w:sz="4" w:space="0" w:color="auto"/>
            </w:tcBorders>
            <w:shd w:val="clear" w:color="auto" w:fill="auto"/>
            <w:noWrap/>
            <w:vAlign w:val="bottom"/>
            <w:hideMark/>
          </w:tcPr>
          <w:p w14:paraId="7B70A94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37 767 627,35</w:t>
            </w:r>
          </w:p>
        </w:tc>
        <w:tc>
          <w:tcPr>
            <w:tcW w:w="992" w:type="dxa"/>
            <w:tcBorders>
              <w:top w:val="nil"/>
              <w:left w:val="nil"/>
              <w:bottom w:val="single" w:sz="4" w:space="0" w:color="auto"/>
              <w:right w:val="single" w:sz="4" w:space="0" w:color="auto"/>
            </w:tcBorders>
            <w:shd w:val="clear" w:color="000000" w:fill="99CCFF"/>
            <w:noWrap/>
            <w:vAlign w:val="bottom"/>
            <w:hideMark/>
          </w:tcPr>
          <w:p w14:paraId="2C1C18C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12 623 599,47</w:t>
            </w:r>
          </w:p>
        </w:tc>
        <w:tc>
          <w:tcPr>
            <w:tcW w:w="992" w:type="dxa"/>
            <w:tcBorders>
              <w:top w:val="nil"/>
              <w:left w:val="nil"/>
              <w:bottom w:val="single" w:sz="4" w:space="0" w:color="auto"/>
              <w:right w:val="single" w:sz="4" w:space="0" w:color="auto"/>
            </w:tcBorders>
            <w:shd w:val="clear" w:color="000000" w:fill="99CCFF"/>
            <w:noWrap/>
            <w:vAlign w:val="bottom"/>
            <w:hideMark/>
          </w:tcPr>
          <w:p w14:paraId="4CEEBB6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9 386 312,06</w:t>
            </w:r>
          </w:p>
        </w:tc>
        <w:tc>
          <w:tcPr>
            <w:tcW w:w="993" w:type="dxa"/>
            <w:tcBorders>
              <w:top w:val="nil"/>
              <w:left w:val="nil"/>
              <w:bottom w:val="single" w:sz="4" w:space="0" w:color="auto"/>
              <w:right w:val="single" w:sz="4" w:space="0" w:color="auto"/>
            </w:tcBorders>
            <w:shd w:val="clear" w:color="000000" w:fill="99CCFF"/>
            <w:noWrap/>
            <w:vAlign w:val="bottom"/>
            <w:hideMark/>
          </w:tcPr>
          <w:p w14:paraId="7D97E14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7 445 860,08</w:t>
            </w:r>
          </w:p>
        </w:tc>
        <w:tc>
          <w:tcPr>
            <w:tcW w:w="992" w:type="dxa"/>
            <w:tcBorders>
              <w:top w:val="nil"/>
              <w:left w:val="nil"/>
              <w:bottom w:val="single" w:sz="4" w:space="0" w:color="auto"/>
              <w:right w:val="single" w:sz="4" w:space="0" w:color="auto"/>
            </w:tcBorders>
            <w:shd w:val="clear" w:color="000000" w:fill="99CCFF"/>
            <w:noWrap/>
            <w:vAlign w:val="bottom"/>
            <w:hideMark/>
          </w:tcPr>
          <w:p w14:paraId="46A9C3C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8 311 855,73</w:t>
            </w:r>
          </w:p>
        </w:tc>
        <w:tc>
          <w:tcPr>
            <w:tcW w:w="425" w:type="dxa"/>
            <w:tcBorders>
              <w:top w:val="nil"/>
              <w:left w:val="nil"/>
              <w:bottom w:val="single" w:sz="4" w:space="0" w:color="auto"/>
              <w:right w:val="single" w:sz="4" w:space="0" w:color="auto"/>
            </w:tcBorders>
            <w:shd w:val="clear" w:color="000000" w:fill="99CCFF"/>
            <w:noWrap/>
            <w:vAlign w:val="bottom"/>
            <w:hideMark/>
          </w:tcPr>
          <w:p w14:paraId="79C937B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376B095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6A7D33E1"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16FB63E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Podporné a oporné múry, spevnenie svahu</w:t>
            </w:r>
          </w:p>
        </w:tc>
        <w:tc>
          <w:tcPr>
            <w:tcW w:w="983" w:type="dxa"/>
            <w:tcBorders>
              <w:top w:val="nil"/>
              <w:left w:val="nil"/>
              <w:bottom w:val="single" w:sz="4" w:space="0" w:color="auto"/>
              <w:right w:val="single" w:sz="4" w:space="0" w:color="auto"/>
            </w:tcBorders>
            <w:shd w:val="clear" w:color="auto" w:fill="auto"/>
            <w:noWrap/>
            <w:vAlign w:val="bottom"/>
            <w:hideMark/>
          </w:tcPr>
          <w:p w14:paraId="45358AB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28 010 178,32</w:t>
            </w:r>
          </w:p>
        </w:tc>
        <w:tc>
          <w:tcPr>
            <w:tcW w:w="992" w:type="dxa"/>
            <w:tcBorders>
              <w:top w:val="nil"/>
              <w:left w:val="nil"/>
              <w:bottom w:val="single" w:sz="4" w:space="0" w:color="auto"/>
              <w:right w:val="single" w:sz="4" w:space="0" w:color="auto"/>
            </w:tcBorders>
            <w:shd w:val="clear" w:color="000000" w:fill="99CCFF"/>
            <w:noWrap/>
            <w:vAlign w:val="bottom"/>
            <w:hideMark/>
          </w:tcPr>
          <w:p w14:paraId="3218300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14 514 237,65</w:t>
            </w:r>
          </w:p>
        </w:tc>
        <w:tc>
          <w:tcPr>
            <w:tcW w:w="992" w:type="dxa"/>
            <w:tcBorders>
              <w:top w:val="nil"/>
              <w:left w:val="nil"/>
              <w:bottom w:val="single" w:sz="4" w:space="0" w:color="auto"/>
              <w:right w:val="single" w:sz="4" w:space="0" w:color="auto"/>
            </w:tcBorders>
            <w:shd w:val="clear" w:color="000000" w:fill="99CCFF"/>
            <w:noWrap/>
            <w:vAlign w:val="bottom"/>
            <w:hideMark/>
          </w:tcPr>
          <w:p w14:paraId="64F66AC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9 330 628,32</w:t>
            </w:r>
          </w:p>
        </w:tc>
        <w:tc>
          <w:tcPr>
            <w:tcW w:w="993" w:type="dxa"/>
            <w:tcBorders>
              <w:top w:val="nil"/>
              <w:left w:val="nil"/>
              <w:bottom w:val="single" w:sz="4" w:space="0" w:color="auto"/>
              <w:right w:val="single" w:sz="4" w:space="0" w:color="auto"/>
            </w:tcBorders>
            <w:shd w:val="clear" w:color="000000" w:fill="99CCFF"/>
            <w:noWrap/>
            <w:vAlign w:val="bottom"/>
            <w:hideMark/>
          </w:tcPr>
          <w:p w14:paraId="5C6C55D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2 902 107,14</w:t>
            </w:r>
          </w:p>
        </w:tc>
        <w:tc>
          <w:tcPr>
            <w:tcW w:w="992" w:type="dxa"/>
            <w:tcBorders>
              <w:top w:val="nil"/>
              <w:left w:val="nil"/>
              <w:bottom w:val="single" w:sz="4" w:space="0" w:color="auto"/>
              <w:right w:val="single" w:sz="4" w:space="0" w:color="auto"/>
            </w:tcBorders>
            <w:shd w:val="clear" w:color="000000" w:fill="99CCFF"/>
            <w:noWrap/>
            <w:vAlign w:val="bottom"/>
            <w:hideMark/>
          </w:tcPr>
          <w:p w14:paraId="4327419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1 263 205,20</w:t>
            </w:r>
          </w:p>
        </w:tc>
        <w:tc>
          <w:tcPr>
            <w:tcW w:w="425" w:type="dxa"/>
            <w:tcBorders>
              <w:top w:val="nil"/>
              <w:left w:val="nil"/>
              <w:bottom w:val="single" w:sz="4" w:space="0" w:color="auto"/>
              <w:right w:val="single" w:sz="4" w:space="0" w:color="auto"/>
            </w:tcBorders>
            <w:shd w:val="clear" w:color="000000" w:fill="99CCFF"/>
            <w:noWrap/>
            <w:vAlign w:val="bottom"/>
            <w:hideMark/>
          </w:tcPr>
          <w:p w14:paraId="540B7E0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57EE429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24C39F35"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603C323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Elektrifikácia – trakčné napájacie stanice, trakčné vedenia</w:t>
            </w:r>
          </w:p>
        </w:tc>
        <w:tc>
          <w:tcPr>
            <w:tcW w:w="983" w:type="dxa"/>
            <w:tcBorders>
              <w:top w:val="nil"/>
              <w:left w:val="nil"/>
              <w:bottom w:val="single" w:sz="4" w:space="0" w:color="auto"/>
              <w:right w:val="single" w:sz="4" w:space="0" w:color="auto"/>
            </w:tcBorders>
            <w:shd w:val="clear" w:color="auto" w:fill="auto"/>
            <w:noWrap/>
            <w:vAlign w:val="bottom"/>
            <w:hideMark/>
          </w:tcPr>
          <w:p w14:paraId="005ECB3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33 125 785,36</w:t>
            </w:r>
          </w:p>
        </w:tc>
        <w:tc>
          <w:tcPr>
            <w:tcW w:w="992" w:type="dxa"/>
            <w:tcBorders>
              <w:top w:val="nil"/>
              <w:left w:val="nil"/>
              <w:bottom w:val="single" w:sz="4" w:space="0" w:color="auto"/>
              <w:right w:val="single" w:sz="4" w:space="0" w:color="auto"/>
            </w:tcBorders>
            <w:shd w:val="clear" w:color="000000" w:fill="99CCFF"/>
            <w:noWrap/>
            <w:vAlign w:val="bottom"/>
            <w:hideMark/>
          </w:tcPr>
          <w:p w14:paraId="4FA693A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8 545 372,25</w:t>
            </w:r>
          </w:p>
        </w:tc>
        <w:tc>
          <w:tcPr>
            <w:tcW w:w="992" w:type="dxa"/>
            <w:tcBorders>
              <w:top w:val="nil"/>
              <w:left w:val="nil"/>
              <w:bottom w:val="single" w:sz="4" w:space="0" w:color="auto"/>
              <w:right w:val="single" w:sz="4" w:space="0" w:color="auto"/>
            </w:tcBorders>
            <w:shd w:val="clear" w:color="000000" w:fill="99CCFF"/>
            <w:noWrap/>
            <w:vAlign w:val="bottom"/>
            <w:hideMark/>
          </w:tcPr>
          <w:p w14:paraId="447C7BD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6 542 819,80</w:t>
            </w:r>
          </w:p>
        </w:tc>
        <w:tc>
          <w:tcPr>
            <w:tcW w:w="993" w:type="dxa"/>
            <w:tcBorders>
              <w:top w:val="nil"/>
              <w:left w:val="nil"/>
              <w:bottom w:val="single" w:sz="4" w:space="0" w:color="auto"/>
              <w:right w:val="single" w:sz="4" w:space="0" w:color="auto"/>
            </w:tcBorders>
            <w:shd w:val="clear" w:color="000000" w:fill="99CCFF"/>
            <w:noWrap/>
            <w:vAlign w:val="bottom"/>
            <w:hideMark/>
          </w:tcPr>
          <w:p w14:paraId="76A7B21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7 406 773,94</w:t>
            </w:r>
          </w:p>
        </w:tc>
        <w:tc>
          <w:tcPr>
            <w:tcW w:w="992" w:type="dxa"/>
            <w:tcBorders>
              <w:top w:val="nil"/>
              <w:left w:val="nil"/>
              <w:bottom w:val="single" w:sz="4" w:space="0" w:color="auto"/>
              <w:right w:val="single" w:sz="4" w:space="0" w:color="auto"/>
            </w:tcBorders>
            <w:shd w:val="clear" w:color="000000" w:fill="99CCFF"/>
            <w:noWrap/>
            <w:vAlign w:val="bottom"/>
            <w:hideMark/>
          </w:tcPr>
          <w:p w14:paraId="1A68AF32"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10 630 819,37</w:t>
            </w:r>
          </w:p>
        </w:tc>
        <w:tc>
          <w:tcPr>
            <w:tcW w:w="425" w:type="dxa"/>
            <w:tcBorders>
              <w:top w:val="nil"/>
              <w:left w:val="nil"/>
              <w:bottom w:val="single" w:sz="4" w:space="0" w:color="auto"/>
              <w:right w:val="single" w:sz="4" w:space="0" w:color="auto"/>
            </w:tcBorders>
            <w:shd w:val="clear" w:color="000000" w:fill="99CCFF"/>
            <w:noWrap/>
            <w:vAlign w:val="bottom"/>
            <w:hideMark/>
          </w:tcPr>
          <w:p w14:paraId="3D15CE8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08A1082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4CB01BFE"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7FBF8D9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Oznamovacie a telekomunikačné zariadenia</w:t>
            </w:r>
          </w:p>
        </w:tc>
        <w:tc>
          <w:tcPr>
            <w:tcW w:w="983" w:type="dxa"/>
            <w:tcBorders>
              <w:top w:val="nil"/>
              <w:left w:val="nil"/>
              <w:bottom w:val="single" w:sz="4" w:space="0" w:color="auto"/>
              <w:right w:val="single" w:sz="4" w:space="0" w:color="auto"/>
            </w:tcBorders>
            <w:shd w:val="clear" w:color="auto" w:fill="auto"/>
            <w:noWrap/>
            <w:vAlign w:val="bottom"/>
            <w:hideMark/>
          </w:tcPr>
          <w:p w14:paraId="72A6E14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22 925 263,79</w:t>
            </w:r>
          </w:p>
        </w:tc>
        <w:tc>
          <w:tcPr>
            <w:tcW w:w="992" w:type="dxa"/>
            <w:tcBorders>
              <w:top w:val="nil"/>
              <w:left w:val="nil"/>
              <w:bottom w:val="single" w:sz="4" w:space="0" w:color="auto"/>
              <w:right w:val="single" w:sz="4" w:space="0" w:color="auto"/>
            </w:tcBorders>
            <w:shd w:val="clear" w:color="000000" w:fill="99CCFF"/>
            <w:noWrap/>
            <w:vAlign w:val="bottom"/>
            <w:hideMark/>
          </w:tcPr>
          <w:p w14:paraId="071DF09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2 215 943,37</w:t>
            </w:r>
          </w:p>
        </w:tc>
        <w:tc>
          <w:tcPr>
            <w:tcW w:w="992" w:type="dxa"/>
            <w:tcBorders>
              <w:top w:val="nil"/>
              <w:left w:val="nil"/>
              <w:bottom w:val="single" w:sz="4" w:space="0" w:color="auto"/>
              <w:right w:val="single" w:sz="4" w:space="0" w:color="auto"/>
            </w:tcBorders>
            <w:shd w:val="clear" w:color="000000" w:fill="99CCFF"/>
            <w:noWrap/>
            <w:vAlign w:val="bottom"/>
            <w:hideMark/>
          </w:tcPr>
          <w:p w14:paraId="22A2709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4 431 886,74</w:t>
            </w:r>
          </w:p>
        </w:tc>
        <w:tc>
          <w:tcPr>
            <w:tcW w:w="993" w:type="dxa"/>
            <w:tcBorders>
              <w:top w:val="nil"/>
              <w:left w:val="nil"/>
              <w:bottom w:val="single" w:sz="4" w:space="0" w:color="auto"/>
              <w:right w:val="single" w:sz="4" w:space="0" w:color="auto"/>
            </w:tcBorders>
            <w:shd w:val="clear" w:color="000000" w:fill="99CCFF"/>
            <w:noWrap/>
            <w:vAlign w:val="bottom"/>
            <w:hideMark/>
          </w:tcPr>
          <w:p w14:paraId="4CC65E7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9 032 208,96</w:t>
            </w:r>
          </w:p>
        </w:tc>
        <w:tc>
          <w:tcPr>
            <w:tcW w:w="992" w:type="dxa"/>
            <w:tcBorders>
              <w:top w:val="nil"/>
              <w:left w:val="nil"/>
              <w:bottom w:val="single" w:sz="4" w:space="0" w:color="auto"/>
              <w:right w:val="single" w:sz="4" w:space="0" w:color="auto"/>
            </w:tcBorders>
            <w:shd w:val="clear" w:color="000000" w:fill="99CCFF"/>
            <w:noWrap/>
            <w:vAlign w:val="bottom"/>
            <w:hideMark/>
          </w:tcPr>
          <w:p w14:paraId="712306F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7 245 224,72</w:t>
            </w:r>
          </w:p>
        </w:tc>
        <w:tc>
          <w:tcPr>
            <w:tcW w:w="425" w:type="dxa"/>
            <w:tcBorders>
              <w:top w:val="nil"/>
              <w:left w:val="nil"/>
              <w:bottom w:val="single" w:sz="4" w:space="0" w:color="auto"/>
              <w:right w:val="single" w:sz="4" w:space="0" w:color="auto"/>
            </w:tcBorders>
            <w:shd w:val="clear" w:color="000000" w:fill="99CCFF"/>
            <w:noWrap/>
            <w:vAlign w:val="bottom"/>
            <w:hideMark/>
          </w:tcPr>
          <w:p w14:paraId="67CF4F1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17199D3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4544EB38"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1B2ECC2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Signalizačné a zabezpečovacie zariadenia</w:t>
            </w:r>
          </w:p>
        </w:tc>
        <w:tc>
          <w:tcPr>
            <w:tcW w:w="983" w:type="dxa"/>
            <w:tcBorders>
              <w:top w:val="nil"/>
              <w:left w:val="nil"/>
              <w:bottom w:val="single" w:sz="4" w:space="0" w:color="auto"/>
              <w:right w:val="single" w:sz="4" w:space="0" w:color="auto"/>
            </w:tcBorders>
            <w:shd w:val="clear" w:color="auto" w:fill="auto"/>
            <w:noWrap/>
            <w:vAlign w:val="bottom"/>
            <w:hideMark/>
          </w:tcPr>
          <w:p w14:paraId="6D5A7E5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6 266 224,55</w:t>
            </w:r>
          </w:p>
        </w:tc>
        <w:tc>
          <w:tcPr>
            <w:tcW w:w="992" w:type="dxa"/>
            <w:tcBorders>
              <w:top w:val="nil"/>
              <w:left w:val="nil"/>
              <w:bottom w:val="single" w:sz="4" w:space="0" w:color="auto"/>
              <w:right w:val="single" w:sz="4" w:space="0" w:color="auto"/>
            </w:tcBorders>
            <w:shd w:val="clear" w:color="000000" w:fill="99CCFF"/>
            <w:noWrap/>
            <w:vAlign w:val="bottom"/>
            <w:hideMark/>
          </w:tcPr>
          <w:p w14:paraId="43AE5DD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656 168,93</w:t>
            </w:r>
          </w:p>
        </w:tc>
        <w:tc>
          <w:tcPr>
            <w:tcW w:w="992" w:type="dxa"/>
            <w:tcBorders>
              <w:top w:val="nil"/>
              <w:left w:val="nil"/>
              <w:bottom w:val="single" w:sz="4" w:space="0" w:color="auto"/>
              <w:right w:val="single" w:sz="4" w:space="0" w:color="auto"/>
            </w:tcBorders>
            <w:shd w:val="clear" w:color="000000" w:fill="99CCFF"/>
            <w:noWrap/>
            <w:vAlign w:val="bottom"/>
            <w:hideMark/>
          </w:tcPr>
          <w:p w14:paraId="135414B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656 168,93</w:t>
            </w:r>
          </w:p>
        </w:tc>
        <w:tc>
          <w:tcPr>
            <w:tcW w:w="993" w:type="dxa"/>
            <w:tcBorders>
              <w:top w:val="nil"/>
              <w:left w:val="nil"/>
              <w:bottom w:val="single" w:sz="4" w:space="0" w:color="auto"/>
              <w:right w:val="single" w:sz="4" w:space="0" w:color="auto"/>
            </w:tcBorders>
            <w:shd w:val="clear" w:color="000000" w:fill="99CCFF"/>
            <w:noWrap/>
            <w:vAlign w:val="bottom"/>
            <w:hideMark/>
          </w:tcPr>
          <w:p w14:paraId="1BACA9F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1 752 672,95</w:t>
            </w:r>
          </w:p>
        </w:tc>
        <w:tc>
          <w:tcPr>
            <w:tcW w:w="992" w:type="dxa"/>
            <w:tcBorders>
              <w:top w:val="nil"/>
              <w:left w:val="nil"/>
              <w:bottom w:val="single" w:sz="4" w:space="0" w:color="auto"/>
              <w:right w:val="single" w:sz="4" w:space="0" w:color="auto"/>
            </w:tcBorders>
            <w:shd w:val="clear" w:color="000000" w:fill="99CCFF"/>
            <w:noWrap/>
            <w:vAlign w:val="bottom"/>
            <w:hideMark/>
          </w:tcPr>
          <w:p w14:paraId="4A016CF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3 201 213,74</w:t>
            </w:r>
          </w:p>
        </w:tc>
        <w:tc>
          <w:tcPr>
            <w:tcW w:w="425" w:type="dxa"/>
            <w:tcBorders>
              <w:top w:val="nil"/>
              <w:left w:val="nil"/>
              <w:bottom w:val="single" w:sz="4" w:space="0" w:color="auto"/>
              <w:right w:val="single" w:sz="4" w:space="0" w:color="auto"/>
            </w:tcBorders>
            <w:shd w:val="clear" w:color="000000" w:fill="99CCFF"/>
            <w:noWrap/>
            <w:vAlign w:val="bottom"/>
            <w:hideMark/>
          </w:tcPr>
          <w:p w14:paraId="33BEA38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3393B9A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17355A46"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000090C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Zariadenia energetiky a elektrotechniky</w:t>
            </w:r>
          </w:p>
        </w:tc>
        <w:tc>
          <w:tcPr>
            <w:tcW w:w="983" w:type="dxa"/>
            <w:tcBorders>
              <w:top w:val="nil"/>
              <w:left w:val="nil"/>
              <w:bottom w:val="single" w:sz="4" w:space="0" w:color="auto"/>
              <w:right w:val="single" w:sz="4" w:space="0" w:color="auto"/>
            </w:tcBorders>
            <w:shd w:val="clear" w:color="auto" w:fill="auto"/>
            <w:noWrap/>
            <w:vAlign w:val="bottom"/>
            <w:hideMark/>
          </w:tcPr>
          <w:p w14:paraId="30BDBB37"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79C3FFE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6F3E11A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3" w:type="dxa"/>
            <w:tcBorders>
              <w:top w:val="nil"/>
              <w:left w:val="nil"/>
              <w:bottom w:val="single" w:sz="4" w:space="0" w:color="auto"/>
              <w:right w:val="single" w:sz="4" w:space="0" w:color="auto"/>
            </w:tcBorders>
            <w:shd w:val="clear" w:color="000000" w:fill="99CCFF"/>
            <w:noWrap/>
            <w:vAlign w:val="bottom"/>
            <w:hideMark/>
          </w:tcPr>
          <w:p w14:paraId="3B37CC2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66A076B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34F8512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354E483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66CA8236"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74D4DF4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 xml:space="preserve">Stroje a zariadenia </w:t>
            </w:r>
          </w:p>
        </w:tc>
        <w:tc>
          <w:tcPr>
            <w:tcW w:w="983" w:type="dxa"/>
            <w:tcBorders>
              <w:top w:val="nil"/>
              <w:left w:val="nil"/>
              <w:bottom w:val="single" w:sz="4" w:space="0" w:color="auto"/>
              <w:right w:val="single" w:sz="4" w:space="0" w:color="auto"/>
            </w:tcBorders>
            <w:shd w:val="clear" w:color="auto" w:fill="auto"/>
            <w:noWrap/>
            <w:vAlign w:val="bottom"/>
            <w:hideMark/>
          </w:tcPr>
          <w:p w14:paraId="2587B62A"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6264226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3689A02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3" w:type="dxa"/>
            <w:tcBorders>
              <w:top w:val="nil"/>
              <w:left w:val="nil"/>
              <w:bottom w:val="single" w:sz="4" w:space="0" w:color="auto"/>
              <w:right w:val="single" w:sz="4" w:space="0" w:color="auto"/>
            </w:tcBorders>
            <w:shd w:val="clear" w:color="000000" w:fill="99CCFF"/>
            <w:noWrap/>
            <w:vAlign w:val="bottom"/>
            <w:hideMark/>
          </w:tcPr>
          <w:p w14:paraId="58D1582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72307AAE"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48DF583A"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3B487C0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0DCB3E7D"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01F24CE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Protihlukové a iné prvky ochrany životného prostredia</w:t>
            </w:r>
          </w:p>
        </w:tc>
        <w:tc>
          <w:tcPr>
            <w:tcW w:w="983" w:type="dxa"/>
            <w:tcBorders>
              <w:top w:val="nil"/>
              <w:left w:val="nil"/>
              <w:bottom w:val="single" w:sz="4" w:space="0" w:color="auto"/>
              <w:right w:val="single" w:sz="4" w:space="0" w:color="auto"/>
            </w:tcBorders>
            <w:shd w:val="clear" w:color="auto" w:fill="auto"/>
            <w:noWrap/>
            <w:vAlign w:val="bottom"/>
            <w:hideMark/>
          </w:tcPr>
          <w:p w14:paraId="477BFF7F"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8 230 770,04</w:t>
            </w:r>
          </w:p>
        </w:tc>
        <w:tc>
          <w:tcPr>
            <w:tcW w:w="992" w:type="dxa"/>
            <w:tcBorders>
              <w:top w:val="nil"/>
              <w:left w:val="nil"/>
              <w:bottom w:val="single" w:sz="4" w:space="0" w:color="auto"/>
              <w:right w:val="single" w:sz="4" w:space="0" w:color="auto"/>
            </w:tcBorders>
            <w:shd w:val="clear" w:color="000000" w:fill="99CCFF"/>
            <w:noWrap/>
            <w:vAlign w:val="bottom"/>
            <w:hideMark/>
          </w:tcPr>
          <w:p w14:paraId="7B0587F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1 581 020,99</w:t>
            </w:r>
          </w:p>
        </w:tc>
        <w:tc>
          <w:tcPr>
            <w:tcW w:w="992" w:type="dxa"/>
            <w:tcBorders>
              <w:top w:val="nil"/>
              <w:left w:val="nil"/>
              <w:bottom w:val="single" w:sz="4" w:space="0" w:color="auto"/>
              <w:right w:val="single" w:sz="4" w:space="0" w:color="auto"/>
            </w:tcBorders>
            <w:shd w:val="clear" w:color="000000" w:fill="99CCFF"/>
            <w:noWrap/>
            <w:vAlign w:val="bottom"/>
            <w:hideMark/>
          </w:tcPr>
          <w:p w14:paraId="1E3E4E5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2 822 876,69</w:t>
            </w:r>
          </w:p>
        </w:tc>
        <w:tc>
          <w:tcPr>
            <w:tcW w:w="993" w:type="dxa"/>
            <w:tcBorders>
              <w:top w:val="nil"/>
              <w:left w:val="nil"/>
              <w:bottom w:val="single" w:sz="4" w:space="0" w:color="auto"/>
              <w:right w:val="single" w:sz="4" w:space="0" w:color="auto"/>
            </w:tcBorders>
            <w:shd w:val="clear" w:color="000000" w:fill="99CCFF"/>
            <w:noWrap/>
            <w:vAlign w:val="bottom"/>
            <w:hideMark/>
          </w:tcPr>
          <w:p w14:paraId="574F8B2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2 888 009,72</w:t>
            </w:r>
          </w:p>
        </w:tc>
        <w:tc>
          <w:tcPr>
            <w:tcW w:w="992" w:type="dxa"/>
            <w:tcBorders>
              <w:top w:val="nil"/>
              <w:left w:val="nil"/>
              <w:bottom w:val="single" w:sz="4" w:space="0" w:color="auto"/>
              <w:right w:val="single" w:sz="4" w:space="0" w:color="auto"/>
            </w:tcBorders>
            <w:shd w:val="clear" w:color="000000" w:fill="99CCFF"/>
            <w:noWrap/>
            <w:vAlign w:val="bottom"/>
            <w:hideMark/>
          </w:tcPr>
          <w:p w14:paraId="219A88E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938 862,65</w:t>
            </w:r>
          </w:p>
        </w:tc>
        <w:tc>
          <w:tcPr>
            <w:tcW w:w="425" w:type="dxa"/>
            <w:tcBorders>
              <w:top w:val="nil"/>
              <w:left w:val="nil"/>
              <w:bottom w:val="single" w:sz="4" w:space="0" w:color="auto"/>
              <w:right w:val="single" w:sz="4" w:space="0" w:color="auto"/>
            </w:tcBorders>
            <w:shd w:val="clear" w:color="000000" w:fill="99CCFF"/>
            <w:noWrap/>
            <w:vAlign w:val="bottom"/>
            <w:hideMark/>
          </w:tcPr>
          <w:p w14:paraId="4082B3B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7134B33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0AA7DFD7"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4928F33D"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lastRenderedPageBreak/>
              <w:t>Ostatné</w:t>
            </w:r>
          </w:p>
        </w:tc>
        <w:tc>
          <w:tcPr>
            <w:tcW w:w="983" w:type="dxa"/>
            <w:tcBorders>
              <w:top w:val="nil"/>
              <w:left w:val="nil"/>
              <w:bottom w:val="single" w:sz="4" w:space="0" w:color="auto"/>
              <w:right w:val="single" w:sz="4" w:space="0" w:color="auto"/>
            </w:tcBorders>
            <w:shd w:val="clear" w:color="auto" w:fill="auto"/>
            <w:noWrap/>
            <w:vAlign w:val="bottom"/>
            <w:hideMark/>
          </w:tcPr>
          <w:p w14:paraId="43083CF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2 881 840,86</w:t>
            </w:r>
          </w:p>
        </w:tc>
        <w:tc>
          <w:tcPr>
            <w:tcW w:w="992" w:type="dxa"/>
            <w:tcBorders>
              <w:top w:val="nil"/>
              <w:left w:val="nil"/>
              <w:bottom w:val="single" w:sz="4" w:space="0" w:color="auto"/>
              <w:right w:val="single" w:sz="4" w:space="0" w:color="auto"/>
            </w:tcBorders>
            <w:shd w:val="clear" w:color="000000" w:fill="99CCFF"/>
            <w:noWrap/>
            <w:vAlign w:val="bottom"/>
            <w:hideMark/>
          </w:tcPr>
          <w:p w14:paraId="2E18508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1 025 776,44</w:t>
            </w:r>
          </w:p>
        </w:tc>
        <w:tc>
          <w:tcPr>
            <w:tcW w:w="992" w:type="dxa"/>
            <w:tcBorders>
              <w:top w:val="nil"/>
              <w:left w:val="nil"/>
              <w:bottom w:val="single" w:sz="4" w:space="0" w:color="auto"/>
              <w:right w:val="single" w:sz="4" w:space="0" w:color="auto"/>
            </w:tcBorders>
            <w:shd w:val="clear" w:color="000000" w:fill="99CCFF"/>
            <w:noWrap/>
            <w:vAlign w:val="bottom"/>
            <w:hideMark/>
          </w:tcPr>
          <w:p w14:paraId="75D57792"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1 025 776,44</w:t>
            </w:r>
          </w:p>
        </w:tc>
        <w:tc>
          <w:tcPr>
            <w:tcW w:w="993" w:type="dxa"/>
            <w:tcBorders>
              <w:top w:val="nil"/>
              <w:left w:val="nil"/>
              <w:bottom w:val="single" w:sz="4" w:space="0" w:color="auto"/>
              <w:right w:val="single" w:sz="4" w:space="0" w:color="auto"/>
            </w:tcBorders>
            <w:shd w:val="clear" w:color="000000" w:fill="99CCFF"/>
            <w:noWrap/>
            <w:vAlign w:val="bottom"/>
            <w:hideMark/>
          </w:tcPr>
          <w:p w14:paraId="19590EE8"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703 328,07</w:t>
            </w:r>
          </w:p>
        </w:tc>
        <w:tc>
          <w:tcPr>
            <w:tcW w:w="992" w:type="dxa"/>
            <w:tcBorders>
              <w:top w:val="nil"/>
              <w:left w:val="nil"/>
              <w:bottom w:val="single" w:sz="4" w:space="0" w:color="auto"/>
              <w:right w:val="single" w:sz="4" w:space="0" w:color="auto"/>
            </w:tcBorders>
            <w:shd w:val="clear" w:color="000000" w:fill="99CCFF"/>
            <w:noWrap/>
            <w:vAlign w:val="bottom"/>
            <w:hideMark/>
          </w:tcPr>
          <w:p w14:paraId="089D9F4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126 959,90</w:t>
            </w:r>
          </w:p>
        </w:tc>
        <w:tc>
          <w:tcPr>
            <w:tcW w:w="425" w:type="dxa"/>
            <w:tcBorders>
              <w:top w:val="nil"/>
              <w:left w:val="nil"/>
              <w:bottom w:val="single" w:sz="4" w:space="0" w:color="auto"/>
              <w:right w:val="single" w:sz="4" w:space="0" w:color="auto"/>
            </w:tcBorders>
            <w:shd w:val="clear" w:color="000000" w:fill="99CCFF"/>
            <w:noWrap/>
            <w:vAlign w:val="bottom"/>
            <w:hideMark/>
          </w:tcPr>
          <w:p w14:paraId="21F4BEE3"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454BDE9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7F8B8C5C"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6542F46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Vyvolané investície</w:t>
            </w:r>
          </w:p>
        </w:tc>
        <w:tc>
          <w:tcPr>
            <w:tcW w:w="983" w:type="dxa"/>
            <w:tcBorders>
              <w:top w:val="nil"/>
              <w:left w:val="nil"/>
              <w:bottom w:val="single" w:sz="4" w:space="0" w:color="auto"/>
              <w:right w:val="single" w:sz="4" w:space="0" w:color="auto"/>
            </w:tcBorders>
            <w:shd w:val="clear" w:color="auto" w:fill="auto"/>
            <w:noWrap/>
            <w:vAlign w:val="bottom"/>
            <w:hideMark/>
          </w:tcPr>
          <w:p w14:paraId="54A7D1B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17 500 324,38</w:t>
            </w:r>
          </w:p>
        </w:tc>
        <w:tc>
          <w:tcPr>
            <w:tcW w:w="992" w:type="dxa"/>
            <w:tcBorders>
              <w:top w:val="nil"/>
              <w:left w:val="nil"/>
              <w:bottom w:val="single" w:sz="4" w:space="0" w:color="auto"/>
              <w:right w:val="single" w:sz="4" w:space="0" w:color="auto"/>
            </w:tcBorders>
            <w:shd w:val="clear" w:color="000000" w:fill="99CCFF"/>
            <w:noWrap/>
            <w:vAlign w:val="bottom"/>
            <w:hideMark/>
          </w:tcPr>
          <w:p w14:paraId="45252455"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6 126 532,09</w:t>
            </w:r>
          </w:p>
        </w:tc>
        <w:tc>
          <w:tcPr>
            <w:tcW w:w="992" w:type="dxa"/>
            <w:tcBorders>
              <w:top w:val="nil"/>
              <w:left w:val="nil"/>
              <w:bottom w:val="single" w:sz="4" w:space="0" w:color="auto"/>
              <w:right w:val="single" w:sz="4" w:space="0" w:color="auto"/>
            </w:tcBorders>
            <w:shd w:val="clear" w:color="000000" w:fill="99CCFF"/>
            <w:noWrap/>
            <w:vAlign w:val="bottom"/>
            <w:hideMark/>
          </w:tcPr>
          <w:p w14:paraId="3CEFBC54"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4 901 844,16</w:t>
            </w:r>
          </w:p>
        </w:tc>
        <w:tc>
          <w:tcPr>
            <w:tcW w:w="993" w:type="dxa"/>
            <w:tcBorders>
              <w:top w:val="nil"/>
              <w:left w:val="nil"/>
              <w:bottom w:val="single" w:sz="4" w:space="0" w:color="auto"/>
              <w:right w:val="single" w:sz="4" w:space="0" w:color="auto"/>
            </w:tcBorders>
            <w:shd w:val="clear" w:color="000000" w:fill="99CCFF"/>
            <w:noWrap/>
            <w:vAlign w:val="bottom"/>
            <w:hideMark/>
          </w:tcPr>
          <w:p w14:paraId="5418A820"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3 778 868,70</w:t>
            </w:r>
          </w:p>
        </w:tc>
        <w:tc>
          <w:tcPr>
            <w:tcW w:w="992" w:type="dxa"/>
            <w:tcBorders>
              <w:top w:val="nil"/>
              <w:left w:val="nil"/>
              <w:bottom w:val="single" w:sz="4" w:space="0" w:color="auto"/>
              <w:right w:val="single" w:sz="4" w:space="0" w:color="auto"/>
            </w:tcBorders>
            <w:shd w:val="clear" w:color="000000" w:fill="99CCFF"/>
            <w:noWrap/>
            <w:vAlign w:val="bottom"/>
            <w:hideMark/>
          </w:tcPr>
          <w:p w14:paraId="50F6A3A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2 693 079,42</w:t>
            </w:r>
          </w:p>
        </w:tc>
        <w:tc>
          <w:tcPr>
            <w:tcW w:w="425" w:type="dxa"/>
            <w:tcBorders>
              <w:top w:val="nil"/>
              <w:left w:val="nil"/>
              <w:bottom w:val="single" w:sz="4" w:space="0" w:color="auto"/>
              <w:right w:val="single" w:sz="4" w:space="0" w:color="auto"/>
            </w:tcBorders>
            <w:shd w:val="clear" w:color="000000" w:fill="99CCFF"/>
            <w:noWrap/>
            <w:vAlign w:val="bottom"/>
            <w:hideMark/>
          </w:tcPr>
          <w:p w14:paraId="20F0F0D9"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56546AA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1551FF01"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27949883"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Dozor</w:t>
            </w:r>
          </w:p>
        </w:tc>
        <w:tc>
          <w:tcPr>
            <w:tcW w:w="983" w:type="dxa"/>
            <w:tcBorders>
              <w:top w:val="nil"/>
              <w:left w:val="nil"/>
              <w:bottom w:val="single" w:sz="4" w:space="0" w:color="auto"/>
              <w:right w:val="single" w:sz="4" w:space="0" w:color="auto"/>
            </w:tcBorders>
            <w:shd w:val="clear" w:color="auto" w:fill="auto"/>
            <w:noWrap/>
            <w:vAlign w:val="bottom"/>
            <w:hideMark/>
          </w:tcPr>
          <w:p w14:paraId="0AABB36F"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12 071 949,86</w:t>
            </w:r>
          </w:p>
        </w:tc>
        <w:tc>
          <w:tcPr>
            <w:tcW w:w="992" w:type="dxa"/>
            <w:tcBorders>
              <w:top w:val="nil"/>
              <w:left w:val="nil"/>
              <w:bottom w:val="single" w:sz="4" w:space="0" w:color="auto"/>
              <w:right w:val="single" w:sz="4" w:space="0" w:color="auto"/>
            </w:tcBorders>
            <w:shd w:val="clear" w:color="000000" w:fill="99CCFF"/>
            <w:noWrap/>
            <w:vAlign w:val="bottom"/>
            <w:hideMark/>
          </w:tcPr>
          <w:p w14:paraId="780F54A1"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3 421 027,69</w:t>
            </w:r>
          </w:p>
        </w:tc>
        <w:tc>
          <w:tcPr>
            <w:tcW w:w="992" w:type="dxa"/>
            <w:tcBorders>
              <w:top w:val="nil"/>
              <w:left w:val="nil"/>
              <w:bottom w:val="single" w:sz="4" w:space="0" w:color="auto"/>
              <w:right w:val="single" w:sz="4" w:space="0" w:color="auto"/>
            </w:tcBorders>
            <w:shd w:val="clear" w:color="000000" w:fill="99CCFF"/>
            <w:noWrap/>
            <w:vAlign w:val="bottom"/>
            <w:hideMark/>
          </w:tcPr>
          <w:p w14:paraId="7F2EA43D"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3 363 479,74</w:t>
            </w:r>
          </w:p>
        </w:tc>
        <w:tc>
          <w:tcPr>
            <w:tcW w:w="993" w:type="dxa"/>
            <w:tcBorders>
              <w:top w:val="nil"/>
              <w:left w:val="nil"/>
              <w:bottom w:val="single" w:sz="4" w:space="0" w:color="auto"/>
              <w:right w:val="single" w:sz="4" w:space="0" w:color="auto"/>
            </w:tcBorders>
            <w:shd w:val="clear" w:color="000000" w:fill="99CCFF"/>
            <w:noWrap/>
            <w:vAlign w:val="bottom"/>
            <w:hideMark/>
          </w:tcPr>
          <w:p w14:paraId="3B5FACD3"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2 976 089,90</w:t>
            </w:r>
          </w:p>
        </w:tc>
        <w:tc>
          <w:tcPr>
            <w:tcW w:w="992" w:type="dxa"/>
            <w:tcBorders>
              <w:top w:val="nil"/>
              <w:left w:val="nil"/>
              <w:bottom w:val="single" w:sz="4" w:space="0" w:color="auto"/>
              <w:right w:val="single" w:sz="4" w:space="0" w:color="auto"/>
            </w:tcBorders>
            <w:shd w:val="clear" w:color="000000" w:fill="99CCFF"/>
            <w:noWrap/>
            <w:vAlign w:val="bottom"/>
            <w:hideMark/>
          </w:tcPr>
          <w:p w14:paraId="6075ED72"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2 311 352,53</w:t>
            </w:r>
          </w:p>
        </w:tc>
        <w:tc>
          <w:tcPr>
            <w:tcW w:w="425" w:type="dxa"/>
            <w:tcBorders>
              <w:top w:val="nil"/>
              <w:left w:val="nil"/>
              <w:bottom w:val="single" w:sz="4" w:space="0" w:color="auto"/>
              <w:right w:val="single" w:sz="4" w:space="0" w:color="auto"/>
            </w:tcBorders>
            <w:shd w:val="clear" w:color="000000" w:fill="99CCFF"/>
            <w:noWrap/>
            <w:vAlign w:val="bottom"/>
            <w:hideMark/>
          </w:tcPr>
          <w:p w14:paraId="2723239B"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0A19A816"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1BBDF88D"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05B086E2"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Iné služby (Technická pomoc, Publicita, Externé riadenie)</w:t>
            </w:r>
          </w:p>
        </w:tc>
        <w:tc>
          <w:tcPr>
            <w:tcW w:w="983" w:type="dxa"/>
            <w:tcBorders>
              <w:top w:val="nil"/>
              <w:left w:val="nil"/>
              <w:bottom w:val="single" w:sz="4" w:space="0" w:color="auto"/>
              <w:right w:val="single" w:sz="4" w:space="0" w:color="auto"/>
            </w:tcBorders>
            <w:shd w:val="clear" w:color="auto" w:fill="auto"/>
            <w:noWrap/>
            <w:vAlign w:val="bottom"/>
            <w:hideMark/>
          </w:tcPr>
          <w:p w14:paraId="60334472"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29D5BA08"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074E9EF9"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3" w:type="dxa"/>
            <w:tcBorders>
              <w:top w:val="nil"/>
              <w:left w:val="nil"/>
              <w:bottom w:val="single" w:sz="4" w:space="0" w:color="auto"/>
              <w:right w:val="single" w:sz="4" w:space="0" w:color="auto"/>
            </w:tcBorders>
            <w:shd w:val="clear" w:color="000000" w:fill="99CCFF"/>
            <w:noWrap/>
            <w:vAlign w:val="bottom"/>
            <w:hideMark/>
          </w:tcPr>
          <w:p w14:paraId="6E3576AB"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992" w:type="dxa"/>
            <w:tcBorders>
              <w:top w:val="nil"/>
              <w:left w:val="nil"/>
              <w:bottom w:val="single" w:sz="4" w:space="0" w:color="auto"/>
              <w:right w:val="single" w:sz="4" w:space="0" w:color="auto"/>
            </w:tcBorders>
            <w:shd w:val="clear" w:color="000000" w:fill="99CCFF"/>
            <w:noWrap/>
            <w:vAlign w:val="bottom"/>
            <w:hideMark/>
          </w:tcPr>
          <w:p w14:paraId="14167183"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425" w:type="dxa"/>
            <w:tcBorders>
              <w:top w:val="nil"/>
              <w:left w:val="nil"/>
              <w:bottom w:val="single" w:sz="4" w:space="0" w:color="auto"/>
              <w:right w:val="single" w:sz="4" w:space="0" w:color="auto"/>
            </w:tcBorders>
            <w:shd w:val="clear" w:color="000000" w:fill="99CCFF"/>
            <w:noWrap/>
            <w:vAlign w:val="bottom"/>
            <w:hideMark/>
          </w:tcPr>
          <w:p w14:paraId="3C0D7DF1"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6CA547BC" w14:textId="77777777" w:rsidR="001A24C3" w:rsidRPr="00BF17CC" w:rsidRDefault="001A24C3" w:rsidP="00300963">
            <w:pPr>
              <w:jc w:val="right"/>
              <w:rPr>
                <w:rFonts w:ascii="Arial" w:eastAsia="Times New Roman" w:hAnsi="Arial" w:cs="Arial"/>
                <w:i/>
                <w:iCs/>
                <w:sz w:val="12"/>
                <w:szCs w:val="12"/>
                <w:lang w:eastAsia="sk-SK"/>
              </w:rPr>
            </w:pPr>
            <w:r w:rsidRPr="00BF17CC">
              <w:rPr>
                <w:rFonts w:ascii="Arial" w:eastAsia="Times New Roman" w:hAnsi="Arial" w:cs="Arial"/>
                <w:i/>
                <w:iCs/>
                <w:sz w:val="12"/>
                <w:szCs w:val="12"/>
                <w:lang w:eastAsia="sk-SK"/>
              </w:rPr>
              <w:t>0,00</w:t>
            </w:r>
          </w:p>
        </w:tc>
      </w:tr>
      <w:tr w:rsidR="001A24C3" w:rsidRPr="00BF17CC" w14:paraId="55B642A1"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vAlign w:val="bottom"/>
            <w:hideMark/>
          </w:tcPr>
          <w:p w14:paraId="61F4F96F" w14:textId="77777777" w:rsidR="001A24C3" w:rsidRPr="00BF17CC" w:rsidRDefault="001A24C3" w:rsidP="00300963">
            <w:pPr>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Celkové investičné výdavky</w:t>
            </w:r>
          </w:p>
        </w:tc>
        <w:tc>
          <w:tcPr>
            <w:tcW w:w="983" w:type="dxa"/>
            <w:tcBorders>
              <w:top w:val="nil"/>
              <w:left w:val="nil"/>
              <w:bottom w:val="single" w:sz="4" w:space="0" w:color="auto"/>
              <w:right w:val="single" w:sz="4" w:space="0" w:color="auto"/>
            </w:tcBorders>
            <w:shd w:val="clear" w:color="auto" w:fill="auto"/>
            <w:vAlign w:val="bottom"/>
            <w:hideMark/>
          </w:tcPr>
          <w:p w14:paraId="0E120AB8"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426 532 863,41</w:t>
            </w:r>
          </w:p>
        </w:tc>
        <w:tc>
          <w:tcPr>
            <w:tcW w:w="992" w:type="dxa"/>
            <w:tcBorders>
              <w:top w:val="nil"/>
              <w:left w:val="nil"/>
              <w:bottom w:val="single" w:sz="4" w:space="0" w:color="auto"/>
              <w:right w:val="single" w:sz="4" w:space="0" w:color="auto"/>
            </w:tcBorders>
            <w:shd w:val="clear" w:color="auto" w:fill="auto"/>
            <w:vAlign w:val="bottom"/>
            <w:hideMark/>
          </w:tcPr>
          <w:p w14:paraId="6531DDD4"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129 517 869,00</w:t>
            </w:r>
          </w:p>
        </w:tc>
        <w:tc>
          <w:tcPr>
            <w:tcW w:w="992" w:type="dxa"/>
            <w:tcBorders>
              <w:top w:val="nil"/>
              <w:left w:val="nil"/>
              <w:bottom w:val="single" w:sz="4" w:space="0" w:color="auto"/>
              <w:right w:val="single" w:sz="4" w:space="0" w:color="auto"/>
            </w:tcBorders>
            <w:shd w:val="clear" w:color="auto" w:fill="auto"/>
            <w:vAlign w:val="bottom"/>
            <w:hideMark/>
          </w:tcPr>
          <w:p w14:paraId="4517F591"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115 479 470,97</w:t>
            </w:r>
          </w:p>
        </w:tc>
        <w:tc>
          <w:tcPr>
            <w:tcW w:w="993" w:type="dxa"/>
            <w:tcBorders>
              <w:top w:val="nil"/>
              <w:left w:val="nil"/>
              <w:bottom w:val="single" w:sz="4" w:space="0" w:color="auto"/>
              <w:right w:val="single" w:sz="4" w:space="0" w:color="auto"/>
            </w:tcBorders>
            <w:shd w:val="clear" w:color="auto" w:fill="auto"/>
            <w:vAlign w:val="bottom"/>
            <w:hideMark/>
          </w:tcPr>
          <w:p w14:paraId="43349690"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102 179 086,50</w:t>
            </w:r>
          </w:p>
        </w:tc>
        <w:tc>
          <w:tcPr>
            <w:tcW w:w="992" w:type="dxa"/>
            <w:tcBorders>
              <w:top w:val="nil"/>
              <w:left w:val="nil"/>
              <w:bottom w:val="single" w:sz="4" w:space="0" w:color="auto"/>
              <w:right w:val="single" w:sz="4" w:space="0" w:color="auto"/>
            </w:tcBorders>
            <w:shd w:val="clear" w:color="auto" w:fill="auto"/>
            <w:vAlign w:val="bottom"/>
            <w:hideMark/>
          </w:tcPr>
          <w:p w14:paraId="5380F8D0"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79 356 436,94</w:t>
            </w:r>
          </w:p>
        </w:tc>
        <w:tc>
          <w:tcPr>
            <w:tcW w:w="425" w:type="dxa"/>
            <w:tcBorders>
              <w:top w:val="nil"/>
              <w:left w:val="nil"/>
              <w:bottom w:val="single" w:sz="4" w:space="0" w:color="auto"/>
              <w:right w:val="single" w:sz="4" w:space="0" w:color="auto"/>
            </w:tcBorders>
            <w:shd w:val="clear" w:color="auto" w:fill="auto"/>
            <w:vAlign w:val="bottom"/>
            <w:hideMark/>
          </w:tcPr>
          <w:p w14:paraId="15D62FFD"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c>
          <w:tcPr>
            <w:tcW w:w="567" w:type="dxa"/>
            <w:tcBorders>
              <w:top w:val="nil"/>
              <w:left w:val="nil"/>
              <w:bottom w:val="single" w:sz="4" w:space="0" w:color="auto"/>
              <w:right w:val="single" w:sz="4" w:space="0" w:color="auto"/>
            </w:tcBorders>
            <w:shd w:val="clear" w:color="auto" w:fill="auto"/>
            <w:vAlign w:val="bottom"/>
            <w:hideMark/>
          </w:tcPr>
          <w:p w14:paraId="54FBAA04"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r>
      <w:tr w:rsidR="001A24C3" w:rsidRPr="00BF17CC" w14:paraId="1C080EFF"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4C26F8E6"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Rezerva na nepredvídané výdavky</w:t>
            </w:r>
          </w:p>
        </w:tc>
        <w:tc>
          <w:tcPr>
            <w:tcW w:w="983" w:type="dxa"/>
            <w:tcBorders>
              <w:top w:val="nil"/>
              <w:left w:val="nil"/>
              <w:bottom w:val="single" w:sz="4" w:space="0" w:color="auto"/>
              <w:right w:val="single" w:sz="4" w:space="0" w:color="auto"/>
            </w:tcBorders>
            <w:shd w:val="clear" w:color="auto" w:fill="auto"/>
            <w:noWrap/>
            <w:vAlign w:val="bottom"/>
            <w:hideMark/>
          </w:tcPr>
          <w:p w14:paraId="0E27644D"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41 447 027,84</w:t>
            </w:r>
          </w:p>
        </w:tc>
        <w:tc>
          <w:tcPr>
            <w:tcW w:w="992" w:type="dxa"/>
            <w:tcBorders>
              <w:top w:val="nil"/>
              <w:left w:val="nil"/>
              <w:bottom w:val="single" w:sz="4" w:space="0" w:color="auto"/>
              <w:right w:val="single" w:sz="4" w:space="0" w:color="auto"/>
            </w:tcBorders>
            <w:shd w:val="clear" w:color="000000" w:fill="99CCFF"/>
            <w:noWrap/>
            <w:vAlign w:val="bottom"/>
            <w:hideMark/>
          </w:tcPr>
          <w:p w14:paraId="183FA229"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11 745 528,40</w:t>
            </w:r>
          </w:p>
        </w:tc>
        <w:tc>
          <w:tcPr>
            <w:tcW w:w="992" w:type="dxa"/>
            <w:tcBorders>
              <w:top w:val="nil"/>
              <w:left w:val="nil"/>
              <w:bottom w:val="single" w:sz="4" w:space="0" w:color="auto"/>
              <w:right w:val="single" w:sz="4" w:space="0" w:color="auto"/>
            </w:tcBorders>
            <w:shd w:val="clear" w:color="000000" w:fill="99CCFF"/>
            <w:noWrap/>
            <w:vAlign w:val="bottom"/>
            <w:hideMark/>
          </w:tcPr>
          <w:p w14:paraId="5C3CBD9C"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11 547 947,10</w:t>
            </w:r>
          </w:p>
        </w:tc>
        <w:tc>
          <w:tcPr>
            <w:tcW w:w="993" w:type="dxa"/>
            <w:tcBorders>
              <w:top w:val="nil"/>
              <w:left w:val="nil"/>
              <w:bottom w:val="single" w:sz="4" w:space="0" w:color="auto"/>
              <w:right w:val="single" w:sz="4" w:space="0" w:color="auto"/>
            </w:tcBorders>
            <w:shd w:val="clear" w:color="000000" w:fill="99CCFF"/>
            <w:noWrap/>
            <w:vAlign w:val="bottom"/>
            <w:hideMark/>
          </w:tcPr>
          <w:p w14:paraId="2142E4C9"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10 217 908,65</w:t>
            </w:r>
          </w:p>
        </w:tc>
        <w:tc>
          <w:tcPr>
            <w:tcW w:w="992" w:type="dxa"/>
            <w:tcBorders>
              <w:top w:val="nil"/>
              <w:left w:val="nil"/>
              <w:bottom w:val="single" w:sz="4" w:space="0" w:color="auto"/>
              <w:right w:val="single" w:sz="4" w:space="0" w:color="auto"/>
            </w:tcBorders>
            <w:shd w:val="clear" w:color="000000" w:fill="99CCFF"/>
            <w:noWrap/>
            <w:vAlign w:val="bottom"/>
            <w:hideMark/>
          </w:tcPr>
          <w:p w14:paraId="1E4FC811"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7 935 643,69</w:t>
            </w:r>
          </w:p>
        </w:tc>
        <w:tc>
          <w:tcPr>
            <w:tcW w:w="425" w:type="dxa"/>
            <w:tcBorders>
              <w:top w:val="nil"/>
              <w:left w:val="nil"/>
              <w:bottom w:val="single" w:sz="4" w:space="0" w:color="auto"/>
              <w:right w:val="single" w:sz="4" w:space="0" w:color="auto"/>
            </w:tcBorders>
            <w:shd w:val="clear" w:color="000000" w:fill="99CCFF"/>
            <w:noWrap/>
            <w:vAlign w:val="bottom"/>
            <w:hideMark/>
          </w:tcPr>
          <w:p w14:paraId="75BAEDDE"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1F44589C"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r>
      <w:tr w:rsidR="001A24C3" w:rsidRPr="00BF17CC" w14:paraId="5A2107BA"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7C341A8F"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Cenové úpravy (valorizácia)</w:t>
            </w:r>
          </w:p>
        </w:tc>
        <w:tc>
          <w:tcPr>
            <w:tcW w:w="983" w:type="dxa"/>
            <w:tcBorders>
              <w:top w:val="nil"/>
              <w:left w:val="nil"/>
              <w:bottom w:val="single" w:sz="4" w:space="0" w:color="auto"/>
              <w:right w:val="single" w:sz="4" w:space="0" w:color="auto"/>
            </w:tcBorders>
            <w:shd w:val="clear" w:color="auto" w:fill="auto"/>
            <w:noWrap/>
            <w:vAlign w:val="bottom"/>
            <w:hideMark/>
          </w:tcPr>
          <w:p w14:paraId="75EBDC8D"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9 529 110,73</w:t>
            </w:r>
          </w:p>
        </w:tc>
        <w:tc>
          <w:tcPr>
            <w:tcW w:w="992" w:type="dxa"/>
            <w:tcBorders>
              <w:top w:val="nil"/>
              <w:left w:val="nil"/>
              <w:bottom w:val="single" w:sz="4" w:space="0" w:color="auto"/>
              <w:right w:val="single" w:sz="4" w:space="0" w:color="auto"/>
            </w:tcBorders>
            <w:shd w:val="clear" w:color="000000" w:fill="99CCFF"/>
            <w:noWrap/>
            <w:vAlign w:val="bottom"/>
            <w:hideMark/>
          </w:tcPr>
          <w:p w14:paraId="7479101F"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2 700 421,40</w:t>
            </w:r>
          </w:p>
        </w:tc>
        <w:tc>
          <w:tcPr>
            <w:tcW w:w="992" w:type="dxa"/>
            <w:tcBorders>
              <w:top w:val="nil"/>
              <w:left w:val="nil"/>
              <w:bottom w:val="single" w:sz="4" w:space="0" w:color="auto"/>
              <w:right w:val="single" w:sz="4" w:space="0" w:color="auto"/>
            </w:tcBorders>
            <w:shd w:val="clear" w:color="000000" w:fill="99CCFF"/>
            <w:noWrap/>
            <w:vAlign w:val="bottom"/>
            <w:hideMark/>
          </w:tcPr>
          <w:p w14:paraId="636C5BB0"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2 654 995,36</w:t>
            </w:r>
          </w:p>
        </w:tc>
        <w:tc>
          <w:tcPr>
            <w:tcW w:w="993" w:type="dxa"/>
            <w:tcBorders>
              <w:top w:val="nil"/>
              <w:left w:val="nil"/>
              <w:bottom w:val="single" w:sz="4" w:space="0" w:color="auto"/>
              <w:right w:val="single" w:sz="4" w:space="0" w:color="auto"/>
            </w:tcBorders>
            <w:shd w:val="clear" w:color="000000" w:fill="99CCFF"/>
            <w:noWrap/>
            <w:vAlign w:val="bottom"/>
            <w:hideMark/>
          </w:tcPr>
          <w:p w14:paraId="4F065477"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2 349 205,43</w:t>
            </w:r>
          </w:p>
        </w:tc>
        <w:tc>
          <w:tcPr>
            <w:tcW w:w="992" w:type="dxa"/>
            <w:tcBorders>
              <w:top w:val="nil"/>
              <w:left w:val="nil"/>
              <w:bottom w:val="single" w:sz="4" w:space="0" w:color="auto"/>
              <w:right w:val="single" w:sz="4" w:space="0" w:color="auto"/>
            </w:tcBorders>
            <w:shd w:val="clear" w:color="000000" w:fill="99CCFF"/>
            <w:noWrap/>
            <w:vAlign w:val="bottom"/>
            <w:hideMark/>
          </w:tcPr>
          <w:p w14:paraId="40E337CA"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1 824 488,54</w:t>
            </w:r>
          </w:p>
        </w:tc>
        <w:tc>
          <w:tcPr>
            <w:tcW w:w="425" w:type="dxa"/>
            <w:tcBorders>
              <w:top w:val="nil"/>
              <w:left w:val="nil"/>
              <w:bottom w:val="single" w:sz="4" w:space="0" w:color="auto"/>
              <w:right w:val="single" w:sz="4" w:space="0" w:color="auto"/>
            </w:tcBorders>
            <w:shd w:val="clear" w:color="000000" w:fill="99CCFF"/>
            <w:noWrap/>
            <w:vAlign w:val="bottom"/>
            <w:hideMark/>
          </w:tcPr>
          <w:p w14:paraId="67E02310"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1CADFF1F"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r>
      <w:tr w:rsidR="001A24C3" w:rsidRPr="00BF17CC" w14:paraId="62F0441A" w14:textId="77777777" w:rsidTr="00300963">
        <w:trPr>
          <w:trHeight w:val="225"/>
        </w:trPr>
        <w:tc>
          <w:tcPr>
            <w:tcW w:w="3265" w:type="dxa"/>
            <w:tcBorders>
              <w:top w:val="nil"/>
              <w:left w:val="single" w:sz="4" w:space="0" w:color="auto"/>
              <w:bottom w:val="single" w:sz="4" w:space="0" w:color="auto"/>
              <w:right w:val="single" w:sz="4" w:space="0" w:color="auto"/>
            </w:tcBorders>
            <w:shd w:val="clear" w:color="auto" w:fill="auto"/>
            <w:vAlign w:val="bottom"/>
            <w:hideMark/>
          </w:tcPr>
          <w:p w14:paraId="40323EA4" w14:textId="77777777" w:rsidR="001A24C3" w:rsidRPr="00BF17CC" w:rsidRDefault="001A24C3" w:rsidP="00300963">
            <w:pPr>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Celkové investičné výdavky vrátane rezervy a valorizácie</w:t>
            </w:r>
          </w:p>
        </w:tc>
        <w:tc>
          <w:tcPr>
            <w:tcW w:w="983" w:type="dxa"/>
            <w:tcBorders>
              <w:top w:val="nil"/>
              <w:left w:val="nil"/>
              <w:bottom w:val="single" w:sz="4" w:space="0" w:color="auto"/>
              <w:right w:val="single" w:sz="4" w:space="0" w:color="auto"/>
            </w:tcBorders>
            <w:shd w:val="clear" w:color="auto" w:fill="auto"/>
            <w:noWrap/>
            <w:vAlign w:val="bottom"/>
            <w:hideMark/>
          </w:tcPr>
          <w:p w14:paraId="6299EBC6"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477 509 001,99</w:t>
            </w:r>
          </w:p>
        </w:tc>
        <w:tc>
          <w:tcPr>
            <w:tcW w:w="992" w:type="dxa"/>
            <w:tcBorders>
              <w:top w:val="nil"/>
              <w:left w:val="nil"/>
              <w:bottom w:val="single" w:sz="4" w:space="0" w:color="auto"/>
              <w:right w:val="single" w:sz="4" w:space="0" w:color="auto"/>
            </w:tcBorders>
            <w:shd w:val="clear" w:color="auto" w:fill="auto"/>
            <w:noWrap/>
            <w:vAlign w:val="bottom"/>
            <w:hideMark/>
          </w:tcPr>
          <w:p w14:paraId="45F6EEBC"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143 963 818,80</w:t>
            </w:r>
          </w:p>
        </w:tc>
        <w:tc>
          <w:tcPr>
            <w:tcW w:w="992" w:type="dxa"/>
            <w:tcBorders>
              <w:top w:val="nil"/>
              <w:left w:val="nil"/>
              <w:bottom w:val="single" w:sz="4" w:space="0" w:color="auto"/>
              <w:right w:val="single" w:sz="4" w:space="0" w:color="auto"/>
            </w:tcBorders>
            <w:shd w:val="clear" w:color="auto" w:fill="auto"/>
            <w:noWrap/>
            <w:vAlign w:val="bottom"/>
            <w:hideMark/>
          </w:tcPr>
          <w:p w14:paraId="2D317A0A"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129 682 413,43</w:t>
            </w:r>
          </w:p>
        </w:tc>
        <w:tc>
          <w:tcPr>
            <w:tcW w:w="993" w:type="dxa"/>
            <w:tcBorders>
              <w:top w:val="nil"/>
              <w:left w:val="nil"/>
              <w:bottom w:val="single" w:sz="4" w:space="0" w:color="auto"/>
              <w:right w:val="single" w:sz="4" w:space="0" w:color="auto"/>
            </w:tcBorders>
            <w:shd w:val="clear" w:color="auto" w:fill="auto"/>
            <w:noWrap/>
            <w:vAlign w:val="bottom"/>
            <w:hideMark/>
          </w:tcPr>
          <w:p w14:paraId="5E23A002"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114 746 200,58</w:t>
            </w:r>
          </w:p>
        </w:tc>
        <w:tc>
          <w:tcPr>
            <w:tcW w:w="992" w:type="dxa"/>
            <w:tcBorders>
              <w:top w:val="nil"/>
              <w:left w:val="nil"/>
              <w:bottom w:val="single" w:sz="4" w:space="0" w:color="auto"/>
              <w:right w:val="single" w:sz="4" w:space="0" w:color="auto"/>
            </w:tcBorders>
            <w:shd w:val="clear" w:color="auto" w:fill="auto"/>
            <w:noWrap/>
            <w:vAlign w:val="bottom"/>
            <w:hideMark/>
          </w:tcPr>
          <w:p w14:paraId="17BE466B"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89 116 569,18</w:t>
            </w:r>
          </w:p>
        </w:tc>
        <w:tc>
          <w:tcPr>
            <w:tcW w:w="425" w:type="dxa"/>
            <w:tcBorders>
              <w:top w:val="nil"/>
              <w:left w:val="nil"/>
              <w:bottom w:val="single" w:sz="4" w:space="0" w:color="auto"/>
              <w:right w:val="single" w:sz="4" w:space="0" w:color="auto"/>
            </w:tcBorders>
            <w:shd w:val="clear" w:color="auto" w:fill="auto"/>
            <w:noWrap/>
            <w:vAlign w:val="bottom"/>
            <w:hideMark/>
          </w:tcPr>
          <w:p w14:paraId="79A03A9A"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c>
          <w:tcPr>
            <w:tcW w:w="567" w:type="dxa"/>
            <w:tcBorders>
              <w:top w:val="nil"/>
              <w:left w:val="nil"/>
              <w:bottom w:val="single" w:sz="4" w:space="0" w:color="auto"/>
              <w:right w:val="single" w:sz="4" w:space="0" w:color="auto"/>
            </w:tcBorders>
            <w:shd w:val="clear" w:color="auto" w:fill="auto"/>
            <w:noWrap/>
            <w:vAlign w:val="bottom"/>
            <w:hideMark/>
          </w:tcPr>
          <w:p w14:paraId="12F52DF1"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r>
      <w:tr w:rsidR="001A24C3" w:rsidRPr="00BF17CC" w14:paraId="3E4697F1"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36717336" w14:textId="77777777" w:rsidR="001A24C3" w:rsidRPr="00BF17CC" w:rsidRDefault="001A24C3" w:rsidP="00300963">
            <w:pPr>
              <w:rPr>
                <w:rFonts w:ascii="Arial" w:eastAsia="Times New Roman" w:hAnsi="Arial" w:cs="Arial"/>
                <w:sz w:val="12"/>
                <w:szCs w:val="12"/>
                <w:lang w:eastAsia="sk-SK"/>
              </w:rPr>
            </w:pPr>
            <w:r w:rsidRPr="00BF17CC">
              <w:rPr>
                <w:rFonts w:ascii="Arial" w:eastAsia="Times New Roman" w:hAnsi="Arial" w:cs="Arial"/>
                <w:sz w:val="12"/>
                <w:szCs w:val="12"/>
                <w:lang w:eastAsia="sk-SK"/>
              </w:rPr>
              <w:t>DPH</w:t>
            </w:r>
          </w:p>
        </w:tc>
        <w:tc>
          <w:tcPr>
            <w:tcW w:w="983" w:type="dxa"/>
            <w:tcBorders>
              <w:top w:val="nil"/>
              <w:left w:val="nil"/>
              <w:bottom w:val="single" w:sz="4" w:space="0" w:color="auto"/>
              <w:right w:val="single" w:sz="4" w:space="0" w:color="auto"/>
            </w:tcBorders>
            <w:shd w:val="clear" w:color="auto" w:fill="auto"/>
            <w:noWrap/>
            <w:vAlign w:val="bottom"/>
            <w:hideMark/>
          </w:tcPr>
          <w:p w14:paraId="395DA952"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96 965 951,78</w:t>
            </w:r>
          </w:p>
        </w:tc>
        <w:tc>
          <w:tcPr>
            <w:tcW w:w="992" w:type="dxa"/>
            <w:tcBorders>
              <w:top w:val="nil"/>
              <w:left w:val="nil"/>
              <w:bottom w:val="single" w:sz="4" w:space="0" w:color="auto"/>
              <w:right w:val="single" w:sz="4" w:space="0" w:color="auto"/>
            </w:tcBorders>
            <w:shd w:val="clear" w:color="000000" w:fill="99CCFF"/>
            <w:noWrap/>
            <w:vAlign w:val="bottom"/>
            <w:hideMark/>
          </w:tcPr>
          <w:p w14:paraId="59358C4C"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28 474 583,76</w:t>
            </w:r>
          </w:p>
        </w:tc>
        <w:tc>
          <w:tcPr>
            <w:tcW w:w="992" w:type="dxa"/>
            <w:tcBorders>
              <w:top w:val="nil"/>
              <w:left w:val="nil"/>
              <w:bottom w:val="single" w:sz="4" w:space="0" w:color="auto"/>
              <w:right w:val="single" w:sz="4" w:space="0" w:color="auto"/>
            </w:tcBorders>
            <w:shd w:val="clear" w:color="000000" w:fill="99CCFF"/>
            <w:noWrap/>
            <w:vAlign w:val="bottom"/>
            <w:hideMark/>
          </w:tcPr>
          <w:p w14:paraId="765433D2"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25 936 482,69</w:t>
            </w:r>
          </w:p>
        </w:tc>
        <w:tc>
          <w:tcPr>
            <w:tcW w:w="993" w:type="dxa"/>
            <w:tcBorders>
              <w:top w:val="nil"/>
              <w:left w:val="nil"/>
              <w:bottom w:val="single" w:sz="4" w:space="0" w:color="auto"/>
              <w:right w:val="single" w:sz="4" w:space="0" w:color="auto"/>
            </w:tcBorders>
            <w:shd w:val="clear" w:color="000000" w:fill="99CCFF"/>
            <w:noWrap/>
            <w:vAlign w:val="bottom"/>
            <w:hideMark/>
          </w:tcPr>
          <w:p w14:paraId="1754F4EE"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22 949 240,12</w:t>
            </w:r>
          </w:p>
        </w:tc>
        <w:tc>
          <w:tcPr>
            <w:tcW w:w="992" w:type="dxa"/>
            <w:tcBorders>
              <w:top w:val="nil"/>
              <w:left w:val="nil"/>
              <w:bottom w:val="single" w:sz="4" w:space="0" w:color="auto"/>
              <w:right w:val="single" w:sz="4" w:space="0" w:color="auto"/>
            </w:tcBorders>
            <w:shd w:val="clear" w:color="000000" w:fill="99CCFF"/>
            <w:noWrap/>
            <w:vAlign w:val="bottom"/>
            <w:hideMark/>
          </w:tcPr>
          <w:p w14:paraId="314508D5"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19 605 645,22</w:t>
            </w:r>
          </w:p>
        </w:tc>
        <w:tc>
          <w:tcPr>
            <w:tcW w:w="425" w:type="dxa"/>
            <w:tcBorders>
              <w:top w:val="nil"/>
              <w:left w:val="nil"/>
              <w:bottom w:val="single" w:sz="4" w:space="0" w:color="auto"/>
              <w:right w:val="single" w:sz="4" w:space="0" w:color="auto"/>
            </w:tcBorders>
            <w:shd w:val="clear" w:color="000000" w:fill="99CCFF"/>
            <w:noWrap/>
            <w:vAlign w:val="bottom"/>
            <w:hideMark/>
          </w:tcPr>
          <w:p w14:paraId="407099F6"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c>
          <w:tcPr>
            <w:tcW w:w="567" w:type="dxa"/>
            <w:tcBorders>
              <w:top w:val="nil"/>
              <w:left w:val="nil"/>
              <w:bottom w:val="single" w:sz="4" w:space="0" w:color="auto"/>
              <w:right w:val="single" w:sz="4" w:space="0" w:color="auto"/>
            </w:tcBorders>
            <w:shd w:val="clear" w:color="000000" w:fill="99CCFF"/>
            <w:noWrap/>
            <w:vAlign w:val="bottom"/>
            <w:hideMark/>
          </w:tcPr>
          <w:p w14:paraId="3ACF5041" w14:textId="77777777" w:rsidR="001A24C3" w:rsidRPr="00BF17CC" w:rsidRDefault="001A24C3" w:rsidP="00300963">
            <w:pPr>
              <w:jc w:val="right"/>
              <w:rPr>
                <w:rFonts w:ascii="Arial" w:eastAsia="Times New Roman" w:hAnsi="Arial" w:cs="Arial"/>
                <w:sz w:val="12"/>
                <w:szCs w:val="12"/>
                <w:lang w:eastAsia="sk-SK"/>
              </w:rPr>
            </w:pPr>
            <w:r w:rsidRPr="00BF17CC">
              <w:rPr>
                <w:rFonts w:ascii="Arial" w:eastAsia="Times New Roman" w:hAnsi="Arial" w:cs="Arial"/>
                <w:sz w:val="12"/>
                <w:szCs w:val="12"/>
                <w:lang w:eastAsia="sk-SK"/>
              </w:rPr>
              <w:t>0,00</w:t>
            </w:r>
          </w:p>
        </w:tc>
      </w:tr>
      <w:tr w:rsidR="001A24C3" w:rsidRPr="00BF17CC" w14:paraId="70B2F046"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353FD995" w14:textId="77777777" w:rsidR="001A24C3" w:rsidRPr="00BF17CC" w:rsidRDefault="001A24C3" w:rsidP="00300963">
            <w:pPr>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Celkové investičné výdavky vrátane DPH</w:t>
            </w:r>
          </w:p>
        </w:tc>
        <w:tc>
          <w:tcPr>
            <w:tcW w:w="983" w:type="dxa"/>
            <w:tcBorders>
              <w:top w:val="nil"/>
              <w:left w:val="nil"/>
              <w:bottom w:val="single" w:sz="4" w:space="0" w:color="auto"/>
              <w:right w:val="single" w:sz="4" w:space="0" w:color="auto"/>
            </w:tcBorders>
            <w:shd w:val="clear" w:color="auto" w:fill="auto"/>
            <w:noWrap/>
            <w:vAlign w:val="bottom"/>
            <w:hideMark/>
          </w:tcPr>
          <w:p w14:paraId="6D8B0B95"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574 474 953,77</w:t>
            </w:r>
          </w:p>
        </w:tc>
        <w:tc>
          <w:tcPr>
            <w:tcW w:w="992" w:type="dxa"/>
            <w:tcBorders>
              <w:top w:val="nil"/>
              <w:left w:val="nil"/>
              <w:bottom w:val="single" w:sz="4" w:space="0" w:color="auto"/>
              <w:right w:val="single" w:sz="4" w:space="0" w:color="auto"/>
            </w:tcBorders>
            <w:shd w:val="clear" w:color="auto" w:fill="auto"/>
            <w:noWrap/>
            <w:vAlign w:val="bottom"/>
            <w:hideMark/>
          </w:tcPr>
          <w:p w14:paraId="0A4846E6"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172 438 402,56</w:t>
            </w:r>
          </w:p>
        </w:tc>
        <w:tc>
          <w:tcPr>
            <w:tcW w:w="992" w:type="dxa"/>
            <w:tcBorders>
              <w:top w:val="nil"/>
              <w:left w:val="nil"/>
              <w:bottom w:val="single" w:sz="4" w:space="0" w:color="auto"/>
              <w:right w:val="single" w:sz="4" w:space="0" w:color="auto"/>
            </w:tcBorders>
            <w:shd w:val="clear" w:color="auto" w:fill="auto"/>
            <w:noWrap/>
            <w:vAlign w:val="bottom"/>
            <w:hideMark/>
          </w:tcPr>
          <w:p w14:paraId="11D48B19"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155 618 896,11</w:t>
            </w:r>
          </w:p>
        </w:tc>
        <w:tc>
          <w:tcPr>
            <w:tcW w:w="993" w:type="dxa"/>
            <w:tcBorders>
              <w:top w:val="nil"/>
              <w:left w:val="nil"/>
              <w:bottom w:val="single" w:sz="4" w:space="0" w:color="auto"/>
              <w:right w:val="single" w:sz="4" w:space="0" w:color="auto"/>
            </w:tcBorders>
            <w:shd w:val="clear" w:color="auto" w:fill="auto"/>
            <w:noWrap/>
            <w:vAlign w:val="bottom"/>
            <w:hideMark/>
          </w:tcPr>
          <w:p w14:paraId="21E8F1A3"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137 695 440,69</w:t>
            </w:r>
          </w:p>
        </w:tc>
        <w:tc>
          <w:tcPr>
            <w:tcW w:w="992" w:type="dxa"/>
            <w:tcBorders>
              <w:top w:val="nil"/>
              <w:left w:val="nil"/>
              <w:bottom w:val="single" w:sz="4" w:space="0" w:color="auto"/>
              <w:right w:val="single" w:sz="4" w:space="0" w:color="auto"/>
            </w:tcBorders>
            <w:shd w:val="clear" w:color="auto" w:fill="auto"/>
            <w:noWrap/>
            <w:vAlign w:val="bottom"/>
            <w:hideMark/>
          </w:tcPr>
          <w:p w14:paraId="008AAC7F"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108 722 214,40</w:t>
            </w:r>
          </w:p>
        </w:tc>
        <w:tc>
          <w:tcPr>
            <w:tcW w:w="425" w:type="dxa"/>
            <w:tcBorders>
              <w:top w:val="nil"/>
              <w:left w:val="nil"/>
              <w:bottom w:val="single" w:sz="4" w:space="0" w:color="auto"/>
              <w:right w:val="single" w:sz="4" w:space="0" w:color="auto"/>
            </w:tcBorders>
            <w:shd w:val="clear" w:color="auto" w:fill="auto"/>
            <w:noWrap/>
            <w:vAlign w:val="bottom"/>
            <w:hideMark/>
          </w:tcPr>
          <w:p w14:paraId="6308330A"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c>
          <w:tcPr>
            <w:tcW w:w="567" w:type="dxa"/>
            <w:tcBorders>
              <w:top w:val="nil"/>
              <w:left w:val="nil"/>
              <w:bottom w:val="single" w:sz="4" w:space="0" w:color="auto"/>
              <w:right w:val="single" w:sz="4" w:space="0" w:color="auto"/>
            </w:tcBorders>
            <w:shd w:val="clear" w:color="auto" w:fill="auto"/>
            <w:noWrap/>
            <w:vAlign w:val="bottom"/>
            <w:hideMark/>
          </w:tcPr>
          <w:p w14:paraId="4C9AFB99" w14:textId="77777777" w:rsidR="001A24C3" w:rsidRPr="00BF17CC" w:rsidRDefault="001A24C3" w:rsidP="00300963">
            <w:pPr>
              <w:jc w:val="right"/>
              <w:rPr>
                <w:rFonts w:ascii="Arial" w:eastAsia="Times New Roman" w:hAnsi="Arial" w:cs="Arial"/>
                <w:b/>
                <w:bCs/>
                <w:sz w:val="12"/>
                <w:szCs w:val="12"/>
                <w:lang w:eastAsia="sk-SK"/>
              </w:rPr>
            </w:pPr>
            <w:r w:rsidRPr="00BF17CC">
              <w:rPr>
                <w:rFonts w:ascii="Arial" w:eastAsia="Times New Roman" w:hAnsi="Arial" w:cs="Arial"/>
                <w:b/>
                <w:bCs/>
                <w:sz w:val="12"/>
                <w:szCs w:val="12"/>
                <w:lang w:eastAsia="sk-SK"/>
              </w:rPr>
              <w:t>0,00</w:t>
            </w:r>
          </w:p>
        </w:tc>
      </w:tr>
      <w:tr w:rsidR="001A24C3" w:rsidRPr="00BF17CC" w14:paraId="75AE1FCB" w14:textId="77777777" w:rsidTr="00300963">
        <w:trPr>
          <w:trHeight w:val="204"/>
        </w:trPr>
        <w:tc>
          <w:tcPr>
            <w:tcW w:w="3265" w:type="dxa"/>
            <w:tcBorders>
              <w:top w:val="nil"/>
              <w:left w:val="nil"/>
              <w:bottom w:val="nil"/>
              <w:right w:val="nil"/>
            </w:tcBorders>
            <w:shd w:val="clear" w:color="auto" w:fill="auto"/>
            <w:noWrap/>
            <w:vAlign w:val="bottom"/>
            <w:hideMark/>
          </w:tcPr>
          <w:p w14:paraId="1BB8A983" w14:textId="77777777" w:rsidR="001A24C3" w:rsidRPr="00BF17CC" w:rsidRDefault="001A24C3" w:rsidP="00300963">
            <w:pPr>
              <w:jc w:val="right"/>
              <w:rPr>
                <w:rFonts w:ascii="Arial" w:eastAsia="Times New Roman" w:hAnsi="Arial" w:cs="Arial"/>
                <w:b/>
                <w:bCs/>
                <w:sz w:val="12"/>
                <w:szCs w:val="12"/>
                <w:lang w:eastAsia="sk-SK"/>
              </w:rPr>
            </w:pPr>
          </w:p>
        </w:tc>
        <w:tc>
          <w:tcPr>
            <w:tcW w:w="983" w:type="dxa"/>
            <w:tcBorders>
              <w:top w:val="nil"/>
              <w:left w:val="nil"/>
              <w:bottom w:val="nil"/>
              <w:right w:val="nil"/>
            </w:tcBorders>
            <w:shd w:val="clear" w:color="auto" w:fill="auto"/>
            <w:noWrap/>
            <w:vAlign w:val="bottom"/>
            <w:hideMark/>
          </w:tcPr>
          <w:p w14:paraId="164BD8A4" w14:textId="77777777" w:rsidR="001A24C3" w:rsidRPr="00BF17CC" w:rsidRDefault="001A24C3" w:rsidP="00300963">
            <w:pPr>
              <w:rPr>
                <w:rFonts w:ascii="Times New Roman" w:eastAsia="Times New Roman" w:hAnsi="Times New Roman" w:cs="Times New Roman"/>
                <w:sz w:val="12"/>
                <w:szCs w:val="12"/>
                <w:lang w:eastAsia="sk-SK"/>
              </w:rPr>
            </w:pPr>
          </w:p>
        </w:tc>
        <w:tc>
          <w:tcPr>
            <w:tcW w:w="992" w:type="dxa"/>
            <w:tcBorders>
              <w:top w:val="nil"/>
              <w:left w:val="nil"/>
              <w:bottom w:val="nil"/>
              <w:right w:val="nil"/>
            </w:tcBorders>
            <w:shd w:val="clear" w:color="auto" w:fill="auto"/>
            <w:noWrap/>
            <w:vAlign w:val="bottom"/>
            <w:hideMark/>
          </w:tcPr>
          <w:p w14:paraId="76C2BB14" w14:textId="77777777" w:rsidR="001A24C3" w:rsidRPr="00BF17CC" w:rsidRDefault="001A24C3" w:rsidP="00300963">
            <w:pPr>
              <w:rPr>
                <w:rFonts w:ascii="Times New Roman" w:eastAsia="Times New Roman" w:hAnsi="Times New Roman" w:cs="Times New Roman"/>
                <w:sz w:val="12"/>
                <w:szCs w:val="12"/>
                <w:lang w:eastAsia="sk-SK"/>
              </w:rPr>
            </w:pPr>
          </w:p>
        </w:tc>
        <w:tc>
          <w:tcPr>
            <w:tcW w:w="992" w:type="dxa"/>
            <w:tcBorders>
              <w:top w:val="nil"/>
              <w:left w:val="nil"/>
              <w:bottom w:val="nil"/>
              <w:right w:val="nil"/>
            </w:tcBorders>
            <w:shd w:val="clear" w:color="auto" w:fill="auto"/>
            <w:noWrap/>
            <w:vAlign w:val="bottom"/>
            <w:hideMark/>
          </w:tcPr>
          <w:p w14:paraId="278FF49D" w14:textId="77777777" w:rsidR="001A24C3" w:rsidRPr="00BF17CC" w:rsidRDefault="001A24C3" w:rsidP="00300963">
            <w:pPr>
              <w:rPr>
                <w:rFonts w:ascii="Times New Roman" w:eastAsia="Times New Roman" w:hAnsi="Times New Roman" w:cs="Times New Roman"/>
                <w:sz w:val="12"/>
                <w:szCs w:val="12"/>
                <w:lang w:eastAsia="sk-SK"/>
              </w:rPr>
            </w:pPr>
          </w:p>
        </w:tc>
        <w:tc>
          <w:tcPr>
            <w:tcW w:w="993" w:type="dxa"/>
            <w:tcBorders>
              <w:top w:val="nil"/>
              <w:left w:val="nil"/>
              <w:bottom w:val="nil"/>
              <w:right w:val="nil"/>
            </w:tcBorders>
            <w:shd w:val="clear" w:color="auto" w:fill="auto"/>
            <w:noWrap/>
            <w:vAlign w:val="bottom"/>
            <w:hideMark/>
          </w:tcPr>
          <w:p w14:paraId="58A7F8BC" w14:textId="77777777" w:rsidR="001A24C3" w:rsidRPr="00BF17CC" w:rsidRDefault="001A24C3" w:rsidP="00300963">
            <w:pPr>
              <w:rPr>
                <w:rFonts w:ascii="Times New Roman" w:eastAsia="Times New Roman" w:hAnsi="Times New Roman" w:cs="Times New Roman"/>
                <w:sz w:val="12"/>
                <w:szCs w:val="12"/>
                <w:lang w:eastAsia="sk-SK"/>
              </w:rPr>
            </w:pPr>
          </w:p>
        </w:tc>
        <w:tc>
          <w:tcPr>
            <w:tcW w:w="992" w:type="dxa"/>
            <w:tcBorders>
              <w:top w:val="nil"/>
              <w:left w:val="nil"/>
              <w:bottom w:val="nil"/>
              <w:right w:val="nil"/>
            </w:tcBorders>
            <w:shd w:val="clear" w:color="auto" w:fill="auto"/>
            <w:noWrap/>
            <w:vAlign w:val="bottom"/>
            <w:hideMark/>
          </w:tcPr>
          <w:p w14:paraId="3EFE2BFF" w14:textId="77777777" w:rsidR="001A24C3" w:rsidRPr="00BF17CC" w:rsidRDefault="001A24C3" w:rsidP="00300963">
            <w:pPr>
              <w:rPr>
                <w:rFonts w:ascii="Times New Roman" w:eastAsia="Times New Roman" w:hAnsi="Times New Roman" w:cs="Times New Roman"/>
                <w:sz w:val="12"/>
                <w:szCs w:val="12"/>
                <w:lang w:eastAsia="sk-SK"/>
              </w:rPr>
            </w:pPr>
          </w:p>
        </w:tc>
        <w:tc>
          <w:tcPr>
            <w:tcW w:w="425" w:type="dxa"/>
            <w:tcBorders>
              <w:top w:val="nil"/>
              <w:left w:val="nil"/>
              <w:bottom w:val="nil"/>
              <w:right w:val="nil"/>
            </w:tcBorders>
            <w:shd w:val="clear" w:color="auto" w:fill="auto"/>
            <w:noWrap/>
            <w:vAlign w:val="bottom"/>
            <w:hideMark/>
          </w:tcPr>
          <w:p w14:paraId="37EABE76" w14:textId="77777777" w:rsidR="001A24C3" w:rsidRPr="00BF17CC" w:rsidRDefault="001A24C3" w:rsidP="00300963">
            <w:pPr>
              <w:rPr>
                <w:rFonts w:ascii="Times New Roman" w:eastAsia="Times New Roman" w:hAnsi="Times New Roman" w:cs="Times New Roman"/>
                <w:sz w:val="12"/>
                <w:szCs w:val="12"/>
                <w:lang w:eastAsia="sk-SK"/>
              </w:rPr>
            </w:pPr>
          </w:p>
        </w:tc>
        <w:tc>
          <w:tcPr>
            <w:tcW w:w="567" w:type="dxa"/>
            <w:tcBorders>
              <w:top w:val="nil"/>
              <w:left w:val="nil"/>
              <w:bottom w:val="nil"/>
              <w:right w:val="nil"/>
            </w:tcBorders>
            <w:shd w:val="clear" w:color="auto" w:fill="auto"/>
            <w:noWrap/>
            <w:vAlign w:val="bottom"/>
            <w:hideMark/>
          </w:tcPr>
          <w:p w14:paraId="43999321" w14:textId="77777777" w:rsidR="001A24C3" w:rsidRPr="00BF17CC" w:rsidRDefault="001A24C3" w:rsidP="00300963">
            <w:pPr>
              <w:rPr>
                <w:rFonts w:ascii="Times New Roman" w:eastAsia="Times New Roman" w:hAnsi="Times New Roman" w:cs="Times New Roman"/>
                <w:sz w:val="12"/>
                <w:szCs w:val="12"/>
                <w:lang w:eastAsia="sk-SK"/>
              </w:rPr>
            </w:pPr>
          </w:p>
        </w:tc>
      </w:tr>
      <w:tr w:rsidR="001A24C3" w:rsidRPr="00BF17CC" w14:paraId="112EAB41" w14:textId="77777777" w:rsidTr="00300963">
        <w:trPr>
          <w:trHeight w:val="204"/>
        </w:trPr>
        <w:tc>
          <w:tcPr>
            <w:tcW w:w="3265"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06A18A" w14:textId="77777777" w:rsidR="001A24C3" w:rsidRPr="00BF17CC" w:rsidRDefault="001A24C3" w:rsidP="00300963">
            <w:pPr>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Oprávnené investičné výdavky</w:t>
            </w:r>
          </w:p>
        </w:tc>
        <w:tc>
          <w:tcPr>
            <w:tcW w:w="983" w:type="dxa"/>
            <w:tcBorders>
              <w:top w:val="single" w:sz="4" w:space="0" w:color="auto"/>
              <w:left w:val="nil"/>
              <w:bottom w:val="single" w:sz="4" w:space="0" w:color="auto"/>
              <w:right w:val="single" w:sz="4" w:space="0" w:color="auto"/>
            </w:tcBorders>
            <w:shd w:val="clear" w:color="auto" w:fill="auto"/>
            <w:noWrap/>
            <w:vAlign w:val="bottom"/>
            <w:hideMark/>
          </w:tcPr>
          <w:p w14:paraId="7D6FE918"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469 976 800,99</w:t>
            </w:r>
          </w:p>
        </w:tc>
        <w:tc>
          <w:tcPr>
            <w:tcW w:w="992" w:type="dxa"/>
            <w:tcBorders>
              <w:top w:val="single" w:sz="4" w:space="0" w:color="auto"/>
              <w:left w:val="nil"/>
              <w:bottom w:val="single" w:sz="4" w:space="0" w:color="auto"/>
              <w:right w:val="single" w:sz="4" w:space="0" w:color="auto"/>
            </w:tcBorders>
            <w:shd w:val="clear" w:color="000000" w:fill="99CCFF"/>
            <w:noWrap/>
            <w:vAlign w:val="bottom"/>
            <w:hideMark/>
          </w:tcPr>
          <w:p w14:paraId="494E463D"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136 431 617,80</w:t>
            </w:r>
          </w:p>
        </w:tc>
        <w:tc>
          <w:tcPr>
            <w:tcW w:w="992" w:type="dxa"/>
            <w:tcBorders>
              <w:top w:val="single" w:sz="4" w:space="0" w:color="auto"/>
              <w:left w:val="nil"/>
              <w:bottom w:val="single" w:sz="4" w:space="0" w:color="auto"/>
              <w:right w:val="single" w:sz="4" w:space="0" w:color="auto"/>
            </w:tcBorders>
            <w:shd w:val="clear" w:color="000000" w:fill="99CCFF"/>
            <w:noWrap/>
            <w:vAlign w:val="bottom"/>
            <w:hideMark/>
          </w:tcPr>
          <w:p w14:paraId="5AE96A33"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129 682 413,43</w:t>
            </w:r>
          </w:p>
        </w:tc>
        <w:tc>
          <w:tcPr>
            <w:tcW w:w="993" w:type="dxa"/>
            <w:tcBorders>
              <w:top w:val="single" w:sz="4" w:space="0" w:color="auto"/>
              <w:left w:val="nil"/>
              <w:bottom w:val="single" w:sz="4" w:space="0" w:color="auto"/>
              <w:right w:val="single" w:sz="4" w:space="0" w:color="auto"/>
            </w:tcBorders>
            <w:shd w:val="clear" w:color="000000" w:fill="99CCFF"/>
            <w:noWrap/>
            <w:vAlign w:val="bottom"/>
            <w:hideMark/>
          </w:tcPr>
          <w:p w14:paraId="479C10C7"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114 746 200,58</w:t>
            </w:r>
          </w:p>
        </w:tc>
        <w:tc>
          <w:tcPr>
            <w:tcW w:w="992" w:type="dxa"/>
            <w:tcBorders>
              <w:top w:val="single" w:sz="4" w:space="0" w:color="auto"/>
              <w:left w:val="nil"/>
              <w:bottom w:val="single" w:sz="4" w:space="0" w:color="auto"/>
              <w:right w:val="single" w:sz="4" w:space="0" w:color="auto"/>
            </w:tcBorders>
            <w:shd w:val="clear" w:color="000000" w:fill="99CCFF"/>
            <w:noWrap/>
            <w:vAlign w:val="bottom"/>
            <w:hideMark/>
          </w:tcPr>
          <w:p w14:paraId="493C6B7F"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89 116 569,18</w:t>
            </w:r>
          </w:p>
        </w:tc>
        <w:tc>
          <w:tcPr>
            <w:tcW w:w="425" w:type="dxa"/>
            <w:tcBorders>
              <w:top w:val="single" w:sz="4" w:space="0" w:color="auto"/>
              <w:left w:val="nil"/>
              <w:bottom w:val="single" w:sz="4" w:space="0" w:color="auto"/>
              <w:right w:val="single" w:sz="4" w:space="0" w:color="auto"/>
            </w:tcBorders>
            <w:shd w:val="clear" w:color="000000" w:fill="99CCFF"/>
            <w:noWrap/>
            <w:vAlign w:val="bottom"/>
            <w:hideMark/>
          </w:tcPr>
          <w:p w14:paraId="2DF4D2BC"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0,00</w:t>
            </w:r>
          </w:p>
        </w:tc>
        <w:tc>
          <w:tcPr>
            <w:tcW w:w="567" w:type="dxa"/>
            <w:tcBorders>
              <w:top w:val="single" w:sz="4" w:space="0" w:color="auto"/>
              <w:left w:val="nil"/>
              <w:bottom w:val="single" w:sz="4" w:space="0" w:color="auto"/>
              <w:right w:val="single" w:sz="4" w:space="0" w:color="auto"/>
            </w:tcBorders>
            <w:shd w:val="clear" w:color="000000" w:fill="99CCFF"/>
            <w:noWrap/>
            <w:vAlign w:val="bottom"/>
            <w:hideMark/>
          </w:tcPr>
          <w:p w14:paraId="244549D8"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0,00</w:t>
            </w:r>
          </w:p>
        </w:tc>
      </w:tr>
      <w:tr w:rsidR="001A24C3" w:rsidRPr="00BF17CC" w14:paraId="485D7DE1"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466C908A" w14:textId="77777777" w:rsidR="001A24C3" w:rsidRPr="00BF17CC" w:rsidRDefault="001A24C3" w:rsidP="00300963">
            <w:pPr>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Oprávnené investičné výdavky bez DPH, rezervy a valorizácie</w:t>
            </w:r>
          </w:p>
        </w:tc>
        <w:tc>
          <w:tcPr>
            <w:tcW w:w="983" w:type="dxa"/>
            <w:tcBorders>
              <w:top w:val="nil"/>
              <w:left w:val="nil"/>
              <w:bottom w:val="single" w:sz="4" w:space="0" w:color="auto"/>
              <w:right w:val="single" w:sz="4" w:space="0" w:color="auto"/>
            </w:tcBorders>
            <w:shd w:val="clear" w:color="auto" w:fill="auto"/>
            <w:noWrap/>
            <w:vAlign w:val="bottom"/>
            <w:hideMark/>
          </w:tcPr>
          <w:p w14:paraId="4DF1D340"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419 000 662,41</w:t>
            </w:r>
          </w:p>
        </w:tc>
        <w:tc>
          <w:tcPr>
            <w:tcW w:w="992" w:type="dxa"/>
            <w:tcBorders>
              <w:top w:val="nil"/>
              <w:left w:val="nil"/>
              <w:bottom w:val="single" w:sz="4" w:space="0" w:color="auto"/>
              <w:right w:val="single" w:sz="4" w:space="0" w:color="auto"/>
            </w:tcBorders>
            <w:shd w:val="clear" w:color="auto" w:fill="auto"/>
            <w:noWrap/>
            <w:vAlign w:val="bottom"/>
            <w:hideMark/>
          </w:tcPr>
          <w:p w14:paraId="51422547"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121 985 668,00</w:t>
            </w:r>
          </w:p>
        </w:tc>
        <w:tc>
          <w:tcPr>
            <w:tcW w:w="992" w:type="dxa"/>
            <w:tcBorders>
              <w:top w:val="nil"/>
              <w:left w:val="nil"/>
              <w:bottom w:val="single" w:sz="4" w:space="0" w:color="auto"/>
              <w:right w:val="single" w:sz="4" w:space="0" w:color="auto"/>
            </w:tcBorders>
            <w:shd w:val="clear" w:color="auto" w:fill="auto"/>
            <w:noWrap/>
            <w:vAlign w:val="bottom"/>
            <w:hideMark/>
          </w:tcPr>
          <w:p w14:paraId="719CE543"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115 479 470,97</w:t>
            </w:r>
          </w:p>
        </w:tc>
        <w:tc>
          <w:tcPr>
            <w:tcW w:w="993" w:type="dxa"/>
            <w:tcBorders>
              <w:top w:val="nil"/>
              <w:left w:val="nil"/>
              <w:bottom w:val="single" w:sz="4" w:space="0" w:color="auto"/>
              <w:right w:val="single" w:sz="4" w:space="0" w:color="auto"/>
            </w:tcBorders>
            <w:shd w:val="clear" w:color="auto" w:fill="auto"/>
            <w:noWrap/>
            <w:vAlign w:val="bottom"/>
            <w:hideMark/>
          </w:tcPr>
          <w:p w14:paraId="2B143EB1"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102 179 086,50</w:t>
            </w:r>
          </w:p>
        </w:tc>
        <w:tc>
          <w:tcPr>
            <w:tcW w:w="992" w:type="dxa"/>
            <w:tcBorders>
              <w:top w:val="nil"/>
              <w:left w:val="nil"/>
              <w:bottom w:val="single" w:sz="4" w:space="0" w:color="auto"/>
              <w:right w:val="single" w:sz="4" w:space="0" w:color="auto"/>
            </w:tcBorders>
            <w:shd w:val="clear" w:color="auto" w:fill="auto"/>
            <w:noWrap/>
            <w:vAlign w:val="bottom"/>
            <w:hideMark/>
          </w:tcPr>
          <w:p w14:paraId="42B5CFD0"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79 356 436,94</w:t>
            </w:r>
          </w:p>
        </w:tc>
        <w:tc>
          <w:tcPr>
            <w:tcW w:w="425" w:type="dxa"/>
            <w:tcBorders>
              <w:top w:val="nil"/>
              <w:left w:val="nil"/>
              <w:bottom w:val="single" w:sz="4" w:space="0" w:color="auto"/>
              <w:right w:val="single" w:sz="4" w:space="0" w:color="auto"/>
            </w:tcBorders>
            <w:shd w:val="clear" w:color="auto" w:fill="auto"/>
            <w:noWrap/>
            <w:vAlign w:val="bottom"/>
            <w:hideMark/>
          </w:tcPr>
          <w:p w14:paraId="53F22B4A"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0,00</w:t>
            </w:r>
          </w:p>
        </w:tc>
        <w:tc>
          <w:tcPr>
            <w:tcW w:w="567" w:type="dxa"/>
            <w:tcBorders>
              <w:top w:val="nil"/>
              <w:left w:val="nil"/>
              <w:bottom w:val="single" w:sz="4" w:space="0" w:color="auto"/>
              <w:right w:val="single" w:sz="4" w:space="0" w:color="auto"/>
            </w:tcBorders>
            <w:shd w:val="clear" w:color="auto" w:fill="auto"/>
            <w:noWrap/>
            <w:vAlign w:val="bottom"/>
            <w:hideMark/>
          </w:tcPr>
          <w:p w14:paraId="0C738FBA"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0,00</w:t>
            </w:r>
          </w:p>
        </w:tc>
      </w:tr>
      <w:tr w:rsidR="001A24C3" w:rsidRPr="00BF17CC" w14:paraId="0D57D2DD" w14:textId="77777777" w:rsidTr="00300963">
        <w:trPr>
          <w:trHeight w:val="204"/>
        </w:trPr>
        <w:tc>
          <w:tcPr>
            <w:tcW w:w="3265" w:type="dxa"/>
            <w:tcBorders>
              <w:top w:val="nil"/>
              <w:left w:val="single" w:sz="4" w:space="0" w:color="auto"/>
              <w:bottom w:val="single" w:sz="4" w:space="0" w:color="auto"/>
              <w:right w:val="single" w:sz="4" w:space="0" w:color="auto"/>
            </w:tcBorders>
            <w:shd w:val="clear" w:color="auto" w:fill="auto"/>
            <w:noWrap/>
            <w:vAlign w:val="bottom"/>
            <w:hideMark/>
          </w:tcPr>
          <w:p w14:paraId="45B2FA21" w14:textId="77777777" w:rsidR="001A24C3" w:rsidRPr="00BF17CC" w:rsidRDefault="001A24C3" w:rsidP="00300963">
            <w:pPr>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Neoprávnené investičné výdavky</w:t>
            </w:r>
          </w:p>
        </w:tc>
        <w:tc>
          <w:tcPr>
            <w:tcW w:w="983" w:type="dxa"/>
            <w:tcBorders>
              <w:top w:val="nil"/>
              <w:left w:val="nil"/>
              <w:bottom w:val="single" w:sz="4" w:space="0" w:color="auto"/>
              <w:right w:val="single" w:sz="4" w:space="0" w:color="auto"/>
            </w:tcBorders>
            <w:shd w:val="clear" w:color="auto" w:fill="auto"/>
            <w:noWrap/>
            <w:vAlign w:val="bottom"/>
            <w:hideMark/>
          </w:tcPr>
          <w:p w14:paraId="7E329236"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104 498 152,78</w:t>
            </w:r>
          </w:p>
        </w:tc>
        <w:tc>
          <w:tcPr>
            <w:tcW w:w="992" w:type="dxa"/>
            <w:tcBorders>
              <w:top w:val="nil"/>
              <w:left w:val="nil"/>
              <w:bottom w:val="single" w:sz="4" w:space="0" w:color="auto"/>
              <w:right w:val="single" w:sz="4" w:space="0" w:color="auto"/>
            </w:tcBorders>
            <w:shd w:val="clear" w:color="auto" w:fill="auto"/>
            <w:noWrap/>
            <w:vAlign w:val="bottom"/>
            <w:hideMark/>
          </w:tcPr>
          <w:p w14:paraId="752013BB"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36 006 784,76</w:t>
            </w:r>
          </w:p>
        </w:tc>
        <w:tc>
          <w:tcPr>
            <w:tcW w:w="992" w:type="dxa"/>
            <w:tcBorders>
              <w:top w:val="nil"/>
              <w:left w:val="nil"/>
              <w:bottom w:val="single" w:sz="4" w:space="0" w:color="auto"/>
              <w:right w:val="single" w:sz="4" w:space="0" w:color="auto"/>
            </w:tcBorders>
            <w:shd w:val="clear" w:color="auto" w:fill="auto"/>
            <w:noWrap/>
            <w:vAlign w:val="bottom"/>
            <w:hideMark/>
          </w:tcPr>
          <w:p w14:paraId="6AA1DF59"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25 936 482,69</w:t>
            </w:r>
          </w:p>
        </w:tc>
        <w:tc>
          <w:tcPr>
            <w:tcW w:w="993" w:type="dxa"/>
            <w:tcBorders>
              <w:top w:val="nil"/>
              <w:left w:val="nil"/>
              <w:bottom w:val="single" w:sz="4" w:space="0" w:color="auto"/>
              <w:right w:val="single" w:sz="4" w:space="0" w:color="auto"/>
            </w:tcBorders>
            <w:shd w:val="clear" w:color="auto" w:fill="auto"/>
            <w:noWrap/>
            <w:vAlign w:val="bottom"/>
            <w:hideMark/>
          </w:tcPr>
          <w:p w14:paraId="5F024142"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22 949 240,12</w:t>
            </w:r>
          </w:p>
        </w:tc>
        <w:tc>
          <w:tcPr>
            <w:tcW w:w="992" w:type="dxa"/>
            <w:tcBorders>
              <w:top w:val="nil"/>
              <w:left w:val="nil"/>
              <w:bottom w:val="single" w:sz="4" w:space="0" w:color="auto"/>
              <w:right w:val="single" w:sz="4" w:space="0" w:color="auto"/>
            </w:tcBorders>
            <w:shd w:val="clear" w:color="auto" w:fill="auto"/>
            <w:noWrap/>
            <w:vAlign w:val="bottom"/>
            <w:hideMark/>
          </w:tcPr>
          <w:p w14:paraId="748E5857"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19 605 645,22</w:t>
            </w:r>
          </w:p>
        </w:tc>
        <w:tc>
          <w:tcPr>
            <w:tcW w:w="425" w:type="dxa"/>
            <w:tcBorders>
              <w:top w:val="nil"/>
              <w:left w:val="nil"/>
              <w:bottom w:val="single" w:sz="4" w:space="0" w:color="auto"/>
              <w:right w:val="single" w:sz="4" w:space="0" w:color="auto"/>
            </w:tcBorders>
            <w:shd w:val="clear" w:color="auto" w:fill="auto"/>
            <w:noWrap/>
            <w:vAlign w:val="bottom"/>
            <w:hideMark/>
          </w:tcPr>
          <w:p w14:paraId="13DFF9DE"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0,00</w:t>
            </w:r>
          </w:p>
        </w:tc>
        <w:tc>
          <w:tcPr>
            <w:tcW w:w="567" w:type="dxa"/>
            <w:tcBorders>
              <w:top w:val="nil"/>
              <w:left w:val="nil"/>
              <w:bottom w:val="single" w:sz="4" w:space="0" w:color="auto"/>
              <w:right w:val="single" w:sz="4" w:space="0" w:color="auto"/>
            </w:tcBorders>
            <w:shd w:val="clear" w:color="auto" w:fill="auto"/>
            <w:noWrap/>
            <w:vAlign w:val="bottom"/>
            <w:hideMark/>
          </w:tcPr>
          <w:p w14:paraId="128181A8" w14:textId="77777777" w:rsidR="001A24C3" w:rsidRPr="00BF17CC" w:rsidRDefault="001A24C3" w:rsidP="00300963">
            <w:pPr>
              <w:jc w:val="right"/>
              <w:rPr>
                <w:rFonts w:ascii="Arial" w:eastAsia="Times New Roman" w:hAnsi="Arial" w:cs="Arial"/>
                <w:color w:val="1F497D"/>
                <w:sz w:val="12"/>
                <w:szCs w:val="12"/>
                <w:lang w:eastAsia="sk-SK"/>
              </w:rPr>
            </w:pPr>
            <w:r w:rsidRPr="00BF17CC">
              <w:rPr>
                <w:rFonts w:ascii="Arial" w:eastAsia="Times New Roman" w:hAnsi="Arial" w:cs="Arial"/>
                <w:color w:val="1F497D"/>
                <w:sz w:val="12"/>
                <w:szCs w:val="12"/>
                <w:lang w:eastAsia="sk-SK"/>
              </w:rPr>
              <w:t>0,00</w:t>
            </w:r>
          </w:p>
        </w:tc>
      </w:tr>
    </w:tbl>
    <w:p w14:paraId="7D41310A" w14:textId="245388D0" w:rsidR="001A24C3" w:rsidRDefault="001A24C3" w:rsidP="001A24C3"/>
    <w:p w14:paraId="33B46922" w14:textId="77777777" w:rsidR="00FE7FAB" w:rsidRPr="007C6BD1" w:rsidRDefault="00FE7FAB" w:rsidP="001A24C3"/>
    <w:p w14:paraId="490334C8" w14:textId="3775E439" w:rsidR="001A24C3" w:rsidRDefault="001A24C3" w:rsidP="00D83A6C">
      <w:pPr>
        <w:pStyle w:val="Popis"/>
        <w:keepNext/>
        <w:spacing w:before="240"/>
        <w:jc w:val="both"/>
      </w:pPr>
      <w:bookmarkStart w:id="268" w:name="_Toc83677907"/>
      <w:r>
        <w:t xml:space="preserve">Tabuľka </w:t>
      </w:r>
      <w:r w:rsidR="00DA0B84">
        <w:t>36</w:t>
      </w:r>
      <w:r>
        <w:tab/>
      </w:r>
      <w:r w:rsidRPr="003E01F6">
        <w:t>Prevádzkové náklady bez projektu</w:t>
      </w:r>
      <w:bookmarkEnd w:id="268"/>
    </w:p>
    <w:tbl>
      <w:tblPr>
        <w:tblW w:w="5900" w:type="dxa"/>
        <w:tblCellMar>
          <w:left w:w="70" w:type="dxa"/>
          <w:right w:w="70" w:type="dxa"/>
        </w:tblCellMar>
        <w:tblLook w:val="04A0" w:firstRow="1" w:lastRow="0" w:firstColumn="1" w:lastColumn="0" w:noHBand="0" w:noVBand="1"/>
      </w:tblPr>
      <w:tblGrid>
        <w:gridCol w:w="4060"/>
        <w:gridCol w:w="1840"/>
      </w:tblGrid>
      <w:tr w:rsidR="001A24C3" w:rsidRPr="00BF17CC" w14:paraId="6D832E78" w14:textId="77777777" w:rsidTr="00300963">
        <w:trPr>
          <w:trHeight w:val="204"/>
        </w:trPr>
        <w:tc>
          <w:tcPr>
            <w:tcW w:w="4060" w:type="dxa"/>
            <w:tcBorders>
              <w:top w:val="nil"/>
              <w:left w:val="nil"/>
              <w:bottom w:val="nil"/>
              <w:right w:val="nil"/>
            </w:tcBorders>
            <w:shd w:val="clear" w:color="auto" w:fill="auto"/>
            <w:noWrap/>
            <w:vAlign w:val="bottom"/>
            <w:hideMark/>
          </w:tcPr>
          <w:p w14:paraId="1B0CC914" w14:textId="77777777" w:rsidR="001A24C3" w:rsidRPr="00BF17CC" w:rsidRDefault="001A24C3" w:rsidP="00300963">
            <w:pPr>
              <w:rPr>
                <w:rFonts w:ascii="Times New Roman" w:eastAsia="Times New Roman" w:hAnsi="Times New Roman" w:cs="Times New Roman"/>
                <w:szCs w:val="24"/>
                <w:lang w:eastAsia="sk-SK"/>
              </w:rPr>
            </w:pPr>
          </w:p>
        </w:tc>
        <w:tc>
          <w:tcPr>
            <w:tcW w:w="1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48AD7BC"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 </w:t>
            </w:r>
          </w:p>
        </w:tc>
      </w:tr>
      <w:tr w:rsidR="001A24C3" w:rsidRPr="00BF17CC" w14:paraId="2A88FD61"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C9AB65E"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3.1 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365308E5"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 </w:t>
            </w:r>
          </w:p>
        </w:tc>
      </w:tr>
      <w:tr w:rsidR="001A24C3" w:rsidRPr="00BF17CC" w14:paraId="182A5029"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D9D9D9"/>
            <w:noWrap/>
            <w:vAlign w:val="bottom"/>
            <w:hideMark/>
          </w:tcPr>
          <w:p w14:paraId="646D30F4"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BEZ PROJEKTU</w:t>
            </w:r>
          </w:p>
        </w:tc>
        <w:tc>
          <w:tcPr>
            <w:tcW w:w="1840" w:type="dxa"/>
            <w:tcBorders>
              <w:top w:val="nil"/>
              <w:left w:val="nil"/>
              <w:bottom w:val="single" w:sz="4" w:space="0" w:color="auto"/>
              <w:right w:val="single" w:sz="4" w:space="0" w:color="auto"/>
            </w:tcBorders>
            <w:shd w:val="clear" w:color="000000" w:fill="D9D9D9"/>
            <w:noWrap/>
            <w:vAlign w:val="bottom"/>
            <w:hideMark/>
          </w:tcPr>
          <w:p w14:paraId="4BFBDBC1"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Celkom</w:t>
            </w:r>
          </w:p>
        </w:tc>
      </w:tr>
      <w:tr w:rsidR="001A24C3" w:rsidRPr="00BF17CC" w14:paraId="03677765"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A51EE97"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243AEB74"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104 370 119,10</w:t>
            </w:r>
          </w:p>
        </w:tc>
      </w:tr>
      <w:tr w:rsidR="001A24C3" w:rsidRPr="00BF17CC" w14:paraId="3A8F8A30"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35BFE49"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Výmeny</w:t>
            </w:r>
          </w:p>
        </w:tc>
        <w:tc>
          <w:tcPr>
            <w:tcW w:w="1840" w:type="dxa"/>
            <w:tcBorders>
              <w:top w:val="nil"/>
              <w:left w:val="nil"/>
              <w:bottom w:val="single" w:sz="4" w:space="0" w:color="auto"/>
              <w:right w:val="single" w:sz="4" w:space="0" w:color="auto"/>
            </w:tcBorders>
            <w:shd w:val="clear" w:color="auto" w:fill="auto"/>
            <w:noWrap/>
            <w:vAlign w:val="bottom"/>
            <w:hideMark/>
          </w:tcPr>
          <w:p w14:paraId="6B3710E1"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91 236 411,74</w:t>
            </w:r>
          </w:p>
        </w:tc>
      </w:tr>
      <w:tr w:rsidR="001A24C3" w:rsidRPr="00BF17CC" w14:paraId="4609FB48"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FB5366B"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 na údržbu</w:t>
            </w:r>
          </w:p>
        </w:tc>
        <w:tc>
          <w:tcPr>
            <w:tcW w:w="1840" w:type="dxa"/>
            <w:tcBorders>
              <w:top w:val="nil"/>
              <w:left w:val="nil"/>
              <w:bottom w:val="single" w:sz="4" w:space="0" w:color="auto"/>
              <w:right w:val="single" w:sz="4" w:space="0" w:color="auto"/>
            </w:tcBorders>
            <w:shd w:val="clear" w:color="auto" w:fill="auto"/>
            <w:noWrap/>
            <w:vAlign w:val="bottom"/>
            <w:hideMark/>
          </w:tcPr>
          <w:p w14:paraId="55F57EB0"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195 606 530,84</w:t>
            </w:r>
          </w:p>
        </w:tc>
      </w:tr>
      <w:tr w:rsidR="001A24C3" w:rsidRPr="00BF17CC" w14:paraId="6354E652"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7F9CEBA"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Iné špecifické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157C79AF"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0,00</w:t>
            </w:r>
          </w:p>
        </w:tc>
      </w:tr>
      <w:tr w:rsidR="001A24C3" w:rsidRPr="00BF17CC" w14:paraId="4024A969"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4B14B706"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iné špecifické prevádzkové výdavky</w:t>
            </w:r>
          </w:p>
        </w:tc>
        <w:tc>
          <w:tcPr>
            <w:tcW w:w="1840" w:type="dxa"/>
            <w:tcBorders>
              <w:top w:val="nil"/>
              <w:left w:val="nil"/>
              <w:bottom w:val="double" w:sz="6" w:space="0" w:color="auto"/>
              <w:right w:val="single" w:sz="4" w:space="0" w:color="auto"/>
            </w:tcBorders>
            <w:shd w:val="clear" w:color="auto" w:fill="auto"/>
            <w:noWrap/>
            <w:vAlign w:val="bottom"/>
            <w:hideMark/>
          </w:tcPr>
          <w:p w14:paraId="74BE35D9"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0,00</w:t>
            </w:r>
          </w:p>
        </w:tc>
      </w:tr>
      <w:tr w:rsidR="001A24C3" w:rsidRPr="00BF17CC" w14:paraId="796DDE35"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9840A6B"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39908C94"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195 606 530,84</w:t>
            </w:r>
          </w:p>
        </w:tc>
      </w:tr>
    </w:tbl>
    <w:p w14:paraId="0371B5E0" w14:textId="77777777" w:rsidR="001A24C3" w:rsidRPr="007C6BD1" w:rsidRDefault="001A24C3" w:rsidP="001A24C3"/>
    <w:p w14:paraId="3C5AFB5D" w14:textId="52F35955" w:rsidR="001A24C3" w:rsidRDefault="001A24C3" w:rsidP="00D83A6C">
      <w:pPr>
        <w:pStyle w:val="Popis"/>
        <w:keepNext/>
        <w:spacing w:before="240"/>
        <w:jc w:val="both"/>
      </w:pPr>
      <w:bookmarkStart w:id="269" w:name="_Toc83677908"/>
      <w:r>
        <w:t xml:space="preserve">Tabuľka </w:t>
      </w:r>
      <w:r w:rsidR="00DA0B84">
        <w:rPr>
          <w:noProof/>
        </w:rPr>
        <w:t>37</w:t>
      </w:r>
      <w:r>
        <w:tab/>
      </w:r>
      <w:r w:rsidRPr="003E01F6">
        <w:t>Prevádzkové náklady s</w:t>
      </w:r>
      <w:r>
        <w:t> </w:t>
      </w:r>
      <w:r w:rsidRPr="003E01F6">
        <w:t>projekt</w:t>
      </w:r>
      <w:r w:rsidRPr="00171B5B">
        <w:t>om</w:t>
      </w:r>
      <w:bookmarkEnd w:id="269"/>
    </w:p>
    <w:tbl>
      <w:tblPr>
        <w:tblW w:w="5900" w:type="dxa"/>
        <w:tblCellMar>
          <w:left w:w="70" w:type="dxa"/>
          <w:right w:w="70" w:type="dxa"/>
        </w:tblCellMar>
        <w:tblLook w:val="04A0" w:firstRow="1" w:lastRow="0" w:firstColumn="1" w:lastColumn="0" w:noHBand="0" w:noVBand="1"/>
      </w:tblPr>
      <w:tblGrid>
        <w:gridCol w:w="4060"/>
        <w:gridCol w:w="1840"/>
      </w:tblGrid>
      <w:tr w:rsidR="001A24C3" w:rsidRPr="00BF17CC" w14:paraId="5D78CC78" w14:textId="77777777" w:rsidTr="00300963">
        <w:trPr>
          <w:trHeight w:val="204"/>
        </w:trPr>
        <w:tc>
          <w:tcPr>
            <w:tcW w:w="4060" w:type="dxa"/>
            <w:tcBorders>
              <w:top w:val="nil"/>
              <w:left w:val="nil"/>
              <w:bottom w:val="nil"/>
              <w:right w:val="nil"/>
            </w:tcBorders>
            <w:shd w:val="clear" w:color="auto" w:fill="auto"/>
            <w:noWrap/>
            <w:vAlign w:val="bottom"/>
            <w:hideMark/>
          </w:tcPr>
          <w:p w14:paraId="0969DFFA" w14:textId="77777777" w:rsidR="001A24C3" w:rsidRPr="00BF17CC" w:rsidRDefault="001A24C3" w:rsidP="00300963">
            <w:pPr>
              <w:rPr>
                <w:rFonts w:ascii="Times New Roman" w:eastAsia="Times New Roman" w:hAnsi="Times New Roman" w:cs="Times New Roman"/>
                <w:szCs w:val="24"/>
                <w:lang w:eastAsia="sk-SK"/>
              </w:rPr>
            </w:pPr>
          </w:p>
        </w:tc>
        <w:tc>
          <w:tcPr>
            <w:tcW w:w="18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DC22E58"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 </w:t>
            </w:r>
          </w:p>
        </w:tc>
      </w:tr>
      <w:tr w:rsidR="001A24C3" w:rsidRPr="00BF17CC" w14:paraId="7860A50F"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490403"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3.2 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522BE0EC"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 </w:t>
            </w:r>
          </w:p>
        </w:tc>
      </w:tr>
      <w:tr w:rsidR="001A24C3" w:rsidRPr="00BF17CC" w14:paraId="4A522DB6"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D9D9D9"/>
            <w:noWrap/>
            <w:vAlign w:val="bottom"/>
            <w:hideMark/>
          </w:tcPr>
          <w:p w14:paraId="2EA91CCC"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S PROJEKTOM</w:t>
            </w:r>
          </w:p>
        </w:tc>
        <w:tc>
          <w:tcPr>
            <w:tcW w:w="1840" w:type="dxa"/>
            <w:tcBorders>
              <w:top w:val="nil"/>
              <w:left w:val="nil"/>
              <w:bottom w:val="single" w:sz="4" w:space="0" w:color="auto"/>
              <w:right w:val="single" w:sz="4" w:space="0" w:color="auto"/>
            </w:tcBorders>
            <w:shd w:val="clear" w:color="000000" w:fill="D9D9D9"/>
            <w:noWrap/>
            <w:vAlign w:val="bottom"/>
            <w:hideMark/>
          </w:tcPr>
          <w:p w14:paraId="28C28AC3"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Celkom</w:t>
            </w:r>
          </w:p>
        </w:tc>
      </w:tr>
      <w:tr w:rsidR="001A24C3" w:rsidRPr="00BF17CC" w14:paraId="63A11024"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DB074E9"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0581E7AA"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104 370 119,10</w:t>
            </w:r>
          </w:p>
        </w:tc>
      </w:tr>
      <w:tr w:rsidR="001A24C3" w:rsidRPr="00BF17CC" w14:paraId="0883BEE0"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4F51570"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Výmeny</w:t>
            </w:r>
          </w:p>
        </w:tc>
        <w:tc>
          <w:tcPr>
            <w:tcW w:w="1840" w:type="dxa"/>
            <w:tcBorders>
              <w:top w:val="nil"/>
              <w:left w:val="nil"/>
              <w:bottom w:val="single" w:sz="4" w:space="0" w:color="auto"/>
              <w:right w:val="single" w:sz="4" w:space="0" w:color="auto"/>
            </w:tcBorders>
            <w:shd w:val="clear" w:color="auto" w:fill="auto"/>
            <w:noWrap/>
            <w:vAlign w:val="bottom"/>
            <w:hideMark/>
          </w:tcPr>
          <w:p w14:paraId="394433CB"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29 286 408,87</w:t>
            </w:r>
          </w:p>
        </w:tc>
      </w:tr>
      <w:tr w:rsidR="001A24C3" w:rsidRPr="00BF17CC" w14:paraId="44AA156C"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13E5FD5"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 na údržbu</w:t>
            </w:r>
          </w:p>
        </w:tc>
        <w:tc>
          <w:tcPr>
            <w:tcW w:w="1840" w:type="dxa"/>
            <w:tcBorders>
              <w:top w:val="nil"/>
              <w:left w:val="nil"/>
              <w:bottom w:val="single" w:sz="4" w:space="0" w:color="auto"/>
              <w:right w:val="single" w:sz="4" w:space="0" w:color="auto"/>
            </w:tcBorders>
            <w:shd w:val="clear" w:color="auto" w:fill="auto"/>
            <w:noWrap/>
            <w:vAlign w:val="bottom"/>
            <w:hideMark/>
          </w:tcPr>
          <w:p w14:paraId="10EF3AA9"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133 656 527,97</w:t>
            </w:r>
          </w:p>
        </w:tc>
      </w:tr>
      <w:tr w:rsidR="001A24C3" w:rsidRPr="00BF17CC" w14:paraId="6D0486A0"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C04BAA2" w14:textId="77777777" w:rsidR="001A24C3" w:rsidRPr="00BF17CC" w:rsidRDefault="001A24C3" w:rsidP="00300963">
            <w:pPr>
              <w:rPr>
                <w:rFonts w:ascii="Arial" w:eastAsia="Times New Roman" w:hAnsi="Arial" w:cs="Arial"/>
                <w:sz w:val="16"/>
                <w:szCs w:val="16"/>
                <w:lang w:eastAsia="sk-SK"/>
              </w:rPr>
            </w:pPr>
            <w:r w:rsidRPr="00BF17CC">
              <w:rPr>
                <w:rFonts w:ascii="Arial" w:eastAsia="Times New Roman" w:hAnsi="Arial" w:cs="Arial"/>
                <w:sz w:val="16"/>
                <w:szCs w:val="16"/>
                <w:lang w:eastAsia="sk-SK"/>
              </w:rPr>
              <w:t>Iné špecifické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6C78AFFE" w14:textId="77777777" w:rsidR="001A24C3" w:rsidRPr="00BF17CC" w:rsidRDefault="001A24C3" w:rsidP="00300963">
            <w:pPr>
              <w:jc w:val="right"/>
              <w:rPr>
                <w:rFonts w:ascii="Arial" w:eastAsia="Times New Roman" w:hAnsi="Arial" w:cs="Arial"/>
                <w:sz w:val="16"/>
                <w:szCs w:val="16"/>
                <w:lang w:eastAsia="sk-SK"/>
              </w:rPr>
            </w:pPr>
            <w:r w:rsidRPr="00BF17CC">
              <w:rPr>
                <w:rFonts w:ascii="Arial" w:eastAsia="Times New Roman" w:hAnsi="Arial" w:cs="Arial"/>
                <w:sz w:val="16"/>
                <w:szCs w:val="16"/>
                <w:lang w:eastAsia="sk-SK"/>
              </w:rPr>
              <w:t>0,00</w:t>
            </w:r>
          </w:p>
        </w:tc>
      </w:tr>
      <w:tr w:rsidR="001A24C3" w:rsidRPr="00BF17CC" w14:paraId="7354D291"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61ADA2EE"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iné špecifické prevádzkové výdavky</w:t>
            </w:r>
          </w:p>
        </w:tc>
        <w:tc>
          <w:tcPr>
            <w:tcW w:w="1840" w:type="dxa"/>
            <w:tcBorders>
              <w:top w:val="nil"/>
              <w:left w:val="nil"/>
              <w:bottom w:val="double" w:sz="6" w:space="0" w:color="auto"/>
              <w:right w:val="single" w:sz="4" w:space="0" w:color="auto"/>
            </w:tcBorders>
            <w:shd w:val="clear" w:color="auto" w:fill="auto"/>
            <w:noWrap/>
            <w:vAlign w:val="bottom"/>
            <w:hideMark/>
          </w:tcPr>
          <w:p w14:paraId="5D507993"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0,00</w:t>
            </w:r>
          </w:p>
        </w:tc>
      </w:tr>
      <w:tr w:rsidR="001A24C3" w:rsidRPr="00BF17CC" w14:paraId="39B760BF"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81F0089" w14:textId="77777777" w:rsidR="001A24C3" w:rsidRPr="00BF17CC" w:rsidRDefault="001A24C3" w:rsidP="00300963">
            <w:pPr>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Celkové 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786444FC" w14:textId="77777777" w:rsidR="001A24C3" w:rsidRPr="00BF17CC" w:rsidRDefault="001A24C3" w:rsidP="00300963">
            <w:pPr>
              <w:jc w:val="right"/>
              <w:rPr>
                <w:rFonts w:ascii="Arial" w:eastAsia="Times New Roman" w:hAnsi="Arial" w:cs="Arial"/>
                <w:b/>
                <w:bCs/>
                <w:sz w:val="16"/>
                <w:szCs w:val="16"/>
                <w:lang w:eastAsia="sk-SK"/>
              </w:rPr>
            </w:pPr>
            <w:r w:rsidRPr="00BF17CC">
              <w:rPr>
                <w:rFonts w:ascii="Arial" w:eastAsia="Times New Roman" w:hAnsi="Arial" w:cs="Arial"/>
                <w:b/>
                <w:bCs/>
                <w:sz w:val="16"/>
                <w:szCs w:val="16"/>
                <w:lang w:eastAsia="sk-SK"/>
              </w:rPr>
              <w:t>133 656 527,97</w:t>
            </w:r>
          </w:p>
        </w:tc>
      </w:tr>
    </w:tbl>
    <w:p w14:paraId="4B075A20" w14:textId="77777777" w:rsidR="001A24C3" w:rsidRPr="007C6BD1" w:rsidRDefault="001A24C3" w:rsidP="001A24C3"/>
    <w:p w14:paraId="74195630" w14:textId="7D42E93A" w:rsidR="001A24C3" w:rsidRDefault="001A24C3" w:rsidP="00D83A6C">
      <w:pPr>
        <w:pStyle w:val="Popis"/>
        <w:keepNext/>
        <w:spacing w:before="240"/>
        <w:jc w:val="both"/>
      </w:pPr>
      <w:bookmarkStart w:id="270" w:name="_Toc83677909"/>
      <w:r>
        <w:t>Tabuľka</w:t>
      </w:r>
      <w:r w:rsidR="00D83A6C">
        <w:rPr>
          <w:noProof/>
        </w:rPr>
        <w:t xml:space="preserve"> </w:t>
      </w:r>
      <w:r w:rsidR="00DA0B84">
        <w:rPr>
          <w:noProof/>
        </w:rPr>
        <w:t>38</w:t>
      </w:r>
      <w:r>
        <w:tab/>
      </w:r>
      <w:r w:rsidRPr="003E01F6">
        <w:t>Prevádzkové príjmy bez projektu</w:t>
      </w:r>
      <w:bookmarkEnd w:id="270"/>
    </w:p>
    <w:tbl>
      <w:tblPr>
        <w:tblW w:w="4320" w:type="dxa"/>
        <w:tblCellMar>
          <w:left w:w="70" w:type="dxa"/>
          <w:right w:w="70" w:type="dxa"/>
        </w:tblCellMar>
        <w:tblLook w:val="04A0" w:firstRow="1" w:lastRow="0" w:firstColumn="1" w:lastColumn="0" w:noHBand="0" w:noVBand="1"/>
      </w:tblPr>
      <w:tblGrid>
        <w:gridCol w:w="2980"/>
        <w:gridCol w:w="1340"/>
      </w:tblGrid>
      <w:tr w:rsidR="001A24C3" w:rsidRPr="004A2F26" w14:paraId="5A077559" w14:textId="77777777" w:rsidTr="00300963">
        <w:trPr>
          <w:trHeight w:val="204"/>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0C641B"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75690C3D"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 </w:t>
            </w:r>
          </w:p>
        </w:tc>
      </w:tr>
      <w:tr w:rsidR="001A24C3" w:rsidRPr="004A2F26" w14:paraId="387057C3"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B2DB477"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4.1 Príjmy</w:t>
            </w:r>
          </w:p>
        </w:tc>
        <w:tc>
          <w:tcPr>
            <w:tcW w:w="1340" w:type="dxa"/>
            <w:tcBorders>
              <w:top w:val="nil"/>
              <w:left w:val="nil"/>
              <w:bottom w:val="single" w:sz="4" w:space="0" w:color="auto"/>
              <w:right w:val="single" w:sz="4" w:space="0" w:color="auto"/>
            </w:tcBorders>
            <w:shd w:val="clear" w:color="auto" w:fill="auto"/>
            <w:noWrap/>
            <w:vAlign w:val="bottom"/>
            <w:hideMark/>
          </w:tcPr>
          <w:p w14:paraId="537130F7"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 </w:t>
            </w:r>
          </w:p>
        </w:tc>
      </w:tr>
      <w:tr w:rsidR="001A24C3" w:rsidRPr="004A2F26" w14:paraId="34D96B07" w14:textId="77777777" w:rsidTr="00300963">
        <w:trPr>
          <w:trHeight w:val="204"/>
        </w:trPr>
        <w:tc>
          <w:tcPr>
            <w:tcW w:w="2980" w:type="dxa"/>
            <w:tcBorders>
              <w:top w:val="nil"/>
              <w:left w:val="single" w:sz="4" w:space="0" w:color="auto"/>
              <w:bottom w:val="single" w:sz="4" w:space="0" w:color="auto"/>
              <w:right w:val="single" w:sz="4" w:space="0" w:color="auto"/>
            </w:tcBorders>
            <w:shd w:val="clear" w:color="000000" w:fill="D9D9D9"/>
            <w:noWrap/>
            <w:vAlign w:val="bottom"/>
            <w:hideMark/>
          </w:tcPr>
          <w:p w14:paraId="48E39A1F"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BEZ PROJEKTU</w:t>
            </w:r>
          </w:p>
        </w:tc>
        <w:tc>
          <w:tcPr>
            <w:tcW w:w="1340" w:type="dxa"/>
            <w:tcBorders>
              <w:top w:val="nil"/>
              <w:left w:val="nil"/>
              <w:bottom w:val="single" w:sz="4" w:space="0" w:color="auto"/>
              <w:right w:val="single" w:sz="4" w:space="0" w:color="auto"/>
            </w:tcBorders>
            <w:shd w:val="clear" w:color="000000" w:fill="D9D9D9"/>
            <w:noWrap/>
            <w:vAlign w:val="bottom"/>
            <w:hideMark/>
          </w:tcPr>
          <w:p w14:paraId="5E9C7FA3"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Celkom</w:t>
            </w:r>
          </w:p>
        </w:tc>
      </w:tr>
      <w:tr w:rsidR="001A24C3" w:rsidRPr="004A2F26" w14:paraId="75B15082"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13EBCB14"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Tržby za DC - osobná doprava</w:t>
            </w:r>
          </w:p>
        </w:tc>
        <w:tc>
          <w:tcPr>
            <w:tcW w:w="1340" w:type="dxa"/>
            <w:tcBorders>
              <w:top w:val="nil"/>
              <w:left w:val="nil"/>
              <w:bottom w:val="single" w:sz="4" w:space="0" w:color="auto"/>
              <w:right w:val="single" w:sz="4" w:space="0" w:color="auto"/>
            </w:tcBorders>
            <w:shd w:val="clear" w:color="auto" w:fill="auto"/>
            <w:noWrap/>
            <w:vAlign w:val="bottom"/>
            <w:hideMark/>
          </w:tcPr>
          <w:p w14:paraId="57DA8872" w14:textId="77777777" w:rsidR="001A24C3" w:rsidRPr="004A2F26" w:rsidRDefault="001A24C3" w:rsidP="00300963">
            <w:pPr>
              <w:jc w:val="right"/>
              <w:rPr>
                <w:rFonts w:ascii="Arial" w:eastAsia="Times New Roman" w:hAnsi="Arial" w:cs="Arial"/>
                <w:sz w:val="16"/>
                <w:szCs w:val="16"/>
                <w:lang w:eastAsia="sk-SK"/>
              </w:rPr>
            </w:pPr>
            <w:r w:rsidRPr="004A2F26">
              <w:rPr>
                <w:rFonts w:ascii="Arial" w:eastAsia="Times New Roman" w:hAnsi="Arial" w:cs="Arial"/>
                <w:sz w:val="16"/>
                <w:szCs w:val="16"/>
                <w:lang w:eastAsia="sk-SK"/>
              </w:rPr>
              <w:t>19 372 465,23</w:t>
            </w:r>
          </w:p>
        </w:tc>
      </w:tr>
      <w:tr w:rsidR="001A24C3" w:rsidRPr="004A2F26" w14:paraId="7C8D859E"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2E6A75ED"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Tržby za DC - nákladná doprava</w:t>
            </w:r>
          </w:p>
        </w:tc>
        <w:tc>
          <w:tcPr>
            <w:tcW w:w="1340" w:type="dxa"/>
            <w:tcBorders>
              <w:top w:val="nil"/>
              <w:left w:val="nil"/>
              <w:bottom w:val="single" w:sz="4" w:space="0" w:color="auto"/>
              <w:right w:val="single" w:sz="4" w:space="0" w:color="auto"/>
            </w:tcBorders>
            <w:shd w:val="clear" w:color="auto" w:fill="auto"/>
            <w:noWrap/>
            <w:vAlign w:val="bottom"/>
            <w:hideMark/>
          </w:tcPr>
          <w:p w14:paraId="453AD1C0" w14:textId="77777777" w:rsidR="001A24C3" w:rsidRPr="004A2F26" w:rsidRDefault="001A24C3" w:rsidP="00300963">
            <w:pPr>
              <w:jc w:val="right"/>
              <w:rPr>
                <w:rFonts w:ascii="Arial" w:eastAsia="Times New Roman" w:hAnsi="Arial" w:cs="Arial"/>
                <w:sz w:val="16"/>
                <w:szCs w:val="16"/>
                <w:lang w:eastAsia="sk-SK"/>
              </w:rPr>
            </w:pPr>
            <w:r w:rsidRPr="004A2F26">
              <w:rPr>
                <w:rFonts w:ascii="Arial" w:eastAsia="Times New Roman" w:hAnsi="Arial" w:cs="Arial"/>
                <w:sz w:val="16"/>
                <w:szCs w:val="16"/>
                <w:lang w:eastAsia="sk-SK"/>
              </w:rPr>
              <w:t>19 238 361,49</w:t>
            </w:r>
          </w:p>
        </w:tc>
      </w:tr>
      <w:tr w:rsidR="001A24C3" w:rsidRPr="004A2F26" w14:paraId="1C85AF91"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5C4BFA8E"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Celkové príjmy</w:t>
            </w:r>
          </w:p>
        </w:tc>
        <w:tc>
          <w:tcPr>
            <w:tcW w:w="1340" w:type="dxa"/>
            <w:tcBorders>
              <w:top w:val="nil"/>
              <w:left w:val="nil"/>
              <w:bottom w:val="single" w:sz="4" w:space="0" w:color="auto"/>
              <w:right w:val="single" w:sz="4" w:space="0" w:color="auto"/>
            </w:tcBorders>
            <w:shd w:val="clear" w:color="auto" w:fill="auto"/>
            <w:noWrap/>
            <w:vAlign w:val="bottom"/>
            <w:hideMark/>
          </w:tcPr>
          <w:p w14:paraId="69D7F2AC" w14:textId="77777777" w:rsidR="001A24C3" w:rsidRPr="004A2F26" w:rsidRDefault="001A24C3" w:rsidP="00300963">
            <w:pPr>
              <w:jc w:val="right"/>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38 610 826,71</w:t>
            </w:r>
          </w:p>
        </w:tc>
      </w:tr>
    </w:tbl>
    <w:p w14:paraId="4FAD038C" w14:textId="77777777" w:rsidR="001A24C3" w:rsidRPr="007C6BD1" w:rsidRDefault="001A24C3" w:rsidP="001A24C3"/>
    <w:p w14:paraId="3B6E02B4" w14:textId="15F431C1" w:rsidR="001A24C3" w:rsidRDefault="001A24C3" w:rsidP="00D83A6C">
      <w:pPr>
        <w:pStyle w:val="Popis"/>
        <w:keepNext/>
        <w:spacing w:before="240"/>
        <w:jc w:val="both"/>
      </w:pPr>
      <w:bookmarkStart w:id="271" w:name="_Toc83677910"/>
      <w:r>
        <w:t xml:space="preserve">Tabuľka </w:t>
      </w:r>
      <w:r w:rsidR="00DA0B84">
        <w:t>39</w:t>
      </w:r>
      <w:r>
        <w:tab/>
      </w:r>
      <w:r w:rsidRPr="003E01F6">
        <w:t>Prevádzkové príjmy s</w:t>
      </w:r>
      <w:r>
        <w:t> </w:t>
      </w:r>
      <w:r w:rsidRPr="003E01F6">
        <w:t>projektom</w:t>
      </w:r>
      <w:bookmarkEnd w:id="271"/>
    </w:p>
    <w:tbl>
      <w:tblPr>
        <w:tblW w:w="4320" w:type="dxa"/>
        <w:tblCellMar>
          <w:left w:w="70" w:type="dxa"/>
          <w:right w:w="70" w:type="dxa"/>
        </w:tblCellMar>
        <w:tblLook w:val="04A0" w:firstRow="1" w:lastRow="0" w:firstColumn="1" w:lastColumn="0" w:noHBand="0" w:noVBand="1"/>
      </w:tblPr>
      <w:tblGrid>
        <w:gridCol w:w="2980"/>
        <w:gridCol w:w="1340"/>
      </w:tblGrid>
      <w:tr w:rsidR="001A24C3" w:rsidRPr="004A2F26" w14:paraId="7C83DC58" w14:textId="77777777" w:rsidTr="00300963">
        <w:trPr>
          <w:trHeight w:val="204"/>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66A7C00"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 </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3E23BFDA"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 </w:t>
            </w:r>
          </w:p>
        </w:tc>
      </w:tr>
      <w:tr w:rsidR="001A24C3" w:rsidRPr="004A2F26" w14:paraId="7AF7ABE2"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9A9071D"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lastRenderedPageBreak/>
              <w:t>4.2 Príjmy</w:t>
            </w:r>
          </w:p>
        </w:tc>
        <w:tc>
          <w:tcPr>
            <w:tcW w:w="1340" w:type="dxa"/>
            <w:tcBorders>
              <w:top w:val="nil"/>
              <w:left w:val="nil"/>
              <w:bottom w:val="single" w:sz="4" w:space="0" w:color="auto"/>
              <w:right w:val="single" w:sz="4" w:space="0" w:color="auto"/>
            </w:tcBorders>
            <w:shd w:val="clear" w:color="auto" w:fill="auto"/>
            <w:noWrap/>
            <w:vAlign w:val="bottom"/>
            <w:hideMark/>
          </w:tcPr>
          <w:p w14:paraId="1482DA26"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 </w:t>
            </w:r>
          </w:p>
        </w:tc>
      </w:tr>
      <w:tr w:rsidR="001A24C3" w:rsidRPr="004A2F26" w14:paraId="468877A3" w14:textId="77777777" w:rsidTr="00300963">
        <w:trPr>
          <w:trHeight w:val="204"/>
        </w:trPr>
        <w:tc>
          <w:tcPr>
            <w:tcW w:w="2980" w:type="dxa"/>
            <w:tcBorders>
              <w:top w:val="nil"/>
              <w:left w:val="single" w:sz="4" w:space="0" w:color="auto"/>
              <w:bottom w:val="single" w:sz="4" w:space="0" w:color="auto"/>
              <w:right w:val="single" w:sz="4" w:space="0" w:color="auto"/>
            </w:tcBorders>
            <w:shd w:val="clear" w:color="000000" w:fill="D9D9D9"/>
            <w:noWrap/>
            <w:vAlign w:val="bottom"/>
            <w:hideMark/>
          </w:tcPr>
          <w:p w14:paraId="0A89F344"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S PROJEKTOM</w:t>
            </w:r>
          </w:p>
        </w:tc>
        <w:tc>
          <w:tcPr>
            <w:tcW w:w="1340" w:type="dxa"/>
            <w:tcBorders>
              <w:top w:val="nil"/>
              <w:left w:val="nil"/>
              <w:bottom w:val="single" w:sz="4" w:space="0" w:color="auto"/>
              <w:right w:val="single" w:sz="4" w:space="0" w:color="auto"/>
            </w:tcBorders>
            <w:shd w:val="clear" w:color="000000" w:fill="D9D9D9"/>
            <w:noWrap/>
            <w:vAlign w:val="bottom"/>
            <w:hideMark/>
          </w:tcPr>
          <w:p w14:paraId="69463C69"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Celkom</w:t>
            </w:r>
          </w:p>
        </w:tc>
      </w:tr>
      <w:tr w:rsidR="001A24C3" w:rsidRPr="004A2F26" w14:paraId="0F3E9046"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7C628CD7"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Tržby za DC - osobná doprava</w:t>
            </w:r>
          </w:p>
        </w:tc>
        <w:tc>
          <w:tcPr>
            <w:tcW w:w="1340" w:type="dxa"/>
            <w:tcBorders>
              <w:top w:val="nil"/>
              <w:left w:val="nil"/>
              <w:bottom w:val="single" w:sz="4" w:space="0" w:color="auto"/>
              <w:right w:val="single" w:sz="4" w:space="0" w:color="auto"/>
            </w:tcBorders>
            <w:shd w:val="clear" w:color="auto" w:fill="auto"/>
            <w:noWrap/>
            <w:vAlign w:val="bottom"/>
            <w:hideMark/>
          </w:tcPr>
          <w:p w14:paraId="6BC21222" w14:textId="77777777" w:rsidR="001A24C3" w:rsidRPr="004A2F26" w:rsidRDefault="001A24C3" w:rsidP="00300963">
            <w:pPr>
              <w:jc w:val="right"/>
              <w:rPr>
                <w:rFonts w:ascii="Arial" w:eastAsia="Times New Roman" w:hAnsi="Arial" w:cs="Arial"/>
                <w:sz w:val="16"/>
                <w:szCs w:val="16"/>
                <w:lang w:eastAsia="sk-SK"/>
              </w:rPr>
            </w:pPr>
            <w:r w:rsidRPr="004A2F26">
              <w:rPr>
                <w:rFonts w:ascii="Arial" w:eastAsia="Times New Roman" w:hAnsi="Arial" w:cs="Arial"/>
                <w:sz w:val="16"/>
                <w:szCs w:val="16"/>
                <w:lang w:eastAsia="sk-SK"/>
              </w:rPr>
              <w:t>26 504 916,17</w:t>
            </w:r>
          </w:p>
        </w:tc>
      </w:tr>
      <w:tr w:rsidR="001A24C3" w:rsidRPr="004A2F26" w14:paraId="7DF950F0"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E3192E3" w14:textId="77777777" w:rsidR="001A24C3" w:rsidRPr="004A2F26" w:rsidRDefault="001A24C3" w:rsidP="00300963">
            <w:pPr>
              <w:rPr>
                <w:rFonts w:ascii="Arial" w:eastAsia="Times New Roman" w:hAnsi="Arial" w:cs="Arial"/>
                <w:sz w:val="16"/>
                <w:szCs w:val="16"/>
                <w:lang w:eastAsia="sk-SK"/>
              </w:rPr>
            </w:pPr>
            <w:r w:rsidRPr="004A2F26">
              <w:rPr>
                <w:rFonts w:ascii="Arial" w:eastAsia="Times New Roman" w:hAnsi="Arial" w:cs="Arial"/>
                <w:sz w:val="16"/>
                <w:szCs w:val="16"/>
                <w:lang w:eastAsia="sk-SK"/>
              </w:rPr>
              <w:t>Tržby za DC - nákladná doprava</w:t>
            </w:r>
          </w:p>
        </w:tc>
        <w:tc>
          <w:tcPr>
            <w:tcW w:w="1340" w:type="dxa"/>
            <w:tcBorders>
              <w:top w:val="nil"/>
              <w:left w:val="nil"/>
              <w:bottom w:val="single" w:sz="4" w:space="0" w:color="auto"/>
              <w:right w:val="single" w:sz="4" w:space="0" w:color="auto"/>
            </w:tcBorders>
            <w:shd w:val="clear" w:color="auto" w:fill="auto"/>
            <w:noWrap/>
            <w:vAlign w:val="bottom"/>
            <w:hideMark/>
          </w:tcPr>
          <w:p w14:paraId="7EDCF6E9" w14:textId="77777777" w:rsidR="001A24C3" w:rsidRPr="004A2F26" w:rsidRDefault="001A24C3" w:rsidP="00300963">
            <w:pPr>
              <w:jc w:val="right"/>
              <w:rPr>
                <w:rFonts w:ascii="Arial" w:eastAsia="Times New Roman" w:hAnsi="Arial" w:cs="Arial"/>
                <w:sz w:val="16"/>
                <w:szCs w:val="16"/>
                <w:lang w:eastAsia="sk-SK"/>
              </w:rPr>
            </w:pPr>
            <w:r w:rsidRPr="004A2F26">
              <w:rPr>
                <w:rFonts w:ascii="Arial" w:eastAsia="Times New Roman" w:hAnsi="Arial" w:cs="Arial"/>
                <w:sz w:val="16"/>
                <w:szCs w:val="16"/>
                <w:lang w:eastAsia="sk-SK"/>
              </w:rPr>
              <w:t>19 990 220,44</w:t>
            </w:r>
          </w:p>
        </w:tc>
      </w:tr>
      <w:tr w:rsidR="001A24C3" w:rsidRPr="004A2F26" w14:paraId="164B4F80"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60A2F09C" w14:textId="77777777" w:rsidR="001A24C3" w:rsidRPr="004A2F26" w:rsidRDefault="001A24C3" w:rsidP="00300963">
            <w:pPr>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Celkové príjmy</w:t>
            </w:r>
          </w:p>
        </w:tc>
        <w:tc>
          <w:tcPr>
            <w:tcW w:w="1340" w:type="dxa"/>
            <w:tcBorders>
              <w:top w:val="nil"/>
              <w:left w:val="nil"/>
              <w:bottom w:val="single" w:sz="4" w:space="0" w:color="auto"/>
              <w:right w:val="single" w:sz="4" w:space="0" w:color="auto"/>
            </w:tcBorders>
            <w:shd w:val="clear" w:color="auto" w:fill="auto"/>
            <w:noWrap/>
            <w:vAlign w:val="bottom"/>
            <w:hideMark/>
          </w:tcPr>
          <w:p w14:paraId="65F58063" w14:textId="77777777" w:rsidR="001A24C3" w:rsidRPr="004A2F26" w:rsidRDefault="001A24C3" w:rsidP="00300963">
            <w:pPr>
              <w:jc w:val="right"/>
              <w:rPr>
                <w:rFonts w:ascii="Arial" w:eastAsia="Times New Roman" w:hAnsi="Arial" w:cs="Arial"/>
                <w:b/>
                <w:bCs/>
                <w:sz w:val="16"/>
                <w:szCs w:val="16"/>
                <w:lang w:eastAsia="sk-SK"/>
              </w:rPr>
            </w:pPr>
            <w:r w:rsidRPr="004A2F26">
              <w:rPr>
                <w:rFonts w:ascii="Arial" w:eastAsia="Times New Roman" w:hAnsi="Arial" w:cs="Arial"/>
                <w:b/>
                <w:bCs/>
                <w:sz w:val="16"/>
                <w:szCs w:val="16"/>
                <w:lang w:eastAsia="sk-SK"/>
              </w:rPr>
              <w:t>46 495 136,61</w:t>
            </w:r>
          </w:p>
        </w:tc>
      </w:tr>
    </w:tbl>
    <w:p w14:paraId="6235ACCD" w14:textId="77777777" w:rsidR="001A24C3" w:rsidRDefault="001A24C3" w:rsidP="001A24C3"/>
    <w:p w14:paraId="4033235E" w14:textId="77777777" w:rsidR="001A24C3" w:rsidRPr="007C6BD1" w:rsidRDefault="001A24C3" w:rsidP="001A24C3"/>
    <w:p w14:paraId="387614F7" w14:textId="3238B99E" w:rsidR="001A24C3" w:rsidRPr="00FE7FAB" w:rsidRDefault="001A24C3" w:rsidP="001A24C3">
      <w:pPr>
        <w:pStyle w:val="Nadpis31"/>
        <w:spacing w:before="240"/>
        <w:rPr>
          <w:color w:val="auto"/>
        </w:rPr>
      </w:pPr>
      <w:bookmarkStart w:id="272" w:name="_Toc88652981"/>
      <w:r w:rsidRPr="00D83A6C">
        <w:rPr>
          <w:color w:val="auto"/>
        </w:rPr>
        <w:t>Variant</w:t>
      </w:r>
      <w:r w:rsidR="00D83A6C">
        <w:rPr>
          <w:color w:val="auto"/>
        </w:rPr>
        <w:t xml:space="preserve"> C</w:t>
      </w:r>
      <w:r w:rsidRPr="00D83A6C">
        <w:rPr>
          <w:color w:val="auto"/>
        </w:rPr>
        <w:t xml:space="preserve"> „</w:t>
      </w:r>
      <w:r w:rsidR="00D83A6C">
        <w:rPr>
          <w:color w:val="auto"/>
        </w:rPr>
        <w:t>KOMBI</w:t>
      </w:r>
      <w:r w:rsidR="00B00FA8">
        <w:rPr>
          <w:color w:val="auto"/>
        </w:rPr>
        <w:t>NOVANÝ</w:t>
      </w:r>
      <w:r w:rsidR="00271AEE">
        <w:rPr>
          <w:color w:val="auto"/>
        </w:rPr>
        <w:t xml:space="preserve"> </w:t>
      </w:r>
      <w:r w:rsidR="00B00FA8">
        <w:rPr>
          <w:color w:val="auto"/>
        </w:rPr>
        <w:t>–</w:t>
      </w:r>
      <w:r w:rsidR="00271AEE">
        <w:rPr>
          <w:color w:val="auto"/>
        </w:rPr>
        <w:t xml:space="preserve"> optimalizácia</w:t>
      </w:r>
      <w:r w:rsidR="00B00FA8">
        <w:rPr>
          <w:color w:val="auto"/>
        </w:rPr>
        <w:t xml:space="preserve"> trate</w:t>
      </w:r>
      <w:r w:rsidRPr="00D83A6C">
        <w:rPr>
          <w:color w:val="auto"/>
        </w:rPr>
        <w:t>“</w:t>
      </w:r>
      <w:bookmarkEnd w:id="272"/>
    </w:p>
    <w:p w14:paraId="250F0C24" w14:textId="44DCC517" w:rsidR="001A24C3" w:rsidRDefault="001A24C3" w:rsidP="00D83A6C">
      <w:pPr>
        <w:pStyle w:val="Popis"/>
        <w:keepNext/>
        <w:jc w:val="both"/>
      </w:pPr>
      <w:bookmarkStart w:id="273" w:name="_Toc83677911"/>
      <w:r>
        <w:t xml:space="preserve">Tabuľka </w:t>
      </w:r>
      <w:r w:rsidR="00DA0B84">
        <w:rPr>
          <w:noProof/>
        </w:rPr>
        <w:t>40</w:t>
      </w:r>
      <w:r>
        <w:tab/>
      </w:r>
      <w:r w:rsidRPr="003E01F6">
        <w:t>Obdobie realizácie</w:t>
      </w:r>
      <w:bookmarkEnd w:id="273"/>
    </w:p>
    <w:tbl>
      <w:tblPr>
        <w:tblW w:w="6920" w:type="dxa"/>
        <w:tblCellMar>
          <w:left w:w="70" w:type="dxa"/>
          <w:right w:w="70" w:type="dxa"/>
        </w:tblCellMar>
        <w:tblLook w:val="04A0" w:firstRow="1" w:lastRow="0" w:firstColumn="1" w:lastColumn="0" w:noHBand="0" w:noVBand="1"/>
      </w:tblPr>
      <w:tblGrid>
        <w:gridCol w:w="5440"/>
        <w:gridCol w:w="1480"/>
      </w:tblGrid>
      <w:tr w:rsidR="001A24C3" w:rsidRPr="00E934A0" w14:paraId="35C75976" w14:textId="77777777" w:rsidTr="00300963">
        <w:trPr>
          <w:trHeight w:val="204"/>
        </w:trPr>
        <w:tc>
          <w:tcPr>
            <w:tcW w:w="544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5194B3" w14:textId="77777777" w:rsidR="001A24C3" w:rsidRPr="00E934A0" w:rsidRDefault="001A24C3" w:rsidP="00300963">
            <w:pPr>
              <w:rPr>
                <w:rFonts w:ascii="Arial" w:eastAsia="Times New Roman" w:hAnsi="Arial" w:cs="Arial"/>
                <w:sz w:val="16"/>
                <w:szCs w:val="16"/>
                <w:lang w:eastAsia="sk-SK"/>
              </w:rPr>
            </w:pPr>
            <w:r w:rsidRPr="00E934A0">
              <w:rPr>
                <w:rFonts w:ascii="Arial" w:eastAsia="Times New Roman" w:hAnsi="Arial" w:cs="Arial"/>
                <w:sz w:val="16"/>
                <w:szCs w:val="16"/>
                <w:lang w:eastAsia="sk-SK"/>
              </w:rPr>
              <w:t>Rok začiatku</w:t>
            </w:r>
          </w:p>
        </w:tc>
        <w:tc>
          <w:tcPr>
            <w:tcW w:w="1480" w:type="dxa"/>
            <w:tcBorders>
              <w:top w:val="single" w:sz="4" w:space="0" w:color="auto"/>
              <w:left w:val="nil"/>
              <w:bottom w:val="single" w:sz="4" w:space="0" w:color="auto"/>
              <w:right w:val="single" w:sz="4" w:space="0" w:color="auto"/>
            </w:tcBorders>
            <w:shd w:val="clear" w:color="000000" w:fill="99CCFF"/>
            <w:noWrap/>
            <w:vAlign w:val="bottom"/>
            <w:hideMark/>
          </w:tcPr>
          <w:p w14:paraId="4DC265C7" w14:textId="77777777" w:rsidR="001A24C3" w:rsidRPr="00E934A0" w:rsidRDefault="001A24C3" w:rsidP="00300963">
            <w:pPr>
              <w:jc w:val="center"/>
              <w:rPr>
                <w:rFonts w:ascii="Arial" w:eastAsia="Times New Roman" w:hAnsi="Arial" w:cs="Arial"/>
                <w:sz w:val="16"/>
                <w:szCs w:val="16"/>
                <w:lang w:eastAsia="sk-SK"/>
              </w:rPr>
            </w:pPr>
            <w:r w:rsidRPr="00E934A0">
              <w:rPr>
                <w:rFonts w:ascii="Arial" w:eastAsia="Times New Roman" w:hAnsi="Arial" w:cs="Arial"/>
                <w:sz w:val="16"/>
                <w:szCs w:val="16"/>
                <w:lang w:eastAsia="sk-SK"/>
              </w:rPr>
              <w:t>202</w:t>
            </w:r>
            <w:r>
              <w:rPr>
                <w:rFonts w:ascii="Arial" w:eastAsia="Times New Roman" w:hAnsi="Arial" w:cs="Arial"/>
                <w:sz w:val="16"/>
                <w:szCs w:val="16"/>
                <w:lang w:eastAsia="sk-SK"/>
              </w:rPr>
              <w:t>3</w:t>
            </w:r>
          </w:p>
        </w:tc>
      </w:tr>
      <w:tr w:rsidR="001A24C3" w:rsidRPr="00E934A0" w14:paraId="5D3F4354" w14:textId="77777777" w:rsidTr="00300963">
        <w:trPr>
          <w:trHeight w:val="204"/>
        </w:trPr>
        <w:tc>
          <w:tcPr>
            <w:tcW w:w="5440" w:type="dxa"/>
            <w:tcBorders>
              <w:top w:val="nil"/>
              <w:left w:val="single" w:sz="4" w:space="0" w:color="auto"/>
              <w:bottom w:val="single" w:sz="4" w:space="0" w:color="auto"/>
              <w:right w:val="single" w:sz="4" w:space="0" w:color="auto"/>
            </w:tcBorders>
            <w:shd w:val="clear" w:color="auto" w:fill="auto"/>
            <w:noWrap/>
            <w:vAlign w:val="bottom"/>
            <w:hideMark/>
          </w:tcPr>
          <w:p w14:paraId="3BBFD95C" w14:textId="77777777" w:rsidR="001A24C3" w:rsidRPr="00E934A0" w:rsidRDefault="001A24C3" w:rsidP="00300963">
            <w:pPr>
              <w:rPr>
                <w:rFonts w:ascii="Arial" w:eastAsia="Times New Roman" w:hAnsi="Arial" w:cs="Arial"/>
                <w:sz w:val="16"/>
                <w:szCs w:val="16"/>
                <w:lang w:eastAsia="sk-SK"/>
              </w:rPr>
            </w:pPr>
            <w:r w:rsidRPr="00E934A0">
              <w:rPr>
                <w:rFonts w:ascii="Arial" w:eastAsia="Times New Roman" w:hAnsi="Arial" w:cs="Arial"/>
                <w:sz w:val="16"/>
                <w:szCs w:val="16"/>
                <w:lang w:eastAsia="sk-SK"/>
              </w:rPr>
              <w:t>Rok dodania</w:t>
            </w:r>
          </w:p>
        </w:tc>
        <w:tc>
          <w:tcPr>
            <w:tcW w:w="1480" w:type="dxa"/>
            <w:tcBorders>
              <w:top w:val="nil"/>
              <w:left w:val="nil"/>
              <w:bottom w:val="single" w:sz="4" w:space="0" w:color="auto"/>
              <w:right w:val="single" w:sz="4" w:space="0" w:color="auto"/>
            </w:tcBorders>
            <w:shd w:val="clear" w:color="000000" w:fill="99CCFF"/>
            <w:noWrap/>
            <w:vAlign w:val="bottom"/>
            <w:hideMark/>
          </w:tcPr>
          <w:p w14:paraId="4A0281ED" w14:textId="77777777" w:rsidR="001A24C3" w:rsidRPr="00E934A0" w:rsidRDefault="001A24C3" w:rsidP="00300963">
            <w:pPr>
              <w:jc w:val="center"/>
              <w:rPr>
                <w:rFonts w:ascii="Arial" w:eastAsia="Times New Roman" w:hAnsi="Arial" w:cs="Arial"/>
                <w:sz w:val="16"/>
                <w:szCs w:val="16"/>
                <w:lang w:eastAsia="sk-SK"/>
              </w:rPr>
            </w:pPr>
            <w:r w:rsidRPr="00E934A0">
              <w:rPr>
                <w:rFonts w:ascii="Arial" w:eastAsia="Times New Roman" w:hAnsi="Arial" w:cs="Arial"/>
                <w:sz w:val="16"/>
                <w:szCs w:val="16"/>
                <w:lang w:eastAsia="sk-SK"/>
              </w:rPr>
              <w:t>202</w:t>
            </w:r>
            <w:r>
              <w:rPr>
                <w:rFonts w:ascii="Arial" w:eastAsia="Times New Roman" w:hAnsi="Arial" w:cs="Arial"/>
                <w:sz w:val="16"/>
                <w:szCs w:val="16"/>
                <w:lang w:eastAsia="sk-SK"/>
              </w:rPr>
              <w:t>5</w:t>
            </w:r>
          </w:p>
        </w:tc>
      </w:tr>
    </w:tbl>
    <w:p w14:paraId="3149146B" w14:textId="77777777" w:rsidR="00FE7FAB" w:rsidRDefault="00FE7FAB" w:rsidP="00D83A6C">
      <w:pPr>
        <w:pStyle w:val="Popis"/>
        <w:keepNext/>
        <w:spacing w:before="240"/>
        <w:jc w:val="both"/>
      </w:pPr>
      <w:bookmarkStart w:id="274" w:name="_Toc83677912"/>
    </w:p>
    <w:p w14:paraId="7F2AB27F" w14:textId="660C8D74" w:rsidR="001A24C3" w:rsidRDefault="001A24C3" w:rsidP="00D83A6C">
      <w:pPr>
        <w:pStyle w:val="Popis"/>
        <w:keepNext/>
        <w:spacing w:before="240"/>
        <w:jc w:val="both"/>
      </w:pPr>
      <w:r>
        <w:t xml:space="preserve">Tabuľka </w:t>
      </w:r>
      <w:r w:rsidR="00DA0B84">
        <w:t>41</w:t>
      </w:r>
      <w:r>
        <w:tab/>
      </w:r>
      <w:r w:rsidRPr="003E01F6">
        <w:t>Investičné náklady</w:t>
      </w:r>
      <w:bookmarkEnd w:id="274"/>
    </w:p>
    <w:tbl>
      <w:tblPr>
        <w:tblW w:w="0" w:type="auto"/>
        <w:tblCellMar>
          <w:left w:w="70" w:type="dxa"/>
          <w:right w:w="70" w:type="dxa"/>
        </w:tblCellMar>
        <w:tblLook w:val="04A0" w:firstRow="1" w:lastRow="0" w:firstColumn="1" w:lastColumn="0" w:noHBand="0" w:noVBand="1"/>
      </w:tblPr>
      <w:tblGrid>
        <w:gridCol w:w="3442"/>
        <w:gridCol w:w="975"/>
        <w:gridCol w:w="908"/>
        <w:gridCol w:w="908"/>
        <w:gridCol w:w="908"/>
        <w:gridCol w:w="407"/>
        <w:gridCol w:w="374"/>
        <w:gridCol w:w="407"/>
      </w:tblGrid>
      <w:tr w:rsidR="001A24C3" w:rsidRPr="001603FF" w14:paraId="7F03755C" w14:textId="77777777" w:rsidTr="00300963">
        <w:trPr>
          <w:trHeight w:val="204"/>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0EB184"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Kategória investičných výdavkov*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62BCE6B3"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03EB4164"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Rok</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73383D11"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4F8BA7AA"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BAC1394"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5377E10B"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 </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39013964"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 </w:t>
            </w:r>
          </w:p>
        </w:tc>
      </w:tr>
      <w:tr w:rsidR="001A24C3" w:rsidRPr="001603FF" w14:paraId="5496A37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2BA47ED" w14:textId="77777777" w:rsidR="001A24C3" w:rsidRPr="004A2F26" w:rsidRDefault="001A24C3" w:rsidP="00300963">
            <w:pPr>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 </w:t>
            </w:r>
          </w:p>
        </w:tc>
        <w:tc>
          <w:tcPr>
            <w:tcW w:w="0" w:type="auto"/>
            <w:tcBorders>
              <w:top w:val="nil"/>
              <w:left w:val="nil"/>
              <w:bottom w:val="single" w:sz="4" w:space="0" w:color="auto"/>
              <w:right w:val="single" w:sz="4" w:space="0" w:color="auto"/>
            </w:tcBorders>
            <w:shd w:val="clear" w:color="auto" w:fill="auto"/>
            <w:noWrap/>
            <w:vAlign w:val="bottom"/>
            <w:hideMark/>
          </w:tcPr>
          <w:p w14:paraId="7F663286" w14:textId="77777777" w:rsidR="001A24C3" w:rsidRPr="004A2F26" w:rsidRDefault="001A24C3" w:rsidP="00300963">
            <w:pPr>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 </w:t>
            </w:r>
          </w:p>
        </w:tc>
        <w:tc>
          <w:tcPr>
            <w:tcW w:w="0" w:type="auto"/>
            <w:tcBorders>
              <w:top w:val="nil"/>
              <w:left w:val="nil"/>
              <w:bottom w:val="single" w:sz="4" w:space="0" w:color="auto"/>
              <w:right w:val="single" w:sz="4" w:space="0" w:color="auto"/>
            </w:tcBorders>
            <w:shd w:val="clear" w:color="auto" w:fill="auto"/>
            <w:noWrap/>
            <w:vAlign w:val="bottom"/>
            <w:hideMark/>
          </w:tcPr>
          <w:p w14:paraId="0EAD404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w:t>
            </w:r>
          </w:p>
        </w:tc>
        <w:tc>
          <w:tcPr>
            <w:tcW w:w="0" w:type="auto"/>
            <w:tcBorders>
              <w:top w:val="nil"/>
              <w:left w:val="nil"/>
              <w:bottom w:val="single" w:sz="4" w:space="0" w:color="auto"/>
              <w:right w:val="single" w:sz="4" w:space="0" w:color="auto"/>
            </w:tcBorders>
            <w:shd w:val="clear" w:color="auto" w:fill="auto"/>
            <w:noWrap/>
            <w:vAlign w:val="bottom"/>
            <w:hideMark/>
          </w:tcPr>
          <w:p w14:paraId="2788D37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w:t>
            </w:r>
          </w:p>
        </w:tc>
        <w:tc>
          <w:tcPr>
            <w:tcW w:w="0" w:type="auto"/>
            <w:tcBorders>
              <w:top w:val="nil"/>
              <w:left w:val="nil"/>
              <w:bottom w:val="single" w:sz="4" w:space="0" w:color="auto"/>
              <w:right w:val="single" w:sz="4" w:space="0" w:color="auto"/>
            </w:tcBorders>
            <w:shd w:val="clear" w:color="auto" w:fill="auto"/>
            <w:noWrap/>
            <w:vAlign w:val="bottom"/>
            <w:hideMark/>
          </w:tcPr>
          <w:p w14:paraId="472561F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w:t>
            </w:r>
          </w:p>
        </w:tc>
        <w:tc>
          <w:tcPr>
            <w:tcW w:w="0" w:type="auto"/>
            <w:tcBorders>
              <w:top w:val="nil"/>
              <w:left w:val="nil"/>
              <w:bottom w:val="single" w:sz="4" w:space="0" w:color="auto"/>
              <w:right w:val="single" w:sz="4" w:space="0" w:color="auto"/>
            </w:tcBorders>
            <w:shd w:val="clear" w:color="auto" w:fill="auto"/>
            <w:noWrap/>
            <w:vAlign w:val="bottom"/>
            <w:hideMark/>
          </w:tcPr>
          <w:p w14:paraId="002CCDA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4</w:t>
            </w:r>
          </w:p>
        </w:tc>
        <w:tc>
          <w:tcPr>
            <w:tcW w:w="0" w:type="auto"/>
            <w:tcBorders>
              <w:top w:val="nil"/>
              <w:left w:val="nil"/>
              <w:bottom w:val="single" w:sz="4" w:space="0" w:color="auto"/>
              <w:right w:val="single" w:sz="4" w:space="0" w:color="auto"/>
            </w:tcBorders>
            <w:shd w:val="clear" w:color="auto" w:fill="auto"/>
            <w:noWrap/>
            <w:vAlign w:val="bottom"/>
            <w:hideMark/>
          </w:tcPr>
          <w:p w14:paraId="51DA2F9F" w14:textId="77777777" w:rsidR="001A24C3" w:rsidRPr="004A2F26" w:rsidRDefault="001A24C3" w:rsidP="00300963">
            <w:pPr>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 </w:t>
            </w:r>
          </w:p>
        </w:tc>
        <w:tc>
          <w:tcPr>
            <w:tcW w:w="0" w:type="auto"/>
            <w:tcBorders>
              <w:top w:val="nil"/>
              <w:left w:val="nil"/>
              <w:bottom w:val="single" w:sz="4" w:space="0" w:color="auto"/>
              <w:right w:val="single" w:sz="4" w:space="0" w:color="auto"/>
            </w:tcBorders>
            <w:shd w:val="clear" w:color="auto" w:fill="auto"/>
            <w:noWrap/>
            <w:vAlign w:val="bottom"/>
            <w:hideMark/>
          </w:tcPr>
          <w:p w14:paraId="3A61CA3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30</w:t>
            </w:r>
          </w:p>
        </w:tc>
      </w:tr>
      <w:tr w:rsidR="001A24C3" w:rsidRPr="001603FF" w14:paraId="08835412" w14:textId="77777777" w:rsidTr="00300963">
        <w:trPr>
          <w:trHeight w:val="204"/>
        </w:trPr>
        <w:tc>
          <w:tcPr>
            <w:tcW w:w="0" w:type="auto"/>
            <w:tcBorders>
              <w:top w:val="nil"/>
              <w:left w:val="single" w:sz="4" w:space="0" w:color="auto"/>
              <w:bottom w:val="single" w:sz="4" w:space="0" w:color="auto"/>
              <w:right w:val="single" w:sz="4" w:space="0" w:color="auto"/>
            </w:tcBorders>
            <w:shd w:val="clear" w:color="000000" w:fill="D9D9D9"/>
            <w:noWrap/>
            <w:vAlign w:val="bottom"/>
            <w:hideMark/>
          </w:tcPr>
          <w:p w14:paraId="320950F7" w14:textId="77777777" w:rsidR="001A24C3" w:rsidRPr="004A2F26" w:rsidRDefault="001A24C3" w:rsidP="00300963">
            <w:pPr>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1.1 Investičné výdavky (EUR) - finančné</w:t>
            </w:r>
          </w:p>
        </w:tc>
        <w:tc>
          <w:tcPr>
            <w:tcW w:w="0" w:type="auto"/>
            <w:tcBorders>
              <w:top w:val="nil"/>
              <w:left w:val="nil"/>
              <w:bottom w:val="single" w:sz="4" w:space="0" w:color="auto"/>
              <w:right w:val="single" w:sz="4" w:space="0" w:color="auto"/>
            </w:tcBorders>
            <w:shd w:val="clear" w:color="000000" w:fill="D9D9D9"/>
            <w:noWrap/>
            <w:vAlign w:val="bottom"/>
            <w:hideMark/>
          </w:tcPr>
          <w:p w14:paraId="2A73D392" w14:textId="77777777" w:rsidR="001A24C3" w:rsidRPr="004A2F26" w:rsidRDefault="001A24C3" w:rsidP="00300963">
            <w:pPr>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Celkom</w:t>
            </w:r>
          </w:p>
        </w:tc>
        <w:tc>
          <w:tcPr>
            <w:tcW w:w="0" w:type="auto"/>
            <w:tcBorders>
              <w:top w:val="nil"/>
              <w:left w:val="nil"/>
              <w:bottom w:val="single" w:sz="4" w:space="0" w:color="auto"/>
              <w:right w:val="single" w:sz="4" w:space="0" w:color="auto"/>
            </w:tcBorders>
            <w:shd w:val="clear" w:color="000000" w:fill="D9D9D9"/>
            <w:noWrap/>
            <w:vAlign w:val="bottom"/>
            <w:hideMark/>
          </w:tcPr>
          <w:p w14:paraId="3888589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2023</w:t>
            </w:r>
          </w:p>
        </w:tc>
        <w:tc>
          <w:tcPr>
            <w:tcW w:w="0" w:type="auto"/>
            <w:tcBorders>
              <w:top w:val="nil"/>
              <w:left w:val="nil"/>
              <w:bottom w:val="single" w:sz="4" w:space="0" w:color="auto"/>
              <w:right w:val="single" w:sz="4" w:space="0" w:color="auto"/>
            </w:tcBorders>
            <w:shd w:val="clear" w:color="000000" w:fill="D9D9D9"/>
            <w:noWrap/>
            <w:vAlign w:val="bottom"/>
            <w:hideMark/>
          </w:tcPr>
          <w:p w14:paraId="61BB567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2024</w:t>
            </w:r>
          </w:p>
        </w:tc>
        <w:tc>
          <w:tcPr>
            <w:tcW w:w="0" w:type="auto"/>
            <w:tcBorders>
              <w:top w:val="nil"/>
              <w:left w:val="nil"/>
              <w:bottom w:val="single" w:sz="4" w:space="0" w:color="auto"/>
              <w:right w:val="single" w:sz="4" w:space="0" w:color="auto"/>
            </w:tcBorders>
            <w:shd w:val="clear" w:color="000000" w:fill="D9D9D9"/>
            <w:noWrap/>
            <w:vAlign w:val="bottom"/>
            <w:hideMark/>
          </w:tcPr>
          <w:p w14:paraId="6AF0391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2025</w:t>
            </w:r>
          </w:p>
        </w:tc>
        <w:tc>
          <w:tcPr>
            <w:tcW w:w="0" w:type="auto"/>
            <w:tcBorders>
              <w:top w:val="nil"/>
              <w:left w:val="nil"/>
              <w:bottom w:val="single" w:sz="4" w:space="0" w:color="auto"/>
              <w:right w:val="single" w:sz="4" w:space="0" w:color="auto"/>
            </w:tcBorders>
            <w:shd w:val="clear" w:color="000000" w:fill="D9D9D9"/>
            <w:noWrap/>
            <w:vAlign w:val="bottom"/>
            <w:hideMark/>
          </w:tcPr>
          <w:p w14:paraId="1CCB13D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2026</w:t>
            </w:r>
          </w:p>
        </w:tc>
        <w:tc>
          <w:tcPr>
            <w:tcW w:w="0" w:type="auto"/>
            <w:tcBorders>
              <w:top w:val="nil"/>
              <w:left w:val="nil"/>
              <w:bottom w:val="single" w:sz="4" w:space="0" w:color="auto"/>
              <w:right w:val="single" w:sz="4" w:space="0" w:color="auto"/>
            </w:tcBorders>
            <w:shd w:val="clear" w:color="000000" w:fill="D9D9D9"/>
            <w:noWrap/>
            <w:vAlign w:val="bottom"/>
            <w:hideMark/>
          </w:tcPr>
          <w:p w14:paraId="35C56CA2" w14:textId="77777777" w:rsidR="001A24C3" w:rsidRPr="004A2F26" w:rsidRDefault="001A24C3" w:rsidP="00300963">
            <w:pPr>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w:t>
            </w:r>
          </w:p>
        </w:tc>
        <w:tc>
          <w:tcPr>
            <w:tcW w:w="0" w:type="auto"/>
            <w:tcBorders>
              <w:top w:val="nil"/>
              <w:left w:val="nil"/>
              <w:bottom w:val="single" w:sz="4" w:space="0" w:color="auto"/>
              <w:right w:val="single" w:sz="4" w:space="0" w:color="auto"/>
            </w:tcBorders>
            <w:shd w:val="clear" w:color="000000" w:fill="D9D9D9"/>
            <w:noWrap/>
            <w:vAlign w:val="bottom"/>
            <w:hideMark/>
          </w:tcPr>
          <w:p w14:paraId="71E565E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2052</w:t>
            </w:r>
          </w:p>
        </w:tc>
      </w:tr>
      <w:tr w:rsidR="001A24C3" w:rsidRPr="001603FF" w14:paraId="4C1F4C44"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13CE179"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Plánovacie/projektové poplatky</w:t>
            </w:r>
          </w:p>
        </w:tc>
        <w:tc>
          <w:tcPr>
            <w:tcW w:w="0" w:type="auto"/>
            <w:tcBorders>
              <w:top w:val="nil"/>
              <w:left w:val="nil"/>
              <w:bottom w:val="single" w:sz="4" w:space="0" w:color="auto"/>
              <w:right w:val="single" w:sz="4" w:space="0" w:color="auto"/>
            </w:tcBorders>
            <w:shd w:val="clear" w:color="auto" w:fill="auto"/>
            <w:noWrap/>
            <w:vAlign w:val="bottom"/>
            <w:hideMark/>
          </w:tcPr>
          <w:p w14:paraId="07A2BBDF"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10 471 685,00</w:t>
            </w:r>
          </w:p>
        </w:tc>
        <w:tc>
          <w:tcPr>
            <w:tcW w:w="0" w:type="auto"/>
            <w:tcBorders>
              <w:top w:val="nil"/>
              <w:left w:val="nil"/>
              <w:bottom w:val="single" w:sz="4" w:space="0" w:color="auto"/>
              <w:right w:val="single" w:sz="4" w:space="0" w:color="auto"/>
            </w:tcBorders>
            <w:shd w:val="clear" w:color="000000" w:fill="99CCFF"/>
            <w:noWrap/>
            <w:vAlign w:val="bottom"/>
            <w:hideMark/>
          </w:tcPr>
          <w:p w14:paraId="090E167C"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10 471 685,00</w:t>
            </w:r>
          </w:p>
        </w:tc>
        <w:tc>
          <w:tcPr>
            <w:tcW w:w="0" w:type="auto"/>
            <w:tcBorders>
              <w:top w:val="nil"/>
              <w:left w:val="nil"/>
              <w:bottom w:val="single" w:sz="4" w:space="0" w:color="auto"/>
              <w:right w:val="single" w:sz="4" w:space="0" w:color="auto"/>
            </w:tcBorders>
            <w:shd w:val="clear" w:color="000000" w:fill="99CCFF"/>
            <w:noWrap/>
            <w:vAlign w:val="bottom"/>
            <w:hideMark/>
          </w:tcPr>
          <w:p w14:paraId="7C81368F"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4170FE7"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3C9BF74"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DC270E5"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7720464"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r>
      <w:tr w:rsidR="001A24C3" w:rsidRPr="001603FF" w14:paraId="432B117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7BDA1AB"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Pozemky</w:t>
            </w:r>
          </w:p>
        </w:tc>
        <w:tc>
          <w:tcPr>
            <w:tcW w:w="0" w:type="auto"/>
            <w:tcBorders>
              <w:top w:val="nil"/>
              <w:left w:val="nil"/>
              <w:bottom w:val="single" w:sz="4" w:space="0" w:color="auto"/>
              <w:right w:val="single" w:sz="4" w:space="0" w:color="auto"/>
            </w:tcBorders>
            <w:shd w:val="clear" w:color="auto" w:fill="auto"/>
            <w:noWrap/>
            <w:vAlign w:val="bottom"/>
            <w:hideMark/>
          </w:tcPr>
          <w:p w14:paraId="70F01C92"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1 590 900,00</w:t>
            </w:r>
          </w:p>
        </w:tc>
        <w:tc>
          <w:tcPr>
            <w:tcW w:w="0" w:type="auto"/>
            <w:tcBorders>
              <w:top w:val="nil"/>
              <w:left w:val="nil"/>
              <w:bottom w:val="single" w:sz="4" w:space="0" w:color="auto"/>
              <w:right w:val="single" w:sz="4" w:space="0" w:color="auto"/>
            </w:tcBorders>
            <w:shd w:val="clear" w:color="000000" w:fill="99CCFF"/>
            <w:noWrap/>
            <w:vAlign w:val="bottom"/>
            <w:hideMark/>
          </w:tcPr>
          <w:p w14:paraId="46850C1E"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1 590 900,00</w:t>
            </w:r>
          </w:p>
        </w:tc>
        <w:tc>
          <w:tcPr>
            <w:tcW w:w="0" w:type="auto"/>
            <w:tcBorders>
              <w:top w:val="nil"/>
              <w:left w:val="nil"/>
              <w:bottom w:val="single" w:sz="4" w:space="0" w:color="auto"/>
              <w:right w:val="single" w:sz="4" w:space="0" w:color="auto"/>
            </w:tcBorders>
            <w:shd w:val="clear" w:color="000000" w:fill="99CCFF"/>
            <w:noWrap/>
            <w:vAlign w:val="bottom"/>
            <w:hideMark/>
          </w:tcPr>
          <w:p w14:paraId="792EB722"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0348432"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9C03AEB"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EA13185"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8F5A797"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r>
      <w:tr w:rsidR="001A24C3" w:rsidRPr="001603FF" w14:paraId="4CE5C43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49D240"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Príprava staveniska</w:t>
            </w:r>
          </w:p>
        </w:tc>
        <w:tc>
          <w:tcPr>
            <w:tcW w:w="0" w:type="auto"/>
            <w:tcBorders>
              <w:top w:val="nil"/>
              <w:left w:val="nil"/>
              <w:bottom w:val="single" w:sz="4" w:space="0" w:color="auto"/>
              <w:right w:val="single" w:sz="4" w:space="0" w:color="auto"/>
            </w:tcBorders>
            <w:shd w:val="clear" w:color="auto" w:fill="auto"/>
            <w:noWrap/>
            <w:vAlign w:val="bottom"/>
            <w:hideMark/>
          </w:tcPr>
          <w:p w14:paraId="3913E127"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AB17154"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4558D64"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11E020E"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741ACEC"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D93D1C5"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AE34BF6"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r>
      <w:tr w:rsidR="001A24C3" w:rsidRPr="001603FF" w14:paraId="1E613FE4"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5A5D730"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Stavebné práce</w:t>
            </w:r>
          </w:p>
        </w:tc>
        <w:tc>
          <w:tcPr>
            <w:tcW w:w="0" w:type="auto"/>
            <w:tcBorders>
              <w:top w:val="nil"/>
              <w:left w:val="nil"/>
              <w:bottom w:val="single" w:sz="4" w:space="0" w:color="auto"/>
              <w:right w:val="single" w:sz="4" w:space="0" w:color="auto"/>
            </w:tcBorders>
            <w:shd w:val="clear" w:color="auto" w:fill="auto"/>
            <w:noWrap/>
            <w:vAlign w:val="bottom"/>
            <w:hideMark/>
          </w:tcPr>
          <w:p w14:paraId="663D186A"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162 322 761,51</w:t>
            </w:r>
          </w:p>
        </w:tc>
        <w:tc>
          <w:tcPr>
            <w:tcW w:w="0" w:type="auto"/>
            <w:tcBorders>
              <w:top w:val="nil"/>
              <w:left w:val="nil"/>
              <w:bottom w:val="single" w:sz="4" w:space="0" w:color="auto"/>
              <w:right w:val="single" w:sz="4" w:space="0" w:color="auto"/>
            </w:tcBorders>
            <w:shd w:val="clear" w:color="auto" w:fill="auto"/>
            <w:noWrap/>
            <w:vAlign w:val="bottom"/>
            <w:hideMark/>
          </w:tcPr>
          <w:p w14:paraId="50DE7B64"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61 087 171,42</w:t>
            </w:r>
          </w:p>
        </w:tc>
        <w:tc>
          <w:tcPr>
            <w:tcW w:w="0" w:type="auto"/>
            <w:tcBorders>
              <w:top w:val="nil"/>
              <w:left w:val="nil"/>
              <w:bottom w:val="single" w:sz="4" w:space="0" w:color="auto"/>
              <w:right w:val="single" w:sz="4" w:space="0" w:color="auto"/>
            </w:tcBorders>
            <w:shd w:val="clear" w:color="auto" w:fill="auto"/>
            <w:noWrap/>
            <w:vAlign w:val="bottom"/>
            <w:hideMark/>
          </w:tcPr>
          <w:p w14:paraId="02307FDA"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62 639 602,76</w:t>
            </w:r>
          </w:p>
        </w:tc>
        <w:tc>
          <w:tcPr>
            <w:tcW w:w="0" w:type="auto"/>
            <w:tcBorders>
              <w:top w:val="nil"/>
              <w:left w:val="nil"/>
              <w:bottom w:val="single" w:sz="4" w:space="0" w:color="auto"/>
              <w:right w:val="single" w:sz="4" w:space="0" w:color="auto"/>
            </w:tcBorders>
            <w:shd w:val="clear" w:color="auto" w:fill="auto"/>
            <w:noWrap/>
            <w:vAlign w:val="bottom"/>
            <w:hideMark/>
          </w:tcPr>
          <w:p w14:paraId="19A57D7A"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38 595 987,33</w:t>
            </w:r>
          </w:p>
        </w:tc>
        <w:tc>
          <w:tcPr>
            <w:tcW w:w="0" w:type="auto"/>
            <w:tcBorders>
              <w:top w:val="nil"/>
              <w:left w:val="nil"/>
              <w:bottom w:val="single" w:sz="4" w:space="0" w:color="auto"/>
              <w:right w:val="single" w:sz="4" w:space="0" w:color="auto"/>
            </w:tcBorders>
            <w:shd w:val="clear" w:color="auto" w:fill="auto"/>
            <w:noWrap/>
            <w:vAlign w:val="bottom"/>
            <w:hideMark/>
          </w:tcPr>
          <w:p w14:paraId="7CCB7C66"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570460C"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F3C10E6"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r>
      <w:tr w:rsidR="001A24C3" w:rsidRPr="001603FF" w14:paraId="29E8B07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3DCDCB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Mosty železobetónové</w:t>
            </w:r>
          </w:p>
        </w:tc>
        <w:tc>
          <w:tcPr>
            <w:tcW w:w="0" w:type="auto"/>
            <w:tcBorders>
              <w:top w:val="nil"/>
              <w:left w:val="nil"/>
              <w:bottom w:val="single" w:sz="4" w:space="0" w:color="auto"/>
              <w:right w:val="single" w:sz="4" w:space="0" w:color="auto"/>
            </w:tcBorders>
            <w:shd w:val="clear" w:color="auto" w:fill="auto"/>
            <w:noWrap/>
            <w:vAlign w:val="bottom"/>
            <w:hideMark/>
          </w:tcPr>
          <w:p w14:paraId="1B0CAFA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0BC4D1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2E69C5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4086A6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1E7D9F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6A2016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01C54A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4DF68238"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C75DC3"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Mosty oceľové a mosty priepusty</w:t>
            </w:r>
          </w:p>
        </w:tc>
        <w:tc>
          <w:tcPr>
            <w:tcW w:w="0" w:type="auto"/>
            <w:tcBorders>
              <w:top w:val="nil"/>
              <w:left w:val="nil"/>
              <w:bottom w:val="single" w:sz="4" w:space="0" w:color="auto"/>
              <w:right w:val="single" w:sz="4" w:space="0" w:color="auto"/>
            </w:tcBorders>
            <w:shd w:val="clear" w:color="auto" w:fill="auto"/>
            <w:noWrap/>
            <w:vAlign w:val="bottom"/>
            <w:hideMark/>
          </w:tcPr>
          <w:p w14:paraId="2164DE1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31 492 203,67</w:t>
            </w:r>
          </w:p>
        </w:tc>
        <w:tc>
          <w:tcPr>
            <w:tcW w:w="0" w:type="auto"/>
            <w:tcBorders>
              <w:top w:val="nil"/>
              <w:left w:val="nil"/>
              <w:bottom w:val="single" w:sz="4" w:space="0" w:color="auto"/>
              <w:right w:val="single" w:sz="4" w:space="0" w:color="auto"/>
            </w:tcBorders>
            <w:shd w:val="clear" w:color="000000" w:fill="99CCFF"/>
            <w:noWrap/>
            <w:vAlign w:val="bottom"/>
            <w:hideMark/>
          </w:tcPr>
          <w:p w14:paraId="35A86FB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15 746 101,84</w:t>
            </w:r>
          </w:p>
        </w:tc>
        <w:tc>
          <w:tcPr>
            <w:tcW w:w="0" w:type="auto"/>
            <w:tcBorders>
              <w:top w:val="nil"/>
              <w:left w:val="nil"/>
              <w:bottom w:val="single" w:sz="4" w:space="0" w:color="auto"/>
              <w:right w:val="single" w:sz="4" w:space="0" w:color="auto"/>
            </w:tcBorders>
            <w:shd w:val="clear" w:color="000000" w:fill="99CCFF"/>
            <w:noWrap/>
            <w:vAlign w:val="bottom"/>
            <w:hideMark/>
          </w:tcPr>
          <w:p w14:paraId="19D3BAF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12 596 881,47</w:t>
            </w:r>
          </w:p>
        </w:tc>
        <w:tc>
          <w:tcPr>
            <w:tcW w:w="0" w:type="auto"/>
            <w:tcBorders>
              <w:top w:val="nil"/>
              <w:left w:val="nil"/>
              <w:bottom w:val="single" w:sz="4" w:space="0" w:color="auto"/>
              <w:right w:val="single" w:sz="4" w:space="0" w:color="auto"/>
            </w:tcBorders>
            <w:shd w:val="clear" w:color="000000" w:fill="99CCFF"/>
            <w:noWrap/>
            <w:vAlign w:val="bottom"/>
            <w:hideMark/>
          </w:tcPr>
          <w:p w14:paraId="6AB97C7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3 149 220,37</w:t>
            </w:r>
          </w:p>
        </w:tc>
        <w:tc>
          <w:tcPr>
            <w:tcW w:w="0" w:type="auto"/>
            <w:tcBorders>
              <w:top w:val="nil"/>
              <w:left w:val="nil"/>
              <w:bottom w:val="single" w:sz="4" w:space="0" w:color="auto"/>
              <w:right w:val="single" w:sz="4" w:space="0" w:color="auto"/>
            </w:tcBorders>
            <w:shd w:val="clear" w:color="000000" w:fill="99CCFF"/>
            <w:noWrap/>
            <w:vAlign w:val="bottom"/>
            <w:hideMark/>
          </w:tcPr>
          <w:p w14:paraId="68E9958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41B7A1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D27E12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50D80EF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4EE7663"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Tunely</w:t>
            </w:r>
          </w:p>
        </w:tc>
        <w:tc>
          <w:tcPr>
            <w:tcW w:w="0" w:type="auto"/>
            <w:tcBorders>
              <w:top w:val="nil"/>
              <w:left w:val="nil"/>
              <w:bottom w:val="single" w:sz="4" w:space="0" w:color="auto"/>
              <w:right w:val="single" w:sz="4" w:space="0" w:color="auto"/>
            </w:tcBorders>
            <w:shd w:val="clear" w:color="auto" w:fill="auto"/>
            <w:noWrap/>
            <w:vAlign w:val="bottom"/>
            <w:hideMark/>
          </w:tcPr>
          <w:p w14:paraId="4B4077D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342AF6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04FC7A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FAB253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3BF8DC3"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6AE698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C12306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1BA39125"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BC356B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Budovy</w:t>
            </w:r>
          </w:p>
        </w:tc>
        <w:tc>
          <w:tcPr>
            <w:tcW w:w="0" w:type="auto"/>
            <w:tcBorders>
              <w:top w:val="nil"/>
              <w:left w:val="nil"/>
              <w:bottom w:val="single" w:sz="4" w:space="0" w:color="auto"/>
              <w:right w:val="single" w:sz="4" w:space="0" w:color="auto"/>
            </w:tcBorders>
            <w:shd w:val="clear" w:color="auto" w:fill="auto"/>
            <w:noWrap/>
            <w:vAlign w:val="bottom"/>
            <w:hideMark/>
          </w:tcPr>
          <w:p w14:paraId="5FE1EE9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18 990,35</w:t>
            </w:r>
          </w:p>
        </w:tc>
        <w:tc>
          <w:tcPr>
            <w:tcW w:w="0" w:type="auto"/>
            <w:tcBorders>
              <w:top w:val="nil"/>
              <w:left w:val="nil"/>
              <w:bottom w:val="single" w:sz="4" w:space="0" w:color="auto"/>
              <w:right w:val="single" w:sz="4" w:space="0" w:color="auto"/>
            </w:tcBorders>
            <w:shd w:val="clear" w:color="000000" w:fill="99CCFF"/>
            <w:noWrap/>
            <w:vAlign w:val="bottom"/>
            <w:hideMark/>
          </w:tcPr>
          <w:p w14:paraId="798BD1D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18 990,35</w:t>
            </w:r>
          </w:p>
        </w:tc>
        <w:tc>
          <w:tcPr>
            <w:tcW w:w="0" w:type="auto"/>
            <w:tcBorders>
              <w:top w:val="nil"/>
              <w:left w:val="nil"/>
              <w:bottom w:val="single" w:sz="4" w:space="0" w:color="auto"/>
              <w:right w:val="single" w:sz="4" w:space="0" w:color="auto"/>
            </w:tcBorders>
            <w:shd w:val="clear" w:color="000000" w:fill="99CCFF"/>
            <w:noWrap/>
            <w:vAlign w:val="bottom"/>
            <w:hideMark/>
          </w:tcPr>
          <w:p w14:paraId="03FE89B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6F5EC2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3715043"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D20E7B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2672FD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7ACB7DB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D03EED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Nástupištia</w:t>
            </w:r>
          </w:p>
        </w:tc>
        <w:tc>
          <w:tcPr>
            <w:tcW w:w="0" w:type="auto"/>
            <w:tcBorders>
              <w:top w:val="nil"/>
              <w:left w:val="nil"/>
              <w:bottom w:val="single" w:sz="4" w:space="0" w:color="auto"/>
              <w:right w:val="single" w:sz="4" w:space="0" w:color="auto"/>
            </w:tcBorders>
            <w:shd w:val="clear" w:color="auto" w:fill="auto"/>
            <w:noWrap/>
            <w:vAlign w:val="bottom"/>
            <w:hideMark/>
          </w:tcPr>
          <w:p w14:paraId="4AEE830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3 041 629,93</w:t>
            </w:r>
          </w:p>
        </w:tc>
        <w:tc>
          <w:tcPr>
            <w:tcW w:w="0" w:type="auto"/>
            <w:tcBorders>
              <w:top w:val="nil"/>
              <w:left w:val="nil"/>
              <w:bottom w:val="single" w:sz="4" w:space="0" w:color="auto"/>
              <w:right w:val="single" w:sz="4" w:space="0" w:color="auto"/>
            </w:tcBorders>
            <w:shd w:val="clear" w:color="000000" w:fill="99CCFF"/>
            <w:noWrap/>
            <w:vAlign w:val="bottom"/>
            <w:hideMark/>
          </w:tcPr>
          <w:p w14:paraId="3B24693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EE486F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1 216 651,97</w:t>
            </w:r>
          </w:p>
        </w:tc>
        <w:tc>
          <w:tcPr>
            <w:tcW w:w="0" w:type="auto"/>
            <w:tcBorders>
              <w:top w:val="nil"/>
              <w:left w:val="nil"/>
              <w:bottom w:val="single" w:sz="4" w:space="0" w:color="auto"/>
              <w:right w:val="single" w:sz="4" w:space="0" w:color="auto"/>
            </w:tcBorders>
            <w:shd w:val="clear" w:color="000000" w:fill="99CCFF"/>
            <w:noWrap/>
            <w:vAlign w:val="bottom"/>
            <w:hideMark/>
          </w:tcPr>
          <w:p w14:paraId="201AAFD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1 824 977,96</w:t>
            </w:r>
          </w:p>
        </w:tc>
        <w:tc>
          <w:tcPr>
            <w:tcW w:w="0" w:type="auto"/>
            <w:tcBorders>
              <w:top w:val="nil"/>
              <w:left w:val="nil"/>
              <w:bottom w:val="single" w:sz="4" w:space="0" w:color="auto"/>
              <w:right w:val="single" w:sz="4" w:space="0" w:color="auto"/>
            </w:tcBorders>
            <w:shd w:val="clear" w:color="000000" w:fill="99CCFF"/>
            <w:noWrap/>
            <w:vAlign w:val="bottom"/>
            <w:hideMark/>
          </w:tcPr>
          <w:p w14:paraId="3AD8733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CC7FF7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FA0117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2274B228"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A1B94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Cestné komunikácie</w:t>
            </w:r>
          </w:p>
        </w:tc>
        <w:tc>
          <w:tcPr>
            <w:tcW w:w="0" w:type="auto"/>
            <w:tcBorders>
              <w:top w:val="nil"/>
              <w:left w:val="nil"/>
              <w:bottom w:val="single" w:sz="4" w:space="0" w:color="auto"/>
              <w:right w:val="single" w:sz="4" w:space="0" w:color="auto"/>
            </w:tcBorders>
            <w:shd w:val="clear" w:color="auto" w:fill="auto"/>
            <w:noWrap/>
            <w:vAlign w:val="bottom"/>
            <w:hideMark/>
          </w:tcPr>
          <w:p w14:paraId="364CD73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1 694 395,08</w:t>
            </w:r>
          </w:p>
        </w:tc>
        <w:tc>
          <w:tcPr>
            <w:tcW w:w="0" w:type="auto"/>
            <w:tcBorders>
              <w:top w:val="nil"/>
              <w:left w:val="nil"/>
              <w:bottom w:val="single" w:sz="4" w:space="0" w:color="auto"/>
              <w:right w:val="single" w:sz="4" w:space="0" w:color="auto"/>
            </w:tcBorders>
            <w:shd w:val="clear" w:color="000000" w:fill="99CCFF"/>
            <w:noWrap/>
            <w:vAlign w:val="bottom"/>
            <w:hideMark/>
          </w:tcPr>
          <w:p w14:paraId="3CEA3D4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847 197,54</w:t>
            </w:r>
          </w:p>
        </w:tc>
        <w:tc>
          <w:tcPr>
            <w:tcW w:w="0" w:type="auto"/>
            <w:tcBorders>
              <w:top w:val="nil"/>
              <w:left w:val="nil"/>
              <w:bottom w:val="single" w:sz="4" w:space="0" w:color="auto"/>
              <w:right w:val="single" w:sz="4" w:space="0" w:color="auto"/>
            </w:tcBorders>
            <w:shd w:val="clear" w:color="000000" w:fill="99CCFF"/>
            <w:noWrap/>
            <w:vAlign w:val="bottom"/>
            <w:hideMark/>
          </w:tcPr>
          <w:p w14:paraId="013D2815"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677 758,03</w:t>
            </w:r>
          </w:p>
        </w:tc>
        <w:tc>
          <w:tcPr>
            <w:tcW w:w="0" w:type="auto"/>
            <w:tcBorders>
              <w:top w:val="nil"/>
              <w:left w:val="nil"/>
              <w:bottom w:val="single" w:sz="4" w:space="0" w:color="auto"/>
              <w:right w:val="single" w:sz="4" w:space="0" w:color="auto"/>
            </w:tcBorders>
            <w:shd w:val="clear" w:color="000000" w:fill="99CCFF"/>
            <w:noWrap/>
            <w:vAlign w:val="bottom"/>
            <w:hideMark/>
          </w:tcPr>
          <w:p w14:paraId="223760F5"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169 439,51</w:t>
            </w:r>
          </w:p>
        </w:tc>
        <w:tc>
          <w:tcPr>
            <w:tcW w:w="0" w:type="auto"/>
            <w:tcBorders>
              <w:top w:val="nil"/>
              <w:left w:val="nil"/>
              <w:bottom w:val="single" w:sz="4" w:space="0" w:color="auto"/>
              <w:right w:val="single" w:sz="4" w:space="0" w:color="auto"/>
            </w:tcBorders>
            <w:shd w:val="clear" w:color="000000" w:fill="99CCFF"/>
            <w:noWrap/>
            <w:vAlign w:val="bottom"/>
            <w:hideMark/>
          </w:tcPr>
          <w:p w14:paraId="418F5ABE" w14:textId="77777777" w:rsidR="001A24C3" w:rsidRPr="004A2F26" w:rsidRDefault="001A24C3" w:rsidP="00300963">
            <w:pPr>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 </w:t>
            </w:r>
          </w:p>
        </w:tc>
        <w:tc>
          <w:tcPr>
            <w:tcW w:w="0" w:type="auto"/>
            <w:tcBorders>
              <w:top w:val="nil"/>
              <w:left w:val="nil"/>
              <w:bottom w:val="single" w:sz="4" w:space="0" w:color="auto"/>
              <w:right w:val="single" w:sz="4" w:space="0" w:color="auto"/>
            </w:tcBorders>
            <w:shd w:val="clear" w:color="000000" w:fill="99CCFF"/>
            <w:noWrap/>
            <w:vAlign w:val="bottom"/>
            <w:hideMark/>
          </w:tcPr>
          <w:p w14:paraId="3398F1C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D80D4E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2A8EFC8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1E3754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 xml:space="preserve">Trať – železničný spodok </w:t>
            </w:r>
          </w:p>
        </w:tc>
        <w:tc>
          <w:tcPr>
            <w:tcW w:w="0" w:type="auto"/>
            <w:tcBorders>
              <w:top w:val="nil"/>
              <w:left w:val="nil"/>
              <w:bottom w:val="single" w:sz="4" w:space="0" w:color="auto"/>
              <w:right w:val="single" w:sz="4" w:space="0" w:color="auto"/>
            </w:tcBorders>
            <w:shd w:val="clear" w:color="auto" w:fill="auto"/>
            <w:noWrap/>
            <w:vAlign w:val="bottom"/>
            <w:hideMark/>
          </w:tcPr>
          <w:p w14:paraId="3E163ED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15 346 004,97</w:t>
            </w:r>
          </w:p>
        </w:tc>
        <w:tc>
          <w:tcPr>
            <w:tcW w:w="0" w:type="auto"/>
            <w:tcBorders>
              <w:top w:val="nil"/>
              <w:left w:val="nil"/>
              <w:bottom w:val="single" w:sz="4" w:space="0" w:color="auto"/>
              <w:right w:val="single" w:sz="4" w:space="0" w:color="auto"/>
            </w:tcBorders>
            <w:shd w:val="clear" w:color="000000" w:fill="99CCFF"/>
            <w:noWrap/>
            <w:vAlign w:val="bottom"/>
            <w:hideMark/>
          </w:tcPr>
          <w:p w14:paraId="7674A9A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6 138 401,99</w:t>
            </w:r>
          </w:p>
        </w:tc>
        <w:tc>
          <w:tcPr>
            <w:tcW w:w="0" w:type="auto"/>
            <w:tcBorders>
              <w:top w:val="nil"/>
              <w:left w:val="nil"/>
              <w:bottom w:val="single" w:sz="4" w:space="0" w:color="auto"/>
              <w:right w:val="single" w:sz="4" w:space="0" w:color="auto"/>
            </w:tcBorders>
            <w:shd w:val="clear" w:color="000000" w:fill="99CCFF"/>
            <w:noWrap/>
            <w:vAlign w:val="bottom"/>
            <w:hideMark/>
          </w:tcPr>
          <w:p w14:paraId="749E0BD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6 138 401,99</w:t>
            </w:r>
          </w:p>
        </w:tc>
        <w:tc>
          <w:tcPr>
            <w:tcW w:w="0" w:type="auto"/>
            <w:tcBorders>
              <w:top w:val="nil"/>
              <w:left w:val="nil"/>
              <w:bottom w:val="single" w:sz="4" w:space="0" w:color="auto"/>
              <w:right w:val="single" w:sz="4" w:space="0" w:color="auto"/>
            </w:tcBorders>
            <w:shd w:val="clear" w:color="000000" w:fill="99CCFF"/>
            <w:noWrap/>
            <w:vAlign w:val="bottom"/>
            <w:hideMark/>
          </w:tcPr>
          <w:p w14:paraId="6E3927B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3 069 200,99</w:t>
            </w:r>
          </w:p>
        </w:tc>
        <w:tc>
          <w:tcPr>
            <w:tcW w:w="0" w:type="auto"/>
            <w:tcBorders>
              <w:top w:val="nil"/>
              <w:left w:val="nil"/>
              <w:bottom w:val="single" w:sz="4" w:space="0" w:color="auto"/>
              <w:right w:val="single" w:sz="4" w:space="0" w:color="auto"/>
            </w:tcBorders>
            <w:shd w:val="clear" w:color="000000" w:fill="99CCFF"/>
            <w:noWrap/>
            <w:vAlign w:val="bottom"/>
            <w:hideMark/>
          </w:tcPr>
          <w:p w14:paraId="21B5BE5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454239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AE627B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683C650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A7AF82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 xml:space="preserve">Trať – železničný zvršok </w:t>
            </w:r>
          </w:p>
        </w:tc>
        <w:tc>
          <w:tcPr>
            <w:tcW w:w="0" w:type="auto"/>
            <w:tcBorders>
              <w:top w:val="nil"/>
              <w:left w:val="nil"/>
              <w:bottom w:val="single" w:sz="4" w:space="0" w:color="auto"/>
              <w:right w:val="single" w:sz="4" w:space="0" w:color="auto"/>
            </w:tcBorders>
            <w:shd w:val="clear" w:color="auto" w:fill="auto"/>
            <w:noWrap/>
            <w:vAlign w:val="bottom"/>
            <w:hideMark/>
          </w:tcPr>
          <w:p w14:paraId="6A8F991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30 597 075,87</w:t>
            </w:r>
          </w:p>
        </w:tc>
        <w:tc>
          <w:tcPr>
            <w:tcW w:w="0" w:type="auto"/>
            <w:tcBorders>
              <w:top w:val="nil"/>
              <w:left w:val="nil"/>
              <w:bottom w:val="single" w:sz="4" w:space="0" w:color="auto"/>
              <w:right w:val="single" w:sz="4" w:space="0" w:color="auto"/>
            </w:tcBorders>
            <w:shd w:val="clear" w:color="000000" w:fill="99CCFF"/>
            <w:noWrap/>
            <w:vAlign w:val="bottom"/>
            <w:hideMark/>
          </w:tcPr>
          <w:p w14:paraId="21F19AF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9 179 122,76</w:t>
            </w:r>
          </w:p>
        </w:tc>
        <w:tc>
          <w:tcPr>
            <w:tcW w:w="0" w:type="auto"/>
            <w:tcBorders>
              <w:top w:val="nil"/>
              <w:left w:val="nil"/>
              <w:bottom w:val="single" w:sz="4" w:space="0" w:color="auto"/>
              <w:right w:val="single" w:sz="4" w:space="0" w:color="auto"/>
            </w:tcBorders>
            <w:shd w:val="clear" w:color="000000" w:fill="99CCFF"/>
            <w:noWrap/>
            <w:vAlign w:val="bottom"/>
            <w:hideMark/>
          </w:tcPr>
          <w:p w14:paraId="4CD1EC3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12 238 830,35</w:t>
            </w:r>
          </w:p>
        </w:tc>
        <w:tc>
          <w:tcPr>
            <w:tcW w:w="0" w:type="auto"/>
            <w:tcBorders>
              <w:top w:val="nil"/>
              <w:left w:val="nil"/>
              <w:bottom w:val="single" w:sz="4" w:space="0" w:color="auto"/>
              <w:right w:val="single" w:sz="4" w:space="0" w:color="auto"/>
            </w:tcBorders>
            <w:shd w:val="clear" w:color="000000" w:fill="99CCFF"/>
            <w:noWrap/>
            <w:vAlign w:val="bottom"/>
            <w:hideMark/>
          </w:tcPr>
          <w:p w14:paraId="2C60AE1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9 179 122,76</w:t>
            </w:r>
          </w:p>
        </w:tc>
        <w:tc>
          <w:tcPr>
            <w:tcW w:w="0" w:type="auto"/>
            <w:tcBorders>
              <w:top w:val="nil"/>
              <w:left w:val="nil"/>
              <w:bottom w:val="single" w:sz="4" w:space="0" w:color="auto"/>
              <w:right w:val="single" w:sz="4" w:space="0" w:color="auto"/>
            </w:tcBorders>
            <w:shd w:val="clear" w:color="000000" w:fill="99CCFF"/>
            <w:noWrap/>
            <w:vAlign w:val="bottom"/>
            <w:hideMark/>
          </w:tcPr>
          <w:p w14:paraId="1403583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F5CD24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6FB0D5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5B6A6D8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FFC98E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Podporné a oporné múry, spevnenie svahu</w:t>
            </w:r>
          </w:p>
        </w:tc>
        <w:tc>
          <w:tcPr>
            <w:tcW w:w="0" w:type="auto"/>
            <w:tcBorders>
              <w:top w:val="nil"/>
              <w:left w:val="nil"/>
              <w:bottom w:val="single" w:sz="4" w:space="0" w:color="auto"/>
              <w:right w:val="single" w:sz="4" w:space="0" w:color="auto"/>
            </w:tcBorders>
            <w:shd w:val="clear" w:color="auto" w:fill="auto"/>
            <w:noWrap/>
            <w:vAlign w:val="bottom"/>
            <w:hideMark/>
          </w:tcPr>
          <w:p w14:paraId="4881D9B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25 716 151,23</w:t>
            </w:r>
          </w:p>
        </w:tc>
        <w:tc>
          <w:tcPr>
            <w:tcW w:w="0" w:type="auto"/>
            <w:tcBorders>
              <w:top w:val="nil"/>
              <w:left w:val="nil"/>
              <w:bottom w:val="single" w:sz="4" w:space="0" w:color="auto"/>
              <w:right w:val="single" w:sz="4" w:space="0" w:color="auto"/>
            </w:tcBorders>
            <w:shd w:val="clear" w:color="000000" w:fill="99CCFF"/>
            <w:noWrap/>
            <w:vAlign w:val="bottom"/>
            <w:hideMark/>
          </w:tcPr>
          <w:p w14:paraId="388908C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13 336 857,37</w:t>
            </w:r>
          </w:p>
        </w:tc>
        <w:tc>
          <w:tcPr>
            <w:tcW w:w="0" w:type="auto"/>
            <w:tcBorders>
              <w:top w:val="nil"/>
              <w:left w:val="nil"/>
              <w:bottom w:val="single" w:sz="4" w:space="0" w:color="auto"/>
              <w:right w:val="single" w:sz="4" w:space="0" w:color="auto"/>
            </w:tcBorders>
            <w:shd w:val="clear" w:color="000000" w:fill="99CCFF"/>
            <w:noWrap/>
            <w:vAlign w:val="bottom"/>
            <w:hideMark/>
          </w:tcPr>
          <w:p w14:paraId="7C22C44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10 286 460,49</w:t>
            </w:r>
          </w:p>
        </w:tc>
        <w:tc>
          <w:tcPr>
            <w:tcW w:w="0" w:type="auto"/>
            <w:tcBorders>
              <w:top w:val="nil"/>
              <w:left w:val="nil"/>
              <w:bottom w:val="single" w:sz="4" w:space="0" w:color="auto"/>
              <w:right w:val="single" w:sz="4" w:space="0" w:color="auto"/>
            </w:tcBorders>
            <w:shd w:val="clear" w:color="000000" w:fill="99CCFF"/>
            <w:noWrap/>
            <w:vAlign w:val="bottom"/>
            <w:hideMark/>
          </w:tcPr>
          <w:p w14:paraId="5CD1FAD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2 092 833,36</w:t>
            </w:r>
          </w:p>
        </w:tc>
        <w:tc>
          <w:tcPr>
            <w:tcW w:w="0" w:type="auto"/>
            <w:tcBorders>
              <w:top w:val="nil"/>
              <w:left w:val="nil"/>
              <w:bottom w:val="single" w:sz="4" w:space="0" w:color="auto"/>
              <w:right w:val="single" w:sz="4" w:space="0" w:color="auto"/>
            </w:tcBorders>
            <w:shd w:val="clear" w:color="000000" w:fill="99CCFF"/>
            <w:noWrap/>
            <w:vAlign w:val="bottom"/>
            <w:hideMark/>
          </w:tcPr>
          <w:p w14:paraId="7E91ED5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F4B028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BAC489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68E74F4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CF89A4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Elektrifikácia – trakčné napájacie stanice, trakčné vedenia</w:t>
            </w:r>
          </w:p>
        </w:tc>
        <w:tc>
          <w:tcPr>
            <w:tcW w:w="0" w:type="auto"/>
            <w:tcBorders>
              <w:top w:val="nil"/>
              <w:left w:val="nil"/>
              <w:bottom w:val="single" w:sz="4" w:space="0" w:color="auto"/>
              <w:right w:val="single" w:sz="4" w:space="0" w:color="auto"/>
            </w:tcBorders>
            <w:shd w:val="clear" w:color="auto" w:fill="auto"/>
            <w:noWrap/>
            <w:vAlign w:val="bottom"/>
            <w:hideMark/>
          </w:tcPr>
          <w:p w14:paraId="08426AA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25 819 673,94</w:t>
            </w:r>
          </w:p>
        </w:tc>
        <w:tc>
          <w:tcPr>
            <w:tcW w:w="0" w:type="auto"/>
            <w:tcBorders>
              <w:top w:val="nil"/>
              <w:left w:val="nil"/>
              <w:bottom w:val="single" w:sz="4" w:space="0" w:color="auto"/>
              <w:right w:val="single" w:sz="4" w:space="0" w:color="auto"/>
            </w:tcBorders>
            <w:shd w:val="clear" w:color="000000" w:fill="99CCFF"/>
            <w:noWrap/>
            <w:vAlign w:val="bottom"/>
            <w:hideMark/>
          </w:tcPr>
          <w:p w14:paraId="77028DF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7 745 902,18</w:t>
            </w:r>
          </w:p>
        </w:tc>
        <w:tc>
          <w:tcPr>
            <w:tcW w:w="0" w:type="auto"/>
            <w:tcBorders>
              <w:top w:val="nil"/>
              <w:left w:val="nil"/>
              <w:bottom w:val="single" w:sz="4" w:space="0" w:color="auto"/>
              <w:right w:val="single" w:sz="4" w:space="0" w:color="auto"/>
            </w:tcBorders>
            <w:shd w:val="clear" w:color="000000" w:fill="99CCFF"/>
            <w:noWrap/>
            <w:vAlign w:val="bottom"/>
            <w:hideMark/>
          </w:tcPr>
          <w:p w14:paraId="380D1BE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10 327 869,58</w:t>
            </w:r>
          </w:p>
        </w:tc>
        <w:tc>
          <w:tcPr>
            <w:tcW w:w="0" w:type="auto"/>
            <w:tcBorders>
              <w:top w:val="nil"/>
              <w:left w:val="nil"/>
              <w:bottom w:val="single" w:sz="4" w:space="0" w:color="auto"/>
              <w:right w:val="single" w:sz="4" w:space="0" w:color="auto"/>
            </w:tcBorders>
            <w:shd w:val="clear" w:color="000000" w:fill="99CCFF"/>
            <w:noWrap/>
            <w:vAlign w:val="bottom"/>
            <w:hideMark/>
          </w:tcPr>
          <w:p w14:paraId="69F3C7A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7 745 902,18</w:t>
            </w:r>
          </w:p>
        </w:tc>
        <w:tc>
          <w:tcPr>
            <w:tcW w:w="0" w:type="auto"/>
            <w:tcBorders>
              <w:top w:val="nil"/>
              <w:left w:val="nil"/>
              <w:bottom w:val="single" w:sz="4" w:space="0" w:color="auto"/>
              <w:right w:val="single" w:sz="4" w:space="0" w:color="auto"/>
            </w:tcBorders>
            <w:shd w:val="clear" w:color="000000" w:fill="99CCFF"/>
            <w:noWrap/>
            <w:vAlign w:val="bottom"/>
            <w:hideMark/>
          </w:tcPr>
          <w:p w14:paraId="48402D7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11DCEA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F8CD57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75DB76C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CD8AD4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Oznamovacie a telekomunikačné zariadenia</w:t>
            </w:r>
          </w:p>
        </w:tc>
        <w:tc>
          <w:tcPr>
            <w:tcW w:w="0" w:type="auto"/>
            <w:tcBorders>
              <w:top w:val="nil"/>
              <w:left w:val="nil"/>
              <w:bottom w:val="single" w:sz="4" w:space="0" w:color="auto"/>
              <w:right w:val="single" w:sz="4" w:space="0" w:color="auto"/>
            </w:tcBorders>
            <w:shd w:val="clear" w:color="auto" w:fill="auto"/>
            <w:noWrap/>
            <w:vAlign w:val="bottom"/>
            <w:hideMark/>
          </w:tcPr>
          <w:p w14:paraId="6F7C8B3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4 979 982,17</w:t>
            </w:r>
          </w:p>
        </w:tc>
        <w:tc>
          <w:tcPr>
            <w:tcW w:w="0" w:type="auto"/>
            <w:tcBorders>
              <w:top w:val="nil"/>
              <w:left w:val="nil"/>
              <w:bottom w:val="single" w:sz="4" w:space="0" w:color="auto"/>
              <w:right w:val="single" w:sz="4" w:space="0" w:color="auto"/>
            </w:tcBorders>
            <w:shd w:val="clear" w:color="000000" w:fill="99CCFF"/>
            <w:noWrap/>
            <w:vAlign w:val="bottom"/>
            <w:hideMark/>
          </w:tcPr>
          <w:p w14:paraId="17F63BB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497 998,22</w:t>
            </w:r>
          </w:p>
        </w:tc>
        <w:tc>
          <w:tcPr>
            <w:tcW w:w="0" w:type="auto"/>
            <w:tcBorders>
              <w:top w:val="nil"/>
              <w:left w:val="nil"/>
              <w:bottom w:val="single" w:sz="4" w:space="0" w:color="auto"/>
              <w:right w:val="single" w:sz="4" w:space="0" w:color="auto"/>
            </w:tcBorders>
            <w:shd w:val="clear" w:color="000000" w:fill="99CCFF"/>
            <w:noWrap/>
            <w:vAlign w:val="bottom"/>
            <w:hideMark/>
          </w:tcPr>
          <w:p w14:paraId="5C5E8B5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995 996,43</w:t>
            </w:r>
          </w:p>
        </w:tc>
        <w:tc>
          <w:tcPr>
            <w:tcW w:w="0" w:type="auto"/>
            <w:tcBorders>
              <w:top w:val="nil"/>
              <w:left w:val="nil"/>
              <w:bottom w:val="single" w:sz="4" w:space="0" w:color="auto"/>
              <w:right w:val="single" w:sz="4" w:space="0" w:color="auto"/>
            </w:tcBorders>
            <w:shd w:val="clear" w:color="000000" w:fill="99CCFF"/>
            <w:noWrap/>
            <w:vAlign w:val="bottom"/>
            <w:hideMark/>
          </w:tcPr>
          <w:p w14:paraId="32136B1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3 485 987,52</w:t>
            </w:r>
          </w:p>
        </w:tc>
        <w:tc>
          <w:tcPr>
            <w:tcW w:w="0" w:type="auto"/>
            <w:tcBorders>
              <w:top w:val="nil"/>
              <w:left w:val="nil"/>
              <w:bottom w:val="single" w:sz="4" w:space="0" w:color="auto"/>
              <w:right w:val="single" w:sz="4" w:space="0" w:color="auto"/>
            </w:tcBorders>
            <w:shd w:val="clear" w:color="000000" w:fill="99CCFF"/>
            <w:noWrap/>
            <w:vAlign w:val="bottom"/>
            <w:hideMark/>
          </w:tcPr>
          <w:p w14:paraId="2E00CBF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F9E994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26C0A7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1465FEF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68F64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Signalizačné a zabezpečovacie zariadenia</w:t>
            </w:r>
          </w:p>
        </w:tc>
        <w:tc>
          <w:tcPr>
            <w:tcW w:w="0" w:type="auto"/>
            <w:tcBorders>
              <w:top w:val="nil"/>
              <w:left w:val="nil"/>
              <w:bottom w:val="single" w:sz="4" w:space="0" w:color="auto"/>
              <w:right w:val="single" w:sz="4" w:space="0" w:color="auto"/>
            </w:tcBorders>
            <w:shd w:val="clear" w:color="auto" w:fill="auto"/>
            <w:noWrap/>
            <w:vAlign w:val="bottom"/>
            <w:hideMark/>
          </w:tcPr>
          <w:p w14:paraId="78BBF18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3 214 773,16</w:t>
            </w:r>
          </w:p>
        </w:tc>
        <w:tc>
          <w:tcPr>
            <w:tcW w:w="0" w:type="auto"/>
            <w:tcBorders>
              <w:top w:val="nil"/>
              <w:left w:val="nil"/>
              <w:bottom w:val="single" w:sz="4" w:space="0" w:color="auto"/>
              <w:right w:val="single" w:sz="4" w:space="0" w:color="auto"/>
            </w:tcBorders>
            <w:shd w:val="clear" w:color="000000" w:fill="99CCFF"/>
            <w:noWrap/>
            <w:vAlign w:val="bottom"/>
            <w:hideMark/>
          </w:tcPr>
          <w:p w14:paraId="5D2EBB9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4E04695"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B00A61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3 214 773,16</w:t>
            </w:r>
          </w:p>
        </w:tc>
        <w:tc>
          <w:tcPr>
            <w:tcW w:w="0" w:type="auto"/>
            <w:tcBorders>
              <w:top w:val="nil"/>
              <w:left w:val="nil"/>
              <w:bottom w:val="single" w:sz="4" w:space="0" w:color="auto"/>
              <w:right w:val="single" w:sz="4" w:space="0" w:color="auto"/>
            </w:tcBorders>
            <w:shd w:val="clear" w:color="000000" w:fill="99CCFF"/>
            <w:noWrap/>
            <w:vAlign w:val="bottom"/>
            <w:hideMark/>
          </w:tcPr>
          <w:p w14:paraId="32F0594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99EF1D5"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1B052D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22E10FA8"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7F3C21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Zariadenia energetiky a elektrotechniky</w:t>
            </w:r>
          </w:p>
        </w:tc>
        <w:tc>
          <w:tcPr>
            <w:tcW w:w="0" w:type="auto"/>
            <w:tcBorders>
              <w:top w:val="nil"/>
              <w:left w:val="nil"/>
              <w:bottom w:val="single" w:sz="4" w:space="0" w:color="auto"/>
              <w:right w:val="single" w:sz="4" w:space="0" w:color="auto"/>
            </w:tcBorders>
            <w:shd w:val="clear" w:color="auto" w:fill="auto"/>
            <w:noWrap/>
            <w:vAlign w:val="bottom"/>
            <w:hideMark/>
          </w:tcPr>
          <w:p w14:paraId="4D6AD80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6EF852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DD3EA8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5D83FB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410214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9D9483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FB3E19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430F400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F22584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 xml:space="preserve">Stroje a zariadenia </w:t>
            </w:r>
          </w:p>
        </w:tc>
        <w:tc>
          <w:tcPr>
            <w:tcW w:w="0" w:type="auto"/>
            <w:tcBorders>
              <w:top w:val="nil"/>
              <w:left w:val="nil"/>
              <w:bottom w:val="single" w:sz="4" w:space="0" w:color="auto"/>
              <w:right w:val="single" w:sz="4" w:space="0" w:color="auto"/>
            </w:tcBorders>
            <w:shd w:val="clear" w:color="auto" w:fill="auto"/>
            <w:noWrap/>
            <w:vAlign w:val="bottom"/>
            <w:hideMark/>
          </w:tcPr>
          <w:p w14:paraId="53A26B9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90790F3"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2507A1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469A17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363765F"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9C0D9F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6771FE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0B6DCC9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B1809FC"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Protihlukové a iné prvky ochrany životného prostredia</w:t>
            </w:r>
          </w:p>
        </w:tc>
        <w:tc>
          <w:tcPr>
            <w:tcW w:w="0" w:type="auto"/>
            <w:tcBorders>
              <w:top w:val="nil"/>
              <w:left w:val="nil"/>
              <w:bottom w:val="single" w:sz="4" w:space="0" w:color="auto"/>
              <w:right w:val="single" w:sz="4" w:space="0" w:color="auto"/>
            </w:tcBorders>
            <w:shd w:val="clear" w:color="auto" w:fill="auto"/>
            <w:noWrap/>
            <w:vAlign w:val="bottom"/>
            <w:hideMark/>
          </w:tcPr>
          <w:p w14:paraId="2443E04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5 841 532,81</w:t>
            </w:r>
          </w:p>
        </w:tc>
        <w:tc>
          <w:tcPr>
            <w:tcW w:w="0" w:type="auto"/>
            <w:tcBorders>
              <w:top w:val="nil"/>
              <w:left w:val="nil"/>
              <w:bottom w:val="single" w:sz="4" w:space="0" w:color="auto"/>
              <w:right w:val="single" w:sz="4" w:space="0" w:color="auto"/>
            </w:tcBorders>
            <w:shd w:val="clear" w:color="000000" w:fill="99CCFF"/>
            <w:noWrap/>
            <w:vAlign w:val="bottom"/>
            <w:hideMark/>
          </w:tcPr>
          <w:p w14:paraId="5B00454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1 752 459,84</w:t>
            </w:r>
          </w:p>
        </w:tc>
        <w:tc>
          <w:tcPr>
            <w:tcW w:w="0" w:type="auto"/>
            <w:tcBorders>
              <w:top w:val="nil"/>
              <w:left w:val="nil"/>
              <w:bottom w:val="single" w:sz="4" w:space="0" w:color="auto"/>
              <w:right w:val="single" w:sz="4" w:space="0" w:color="auto"/>
            </w:tcBorders>
            <w:shd w:val="clear" w:color="000000" w:fill="99CCFF"/>
            <w:noWrap/>
            <w:vAlign w:val="bottom"/>
            <w:hideMark/>
          </w:tcPr>
          <w:p w14:paraId="346DCEAB"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2 336 613,12</w:t>
            </w:r>
          </w:p>
        </w:tc>
        <w:tc>
          <w:tcPr>
            <w:tcW w:w="0" w:type="auto"/>
            <w:tcBorders>
              <w:top w:val="nil"/>
              <w:left w:val="nil"/>
              <w:bottom w:val="single" w:sz="4" w:space="0" w:color="auto"/>
              <w:right w:val="single" w:sz="4" w:space="0" w:color="auto"/>
            </w:tcBorders>
            <w:shd w:val="clear" w:color="000000" w:fill="99CCFF"/>
            <w:noWrap/>
            <w:vAlign w:val="bottom"/>
            <w:hideMark/>
          </w:tcPr>
          <w:p w14:paraId="739E39D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1 752 459,84</w:t>
            </w:r>
          </w:p>
        </w:tc>
        <w:tc>
          <w:tcPr>
            <w:tcW w:w="0" w:type="auto"/>
            <w:tcBorders>
              <w:top w:val="nil"/>
              <w:left w:val="nil"/>
              <w:bottom w:val="single" w:sz="4" w:space="0" w:color="auto"/>
              <w:right w:val="single" w:sz="4" w:space="0" w:color="auto"/>
            </w:tcBorders>
            <w:shd w:val="clear" w:color="000000" w:fill="99CCFF"/>
            <w:noWrap/>
            <w:vAlign w:val="bottom"/>
            <w:hideMark/>
          </w:tcPr>
          <w:p w14:paraId="181E683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18FED5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9916F75"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374DBC0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E4DDA8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Ostatné</w:t>
            </w:r>
          </w:p>
        </w:tc>
        <w:tc>
          <w:tcPr>
            <w:tcW w:w="0" w:type="auto"/>
            <w:tcBorders>
              <w:top w:val="nil"/>
              <w:left w:val="nil"/>
              <w:bottom w:val="single" w:sz="4" w:space="0" w:color="auto"/>
              <w:right w:val="single" w:sz="4" w:space="0" w:color="auto"/>
            </w:tcBorders>
            <w:shd w:val="clear" w:color="auto" w:fill="auto"/>
            <w:noWrap/>
            <w:vAlign w:val="bottom"/>
            <w:hideMark/>
          </w:tcPr>
          <w:p w14:paraId="5BC62112"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AEFA52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6A08FE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8BE7C7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EB9EDB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DE19BC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322561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16A7871D"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C32FBD6"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Vyvolané investície</w:t>
            </w:r>
          </w:p>
        </w:tc>
        <w:tc>
          <w:tcPr>
            <w:tcW w:w="0" w:type="auto"/>
            <w:tcBorders>
              <w:top w:val="nil"/>
              <w:left w:val="nil"/>
              <w:bottom w:val="single" w:sz="4" w:space="0" w:color="auto"/>
              <w:right w:val="single" w:sz="4" w:space="0" w:color="auto"/>
            </w:tcBorders>
            <w:shd w:val="clear" w:color="auto" w:fill="auto"/>
            <w:noWrap/>
            <w:vAlign w:val="bottom"/>
            <w:hideMark/>
          </w:tcPr>
          <w:p w14:paraId="0AF4096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14 560 348,33</w:t>
            </w:r>
          </w:p>
        </w:tc>
        <w:tc>
          <w:tcPr>
            <w:tcW w:w="0" w:type="auto"/>
            <w:tcBorders>
              <w:top w:val="nil"/>
              <w:left w:val="nil"/>
              <w:bottom w:val="single" w:sz="4" w:space="0" w:color="auto"/>
              <w:right w:val="single" w:sz="4" w:space="0" w:color="auto"/>
            </w:tcBorders>
            <w:shd w:val="clear" w:color="000000" w:fill="99CCFF"/>
            <w:noWrap/>
            <w:vAlign w:val="bottom"/>
            <w:hideMark/>
          </w:tcPr>
          <w:p w14:paraId="4F1A556A"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5 824 139,33</w:t>
            </w:r>
          </w:p>
        </w:tc>
        <w:tc>
          <w:tcPr>
            <w:tcW w:w="0" w:type="auto"/>
            <w:tcBorders>
              <w:top w:val="nil"/>
              <w:left w:val="nil"/>
              <w:bottom w:val="single" w:sz="4" w:space="0" w:color="auto"/>
              <w:right w:val="single" w:sz="4" w:space="0" w:color="auto"/>
            </w:tcBorders>
            <w:shd w:val="clear" w:color="000000" w:fill="99CCFF"/>
            <w:noWrap/>
            <w:vAlign w:val="bottom"/>
            <w:hideMark/>
          </w:tcPr>
          <w:p w14:paraId="404BB3E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5 824 139,33</w:t>
            </w:r>
          </w:p>
        </w:tc>
        <w:tc>
          <w:tcPr>
            <w:tcW w:w="0" w:type="auto"/>
            <w:tcBorders>
              <w:top w:val="nil"/>
              <w:left w:val="nil"/>
              <w:bottom w:val="single" w:sz="4" w:space="0" w:color="auto"/>
              <w:right w:val="single" w:sz="4" w:space="0" w:color="auto"/>
            </w:tcBorders>
            <w:shd w:val="clear" w:color="000000" w:fill="99CCFF"/>
            <w:noWrap/>
            <w:vAlign w:val="bottom"/>
            <w:hideMark/>
          </w:tcPr>
          <w:p w14:paraId="33416A14"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2 912 069,67</w:t>
            </w:r>
          </w:p>
        </w:tc>
        <w:tc>
          <w:tcPr>
            <w:tcW w:w="0" w:type="auto"/>
            <w:tcBorders>
              <w:top w:val="nil"/>
              <w:left w:val="nil"/>
              <w:bottom w:val="single" w:sz="4" w:space="0" w:color="auto"/>
              <w:right w:val="single" w:sz="4" w:space="0" w:color="auto"/>
            </w:tcBorders>
            <w:shd w:val="clear" w:color="000000" w:fill="99CCFF"/>
            <w:noWrap/>
            <w:vAlign w:val="bottom"/>
            <w:hideMark/>
          </w:tcPr>
          <w:p w14:paraId="6F8F4DD7"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7AA235E"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051BCD81"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0A0622F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3F70E52"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Dozor</w:t>
            </w:r>
          </w:p>
        </w:tc>
        <w:tc>
          <w:tcPr>
            <w:tcW w:w="0" w:type="auto"/>
            <w:tcBorders>
              <w:top w:val="nil"/>
              <w:left w:val="nil"/>
              <w:bottom w:val="single" w:sz="4" w:space="0" w:color="auto"/>
              <w:right w:val="single" w:sz="4" w:space="0" w:color="auto"/>
            </w:tcBorders>
            <w:shd w:val="clear" w:color="auto" w:fill="auto"/>
            <w:noWrap/>
            <w:vAlign w:val="bottom"/>
            <w:hideMark/>
          </w:tcPr>
          <w:p w14:paraId="27ED2EC4"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4 869 682,85</w:t>
            </w:r>
          </w:p>
        </w:tc>
        <w:tc>
          <w:tcPr>
            <w:tcW w:w="0" w:type="auto"/>
            <w:tcBorders>
              <w:top w:val="nil"/>
              <w:left w:val="nil"/>
              <w:bottom w:val="single" w:sz="4" w:space="0" w:color="auto"/>
              <w:right w:val="single" w:sz="4" w:space="0" w:color="auto"/>
            </w:tcBorders>
            <w:shd w:val="clear" w:color="000000" w:fill="99CCFF"/>
            <w:noWrap/>
            <w:vAlign w:val="bottom"/>
            <w:hideMark/>
          </w:tcPr>
          <w:p w14:paraId="5127D9E9"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1 832 615,14</w:t>
            </w:r>
          </w:p>
        </w:tc>
        <w:tc>
          <w:tcPr>
            <w:tcW w:w="0" w:type="auto"/>
            <w:tcBorders>
              <w:top w:val="nil"/>
              <w:left w:val="nil"/>
              <w:bottom w:val="single" w:sz="4" w:space="0" w:color="auto"/>
              <w:right w:val="single" w:sz="4" w:space="0" w:color="auto"/>
            </w:tcBorders>
            <w:shd w:val="clear" w:color="000000" w:fill="99CCFF"/>
            <w:noWrap/>
            <w:vAlign w:val="bottom"/>
            <w:hideMark/>
          </w:tcPr>
          <w:p w14:paraId="00DFAF24"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1 879 188,08</w:t>
            </w:r>
          </w:p>
        </w:tc>
        <w:tc>
          <w:tcPr>
            <w:tcW w:w="0" w:type="auto"/>
            <w:tcBorders>
              <w:top w:val="nil"/>
              <w:left w:val="nil"/>
              <w:bottom w:val="single" w:sz="4" w:space="0" w:color="auto"/>
              <w:right w:val="single" w:sz="4" w:space="0" w:color="auto"/>
            </w:tcBorders>
            <w:shd w:val="clear" w:color="000000" w:fill="99CCFF"/>
            <w:noWrap/>
            <w:vAlign w:val="bottom"/>
            <w:hideMark/>
          </w:tcPr>
          <w:p w14:paraId="204EB659"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1 157 879,62</w:t>
            </w:r>
          </w:p>
        </w:tc>
        <w:tc>
          <w:tcPr>
            <w:tcW w:w="0" w:type="auto"/>
            <w:tcBorders>
              <w:top w:val="nil"/>
              <w:left w:val="nil"/>
              <w:bottom w:val="single" w:sz="4" w:space="0" w:color="auto"/>
              <w:right w:val="single" w:sz="4" w:space="0" w:color="auto"/>
            </w:tcBorders>
            <w:shd w:val="clear" w:color="000000" w:fill="99CCFF"/>
            <w:noWrap/>
            <w:vAlign w:val="bottom"/>
            <w:hideMark/>
          </w:tcPr>
          <w:p w14:paraId="06B625A4"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4CEB120"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586DDEB8"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395F086D"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878C928"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Iné služby (Technická pomoc, Publicita, Externé riadenie)</w:t>
            </w:r>
          </w:p>
        </w:tc>
        <w:tc>
          <w:tcPr>
            <w:tcW w:w="0" w:type="auto"/>
            <w:tcBorders>
              <w:top w:val="nil"/>
              <w:left w:val="nil"/>
              <w:bottom w:val="single" w:sz="4" w:space="0" w:color="auto"/>
              <w:right w:val="single" w:sz="4" w:space="0" w:color="auto"/>
            </w:tcBorders>
            <w:shd w:val="clear" w:color="auto" w:fill="auto"/>
            <w:noWrap/>
            <w:vAlign w:val="bottom"/>
            <w:hideMark/>
          </w:tcPr>
          <w:p w14:paraId="3CC9D26E"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59AAA11"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97B1B6D"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2D808DA"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4D86E61"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 </w:t>
            </w:r>
          </w:p>
        </w:tc>
        <w:tc>
          <w:tcPr>
            <w:tcW w:w="0" w:type="auto"/>
            <w:tcBorders>
              <w:top w:val="nil"/>
              <w:left w:val="nil"/>
              <w:bottom w:val="single" w:sz="4" w:space="0" w:color="auto"/>
              <w:right w:val="single" w:sz="4" w:space="0" w:color="auto"/>
            </w:tcBorders>
            <w:shd w:val="clear" w:color="000000" w:fill="99CCFF"/>
            <w:noWrap/>
            <w:vAlign w:val="bottom"/>
            <w:hideMark/>
          </w:tcPr>
          <w:p w14:paraId="2E0F819D"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23EC3FF9" w14:textId="77777777" w:rsidR="001A24C3" w:rsidRPr="004A2F26" w:rsidRDefault="001A24C3" w:rsidP="00300963">
            <w:pPr>
              <w:jc w:val="right"/>
              <w:rPr>
                <w:rFonts w:ascii="Arial" w:eastAsia="Times New Roman" w:hAnsi="Arial" w:cs="Arial"/>
                <w:i/>
                <w:iCs/>
                <w:sz w:val="12"/>
                <w:szCs w:val="12"/>
                <w:lang w:eastAsia="sk-SK"/>
              </w:rPr>
            </w:pPr>
            <w:r w:rsidRPr="004A2F26">
              <w:rPr>
                <w:rFonts w:ascii="Arial" w:eastAsia="Times New Roman" w:hAnsi="Arial" w:cs="Arial"/>
                <w:i/>
                <w:iCs/>
                <w:sz w:val="12"/>
                <w:szCs w:val="12"/>
                <w:lang w:eastAsia="sk-SK"/>
              </w:rPr>
              <w:t>0,00</w:t>
            </w:r>
          </w:p>
        </w:tc>
      </w:tr>
      <w:tr w:rsidR="001A24C3" w:rsidRPr="001603FF" w14:paraId="4CE0EB32"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0DD316B1" w14:textId="77777777" w:rsidR="001A24C3" w:rsidRPr="004A2F26" w:rsidRDefault="001A24C3" w:rsidP="00300963">
            <w:pPr>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Celkové investičné výdavky</w:t>
            </w:r>
          </w:p>
        </w:tc>
        <w:tc>
          <w:tcPr>
            <w:tcW w:w="0" w:type="auto"/>
            <w:tcBorders>
              <w:top w:val="nil"/>
              <w:left w:val="nil"/>
              <w:bottom w:val="single" w:sz="4" w:space="0" w:color="auto"/>
              <w:right w:val="single" w:sz="4" w:space="0" w:color="auto"/>
            </w:tcBorders>
            <w:shd w:val="clear" w:color="auto" w:fill="auto"/>
            <w:vAlign w:val="bottom"/>
            <w:hideMark/>
          </w:tcPr>
          <w:p w14:paraId="761A36A6"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179 255 029,36</w:t>
            </w:r>
          </w:p>
        </w:tc>
        <w:tc>
          <w:tcPr>
            <w:tcW w:w="0" w:type="auto"/>
            <w:tcBorders>
              <w:top w:val="nil"/>
              <w:left w:val="nil"/>
              <w:bottom w:val="single" w:sz="4" w:space="0" w:color="auto"/>
              <w:right w:val="single" w:sz="4" w:space="0" w:color="auto"/>
            </w:tcBorders>
            <w:shd w:val="clear" w:color="auto" w:fill="auto"/>
            <w:vAlign w:val="bottom"/>
            <w:hideMark/>
          </w:tcPr>
          <w:p w14:paraId="66AF80E7"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74 982 371,56</w:t>
            </w:r>
          </w:p>
        </w:tc>
        <w:tc>
          <w:tcPr>
            <w:tcW w:w="0" w:type="auto"/>
            <w:tcBorders>
              <w:top w:val="nil"/>
              <w:left w:val="nil"/>
              <w:bottom w:val="single" w:sz="4" w:space="0" w:color="auto"/>
              <w:right w:val="single" w:sz="4" w:space="0" w:color="auto"/>
            </w:tcBorders>
            <w:shd w:val="clear" w:color="auto" w:fill="auto"/>
            <w:vAlign w:val="bottom"/>
            <w:hideMark/>
          </w:tcPr>
          <w:p w14:paraId="75F10ED5"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64 518 790,85</w:t>
            </w:r>
          </w:p>
        </w:tc>
        <w:tc>
          <w:tcPr>
            <w:tcW w:w="0" w:type="auto"/>
            <w:tcBorders>
              <w:top w:val="nil"/>
              <w:left w:val="nil"/>
              <w:bottom w:val="single" w:sz="4" w:space="0" w:color="auto"/>
              <w:right w:val="single" w:sz="4" w:space="0" w:color="auto"/>
            </w:tcBorders>
            <w:shd w:val="clear" w:color="auto" w:fill="auto"/>
            <w:vAlign w:val="bottom"/>
            <w:hideMark/>
          </w:tcPr>
          <w:p w14:paraId="3BD2F751"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39 753 866,95</w:t>
            </w:r>
          </w:p>
        </w:tc>
        <w:tc>
          <w:tcPr>
            <w:tcW w:w="0" w:type="auto"/>
            <w:tcBorders>
              <w:top w:val="nil"/>
              <w:left w:val="nil"/>
              <w:bottom w:val="single" w:sz="4" w:space="0" w:color="auto"/>
              <w:right w:val="single" w:sz="4" w:space="0" w:color="auto"/>
            </w:tcBorders>
            <w:shd w:val="clear" w:color="auto" w:fill="auto"/>
            <w:vAlign w:val="bottom"/>
            <w:hideMark/>
          </w:tcPr>
          <w:p w14:paraId="2766B4AC"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vAlign w:val="bottom"/>
            <w:hideMark/>
          </w:tcPr>
          <w:p w14:paraId="2A2DE096"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vAlign w:val="bottom"/>
            <w:hideMark/>
          </w:tcPr>
          <w:p w14:paraId="3D0D9383"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r>
      <w:tr w:rsidR="001A24C3" w:rsidRPr="001603FF" w14:paraId="23390831"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BABB880"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Rezerva na nepredvídané výdavky</w:t>
            </w:r>
          </w:p>
        </w:tc>
        <w:tc>
          <w:tcPr>
            <w:tcW w:w="0" w:type="auto"/>
            <w:tcBorders>
              <w:top w:val="nil"/>
              <w:left w:val="nil"/>
              <w:bottom w:val="single" w:sz="4" w:space="0" w:color="auto"/>
              <w:right w:val="single" w:sz="4" w:space="0" w:color="auto"/>
            </w:tcBorders>
            <w:shd w:val="clear" w:color="auto" w:fill="auto"/>
            <w:noWrap/>
            <w:vAlign w:val="bottom"/>
            <w:hideMark/>
          </w:tcPr>
          <w:p w14:paraId="35D1F073"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16 719 244,44</w:t>
            </w:r>
          </w:p>
        </w:tc>
        <w:tc>
          <w:tcPr>
            <w:tcW w:w="0" w:type="auto"/>
            <w:tcBorders>
              <w:top w:val="nil"/>
              <w:left w:val="nil"/>
              <w:bottom w:val="single" w:sz="4" w:space="0" w:color="auto"/>
              <w:right w:val="single" w:sz="4" w:space="0" w:color="auto"/>
            </w:tcBorders>
            <w:shd w:val="clear" w:color="000000" w:fill="99CCFF"/>
            <w:noWrap/>
            <w:vAlign w:val="bottom"/>
            <w:hideMark/>
          </w:tcPr>
          <w:p w14:paraId="52023F9F"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6 291 978,66</w:t>
            </w:r>
          </w:p>
        </w:tc>
        <w:tc>
          <w:tcPr>
            <w:tcW w:w="0" w:type="auto"/>
            <w:tcBorders>
              <w:top w:val="nil"/>
              <w:left w:val="nil"/>
              <w:bottom w:val="single" w:sz="4" w:space="0" w:color="auto"/>
              <w:right w:val="single" w:sz="4" w:space="0" w:color="auto"/>
            </w:tcBorders>
            <w:shd w:val="clear" w:color="000000" w:fill="99CCFF"/>
            <w:noWrap/>
            <w:vAlign w:val="bottom"/>
            <w:hideMark/>
          </w:tcPr>
          <w:p w14:paraId="3B4F9A6B"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6 451 879,08</w:t>
            </w:r>
          </w:p>
        </w:tc>
        <w:tc>
          <w:tcPr>
            <w:tcW w:w="0" w:type="auto"/>
            <w:tcBorders>
              <w:top w:val="nil"/>
              <w:left w:val="nil"/>
              <w:bottom w:val="single" w:sz="4" w:space="0" w:color="auto"/>
              <w:right w:val="single" w:sz="4" w:space="0" w:color="auto"/>
            </w:tcBorders>
            <w:shd w:val="clear" w:color="000000" w:fill="99CCFF"/>
            <w:noWrap/>
            <w:vAlign w:val="bottom"/>
            <w:hideMark/>
          </w:tcPr>
          <w:p w14:paraId="77E3C4AC"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3 975 386,69</w:t>
            </w:r>
          </w:p>
        </w:tc>
        <w:tc>
          <w:tcPr>
            <w:tcW w:w="0" w:type="auto"/>
            <w:tcBorders>
              <w:top w:val="nil"/>
              <w:left w:val="nil"/>
              <w:bottom w:val="single" w:sz="4" w:space="0" w:color="auto"/>
              <w:right w:val="single" w:sz="4" w:space="0" w:color="auto"/>
            </w:tcBorders>
            <w:shd w:val="clear" w:color="000000" w:fill="99CCFF"/>
            <w:noWrap/>
            <w:vAlign w:val="bottom"/>
            <w:hideMark/>
          </w:tcPr>
          <w:p w14:paraId="77FCF776"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EAE692C"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440587D6"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r>
      <w:tr w:rsidR="001A24C3" w:rsidRPr="001603FF" w14:paraId="568F375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DFC0568"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Cenové úpravy (valorizácia)</w:t>
            </w:r>
          </w:p>
        </w:tc>
        <w:tc>
          <w:tcPr>
            <w:tcW w:w="0" w:type="auto"/>
            <w:tcBorders>
              <w:top w:val="nil"/>
              <w:left w:val="nil"/>
              <w:bottom w:val="single" w:sz="4" w:space="0" w:color="auto"/>
              <w:right w:val="single" w:sz="4" w:space="0" w:color="auto"/>
            </w:tcBorders>
            <w:shd w:val="clear" w:color="auto" w:fill="auto"/>
            <w:noWrap/>
            <w:vAlign w:val="bottom"/>
            <w:hideMark/>
          </w:tcPr>
          <w:p w14:paraId="28685D2B"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3 843 931,40</w:t>
            </w:r>
          </w:p>
        </w:tc>
        <w:tc>
          <w:tcPr>
            <w:tcW w:w="0" w:type="auto"/>
            <w:tcBorders>
              <w:top w:val="nil"/>
              <w:left w:val="nil"/>
              <w:bottom w:val="single" w:sz="4" w:space="0" w:color="auto"/>
              <w:right w:val="single" w:sz="4" w:space="0" w:color="auto"/>
            </w:tcBorders>
            <w:shd w:val="clear" w:color="000000" w:fill="99CCFF"/>
            <w:noWrap/>
            <w:vAlign w:val="bottom"/>
            <w:hideMark/>
          </w:tcPr>
          <w:p w14:paraId="46CB1429"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1 446 592,54</w:t>
            </w:r>
          </w:p>
        </w:tc>
        <w:tc>
          <w:tcPr>
            <w:tcW w:w="0" w:type="auto"/>
            <w:tcBorders>
              <w:top w:val="nil"/>
              <w:left w:val="nil"/>
              <w:bottom w:val="single" w:sz="4" w:space="0" w:color="auto"/>
              <w:right w:val="single" w:sz="4" w:space="0" w:color="auto"/>
            </w:tcBorders>
            <w:shd w:val="clear" w:color="000000" w:fill="99CCFF"/>
            <w:noWrap/>
            <w:vAlign w:val="bottom"/>
            <w:hideMark/>
          </w:tcPr>
          <w:p w14:paraId="77D1450E"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1 483 355,34</w:t>
            </w:r>
          </w:p>
        </w:tc>
        <w:tc>
          <w:tcPr>
            <w:tcW w:w="0" w:type="auto"/>
            <w:tcBorders>
              <w:top w:val="nil"/>
              <w:left w:val="nil"/>
              <w:bottom w:val="single" w:sz="4" w:space="0" w:color="auto"/>
              <w:right w:val="single" w:sz="4" w:space="0" w:color="auto"/>
            </w:tcBorders>
            <w:shd w:val="clear" w:color="000000" w:fill="99CCFF"/>
            <w:noWrap/>
            <w:vAlign w:val="bottom"/>
            <w:hideMark/>
          </w:tcPr>
          <w:p w14:paraId="325313F6"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913 983,51</w:t>
            </w:r>
          </w:p>
        </w:tc>
        <w:tc>
          <w:tcPr>
            <w:tcW w:w="0" w:type="auto"/>
            <w:tcBorders>
              <w:top w:val="nil"/>
              <w:left w:val="nil"/>
              <w:bottom w:val="single" w:sz="4" w:space="0" w:color="auto"/>
              <w:right w:val="single" w:sz="4" w:space="0" w:color="auto"/>
            </w:tcBorders>
            <w:shd w:val="clear" w:color="000000" w:fill="99CCFF"/>
            <w:noWrap/>
            <w:vAlign w:val="bottom"/>
            <w:hideMark/>
          </w:tcPr>
          <w:p w14:paraId="3831912B"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609AFF6D"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3545EC83"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r>
      <w:tr w:rsidR="001A24C3" w:rsidRPr="001603FF" w14:paraId="4956C8C8" w14:textId="77777777" w:rsidTr="00300963">
        <w:trPr>
          <w:trHeight w:val="225"/>
        </w:trPr>
        <w:tc>
          <w:tcPr>
            <w:tcW w:w="0" w:type="auto"/>
            <w:tcBorders>
              <w:top w:val="nil"/>
              <w:left w:val="single" w:sz="4" w:space="0" w:color="auto"/>
              <w:bottom w:val="single" w:sz="4" w:space="0" w:color="auto"/>
              <w:right w:val="single" w:sz="4" w:space="0" w:color="auto"/>
            </w:tcBorders>
            <w:shd w:val="clear" w:color="auto" w:fill="auto"/>
            <w:vAlign w:val="bottom"/>
            <w:hideMark/>
          </w:tcPr>
          <w:p w14:paraId="4F4B68C3" w14:textId="77777777" w:rsidR="001A24C3" w:rsidRPr="004A2F26" w:rsidRDefault="001A24C3" w:rsidP="00300963">
            <w:pPr>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Celkové investičné výdavky vrátane rezervy a valorizácie</w:t>
            </w:r>
          </w:p>
        </w:tc>
        <w:tc>
          <w:tcPr>
            <w:tcW w:w="0" w:type="auto"/>
            <w:tcBorders>
              <w:top w:val="nil"/>
              <w:left w:val="nil"/>
              <w:bottom w:val="single" w:sz="4" w:space="0" w:color="auto"/>
              <w:right w:val="single" w:sz="4" w:space="0" w:color="auto"/>
            </w:tcBorders>
            <w:shd w:val="clear" w:color="auto" w:fill="auto"/>
            <w:noWrap/>
            <w:vAlign w:val="bottom"/>
            <w:hideMark/>
          </w:tcPr>
          <w:p w14:paraId="1AFEDE5A"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199 818 205,19</w:t>
            </w:r>
          </w:p>
        </w:tc>
        <w:tc>
          <w:tcPr>
            <w:tcW w:w="0" w:type="auto"/>
            <w:tcBorders>
              <w:top w:val="nil"/>
              <w:left w:val="nil"/>
              <w:bottom w:val="single" w:sz="4" w:space="0" w:color="auto"/>
              <w:right w:val="single" w:sz="4" w:space="0" w:color="auto"/>
            </w:tcBorders>
            <w:shd w:val="clear" w:color="auto" w:fill="auto"/>
            <w:noWrap/>
            <w:vAlign w:val="bottom"/>
            <w:hideMark/>
          </w:tcPr>
          <w:p w14:paraId="3EA4F08C"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82 720 942,76</w:t>
            </w:r>
          </w:p>
        </w:tc>
        <w:tc>
          <w:tcPr>
            <w:tcW w:w="0" w:type="auto"/>
            <w:tcBorders>
              <w:top w:val="nil"/>
              <w:left w:val="nil"/>
              <w:bottom w:val="single" w:sz="4" w:space="0" w:color="auto"/>
              <w:right w:val="single" w:sz="4" w:space="0" w:color="auto"/>
            </w:tcBorders>
            <w:shd w:val="clear" w:color="auto" w:fill="auto"/>
            <w:noWrap/>
            <w:vAlign w:val="bottom"/>
            <w:hideMark/>
          </w:tcPr>
          <w:p w14:paraId="58ACFA22"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72 454 025,28</w:t>
            </w:r>
          </w:p>
        </w:tc>
        <w:tc>
          <w:tcPr>
            <w:tcW w:w="0" w:type="auto"/>
            <w:tcBorders>
              <w:top w:val="nil"/>
              <w:left w:val="nil"/>
              <w:bottom w:val="single" w:sz="4" w:space="0" w:color="auto"/>
              <w:right w:val="single" w:sz="4" w:space="0" w:color="auto"/>
            </w:tcBorders>
            <w:shd w:val="clear" w:color="auto" w:fill="auto"/>
            <w:noWrap/>
            <w:vAlign w:val="bottom"/>
            <w:hideMark/>
          </w:tcPr>
          <w:p w14:paraId="7F04CAEE"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44 643 237,15</w:t>
            </w:r>
          </w:p>
        </w:tc>
        <w:tc>
          <w:tcPr>
            <w:tcW w:w="0" w:type="auto"/>
            <w:tcBorders>
              <w:top w:val="nil"/>
              <w:left w:val="nil"/>
              <w:bottom w:val="single" w:sz="4" w:space="0" w:color="auto"/>
              <w:right w:val="single" w:sz="4" w:space="0" w:color="auto"/>
            </w:tcBorders>
            <w:shd w:val="clear" w:color="auto" w:fill="auto"/>
            <w:noWrap/>
            <w:vAlign w:val="bottom"/>
            <w:hideMark/>
          </w:tcPr>
          <w:p w14:paraId="75EA11D5"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FBAFE82"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3C28AE2"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r>
      <w:tr w:rsidR="001A24C3" w:rsidRPr="001603FF" w14:paraId="766AEE7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16181D7" w14:textId="77777777" w:rsidR="001A24C3" w:rsidRPr="004A2F26" w:rsidRDefault="001A24C3" w:rsidP="00300963">
            <w:pPr>
              <w:rPr>
                <w:rFonts w:ascii="Arial" w:eastAsia="Times New Roman" w:hAnsi="Arial" w:cs="Arial"/>
                <w:sz w:val="12"/>
                <w:szCs w:val="12"/>
                <w:lang w:eastAsia="sk-SK"/>
              </w:rPr>
            </w:pPr>
            <w:r w:rsidRPr="004A2F26">
              <w:rPr>
                <w:rFonts w:ascii="Arial" w:eastAsia="Times New Roman" w:hAnsi="Arial" w:cs="Arial"/>
                <w:sz w:val="12"/>
                <w:szCs w:val="12"/>
                <w:lang w:eastAsia="sk-SK"/>
              </w:rPr>
              <w:t>DPH</w:t>
            </w:r>
          </w:p>
        </w:tc>
        <w:tc>
          <w:tcPr>
            <w:tcW w:w="0" w:type="auto"/>
            <w:tcBorders>
              <w:top w:val="nil"/>
              <w:left w:val="nil"/>
              <w:bottom w:val="single" w:sz="4" w:space="0" w:color="auto"/>
              <w:right w:val="single" w:sz="4" w:space="0" w:color="auto"/>
            </w:tcBorders>
            <w:shd w:val="clear" w:color="auto" w:fill="auto"/>
            <w:noWrap/>
            <w:vAlign w:val="bottom"/>
            <w:hideMark/>
          </w:tcPr>
          <w:p w14:paraId="34BEDF23"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39 645 461,04</w:t>
            </w:r>
          </w:p>
        </w:tc>
        <w:tc>
          <w:tcPr>
            <w:tcW w:w="0" w:type="auto"/>
            <w:tcBorders>
              <w:top w:val="nil"/>
              <w:left w:val="nil"/>
              <w:bottom w:val="single" w:sz="4" w:space="0" w:color="auto"/>
              <w:right w:val="single" w:sz="4" w:space="0" w:color="auto"/>
            </w:tcBorders>
            <w:shd w:val="clear" w:color="000000" w:fill="99CCFF"/>
            <w:noWrap/>
            <w:vAlign w:val="bottom"/>
            <w:hideMark/>
          </w:tcPr>
          <w:p w14:paraId="198306E0"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16 226 008,55</w:t>
            </w:r>
          </w:p>
        </w:tc>
        <w:tc>
          <w:tcPr>
            <w:tcW w:w="0" w:type="auto"/>
            <w:tcBorders>
              <w:top w:val="nil"/>
              <w:left w:val="nil"/>
              <w:bottom w:val="single" w:sz="4" w:space="0" w:color="auto"/>
              <w:right w:val="single" w:sz="4" w:space="0" w:color="auto"/>
            </w:tcBorders>
            <w:shd w:val="clear" w:color="000000" w:fill="99CCFF"/>
            <w:noWrap/>
            <w:vAlign w:val="bottom"/>
            <w:hideMark/>
          </w:tcPr>
          <w:p w14:paraId="52AB8BF3"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14 490 805,06</w:t>
            </w:r>
          </w:p>
        </w:tc>
        <w:tc>
          <w:tcPr>
            <w:tcW w:w="0" w:type="auto"/>
            <w:tcBorders>
              <w:top w:val="nil"/>
              <w:left w:val="nil"/>
              <w:bottom w:val="single" w:sz="4" w:space="0" w:color="auto"/>
              <w:right w:val="single" w:sz="4" w:space="0" w:color="auto"/>
            </w:tcBorders>
            <w:shd w:val="clear" w:color="000000" w:fill="99CCFF"/>
            <w:noWrap/>
            <w:vAlign w:val="bottom"/>
            <w:hideMark/>
          </w:tcPr>
          <w:p w14:paraId="1A24DB8C"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8 928 647,43</w:t>
            </w:r>
          </w:p>
        </w:tc>
        <w:tc>
          <w:tcPr>
            <w:tcW w:w="0" w:type="auto"/>
            <w:tcBorders>
              <w:top w:val="nil"/>
              <w:left w:val="nil"/>
              <w:bottom w:val="single" w:sz="4" w:space="0" w:color="auto"/>
              <w:right w:val="single" w:sz="4" w:space="0" w:color="auto"/>
            </w:tcBorders>
            <w:shd w:val="clear" w:color="000000" w:fill="99CCFF"/>
            <w:noWrap/>
            <w:vAlign w:val="bottom"/>
            <w:hideMark/>
          </w:tcPr>
          <w:p w14:paraId="13073D6A"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17CBBDCA"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000000" w:fill="99CCFF"/>
            <w:noWrap/>
            <w:vAlign w:val="bottom"/>
            <w:hideMark/>
          </w:tcPr>
          <w:p w14:paraId="7E3C9D49" w14:textId="77777777" w:rsidR="001A24C3" w:rsidRPr="004A2F26" w:rsidRDefault="001A24C3" w:rsidP="00300963">
            <w:pPr>
              <w:jc w:val="right"/>
              <w:rPr>
                <w:rFonts w:ascii="Arial" w:eastAsia="Times New Roman" w:hAnsi="Arial" w:cs="Arial"/>
                <w:sz w:val="12"/>
                <w:szCs w:val="12"/>
                <w:lang w:eastAsia="sk-SK"/>
              </w:rPr>
            </w:pPr>
            <w:r w:rsidRPr="004A2F26">
              <w:rPr>
                <w:rFonts w:ascii="Arial" w:eastAsia="Times New Roman" w:hAnsi="Arial" w:cs="Arial"/>
                <w:sz w:val="12"/>
                <w:szCs w:val="12"/>
                <w:lang w:eastAsia="sk-SK"/>
              </w:rPr>
              <w:t>0,00</w:t>
            </w:r>
          </w:p>
        </w:tc>
      </w:tr>
      <w:tr w:rsidR="001A24C3" w:rsidRPr="001603FF" w14:paraId="170A9F9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4BD359" w14:textId="77777777" w:rsidR="001A24C3" w:rsidRPr="004A2F26" w:rsidRDefault="001A24C3" w:rsidP="00300963">
            <w:pPr>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Celkové investičné výdavky vrátane DPH</w:t>
            </w:r>
          </w:p>
        </w:tc>
        <w:tc>
          <w:tcPr>
            <w:tcW w:w="0" w:type="auto"/>
            <w:tcBorders>
              <w:top w:val="nil"/>
              <w:left w:val="nil"/>
              <w:bottom w:val="single" w:sz="4" w:space="0" w:color="auto"/>
              <w:right w:val="single" w:sz="4" w:space="0" w:color="auto"/>
            </w:tcBorders>
            <w:shd w:val="clear" w:color="auto" w:fill="auto"/>
            <w:noWrap/>
            <w:vAlign w:val="bottom"/>
            <w:hideMark/>
          </w:tcPr>
          <w:p w14:paraId="1AF8087A"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239 463 666,23</w:t>
            </w:r>
          </w:p>
        </w:tc>
        <w:tc>
          <w:tcPr>
            <w:tcW w:w="0" w:type="auto"/>
            <w:tcBorders>
              <w:top w:val="nil"/>
              <w:left w:val="nil"/>
              <w:bottom w:val="single" w:sz="4" w:space="0" w:color="auto"/>
              <w:right w:val="single" w:sz="4" w:space="0" w:color="auto"/>
            </w:tcBorders>
            <w:shd w:val="clear" w:color="auto" w:fill="auto"/>
            <w:noWrap/>
            <w:vAlign w:val="bottom"/>
            <w:hideMark/>
          </w:tcPr>
          <w:p w14:paraId="3869EFA3"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98 946 951,31</w:t>
            </w:r>
          </w:p>
        </w:tc>
        <w:tc>
          <w:tcPr>
            <w:tcW w:w="0" w:type="auto"/>
            <w:tcBorders>
              <w:top w:val="nil"/>
              <w:left w:val="nil"/>
              <w:bottom w:val="single" w:sz="4" w:space="0" w:color="auto"/>
              <w:right w:val="single" w:sz="4" w:space="0" w:color="auto"/>
            </w:tcBorders>
            <w:shd w:val="clear" w:color="auto" w:fill="auto"/>
            <w:noWrap/>
            <w:vAlign w:val="bottom"/>
            <w:hideMark/>
          </w:tcPr>
          <w:p w14:paraId="531B0659"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86 944 830,33</w:t>
            </w:r>
          </w:p>
        </w:tc>
        <w:tc>
          <w:tcPr>
            <w:tcW w:w="0" w:type="auto"/>
            <w:tcBorders>
              <w:top w:val="nil"/>
              <w:left w:val="nil"/>
              <w:bottom w:val="single" w:sz="4" w:space="0" w:color="auto"/>
              <w:right w:val="single" w:sz="4" w:space="0" w:color="auto"/>
            </w:tcBorders>
            <w:shd w:val="clear" w:color="auto" w:fill="auto"/>
            <w:noWrap/>
            <w:vAlign w:val="bottom"/>
            <w:hideMark/>
          </w:tcPr>
          <w:p w14:paraId="4ECF5EC5"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53 571 884,58</w:t>
            </w:r>
          </w:p>
        </w:tc>
        <w:tc>
          <w:tcPr>
            <w:tcW w:w="0" w:type="auto"/>
            <w:tcBorders>
              <w:top w:val="nil"/>
              <w:left w:val="nil"/>
              <w:bottom w:val="single" w:sz="4" w:space="0" w:color="auto"/>
              <w:right w:val="single" w:sz="4" w:space="0" w:color="auto"/>
            </w:tcBorders>
            <w:shd w:val="clear" w:color="auto" w:fill="auto"/>
            <w:noWrap/>
            <w:vAlign w:val="bottom"/>
            <w:hideMark/>
          </w:tcPr>
          <w:p w14:paraId="04738EA0"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033488B"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A72F415" w14:textId="77777777" w:rsidR="001A24C3" w:rsidRPr="004A2F26" w:rsidRDefault="001A24C3" w:rsidP="00300963">
            <w:pPr>
              <w:jc w:val="right"/>
              <w:rPr>
                <w:rFonts w:ascii="Arial" w:eastAsia="Times New Roman" w:hAnsi="Arial" w:cs="Arial"/>
                <w:b/>
                <w:bCs/>
                <w:sz w:val="12"/>
                <w:szCs w:val="12"/>
                <w:lang w:eastAsia="sk-SK"/>
              </w:rPr>
            </w:pPr>
            <w:r w:rsidRPr="004A2F26">
              <w:rPr>
                <w:rFonts w:ascii="Arial" w:eastAsia="Times New Roman" w:hAnsi="Arial" w:cs="Arial"/>
                <w:b/>
                <w:bCs/>
                <w:sz w:val="12"/>
                <w:szCs w:val="12"/>
                <w:lang w:eastAsia="sk-SK"/>
              </w:rPr>
              <w:t>0,00</w:t>
            </w:r>
          </w:p>
        </w:tc>
      </w:tr>
      <w:tr w:rsidR="001A24C3" w:rsidRPr="001603FF" w14:paraId="4EE1DD8C" w14:textId="77777777" w:rsidTr="00300963">
        <w:trPr>
          <w:trHeight w:val="204"/>
        </w:trPr>
        <w:tc>
          <w:tcPr>
            <w:tcW w:w="0" w:type="auto"/>
            <w:tcBorders>
              <w:top w:val="nil"/>
              <w:left w:val="nil"/>
              <w:bottom w:val="nil"/>
              <w:right w:val="nil"/>
            </w:tcBorders>
            <w:shd w:val="clear" w:color="auto" w:fill="auto"/>
            <w:noWrap/>
            <w:vAlign w:val="bottom"/>
            <w:hideMark/>
          </w:tcPr>
          <w:p w14:paraId="0D988AFE" w14:textId="77777777" w:rsidR="001A24C3" w:rsidRPr="004A2F26" w:rsidRDefault="001A24C3" w:rsidP="00300963">
            <w:pPr>
              <w:jc w:val="right"/>
              <w:rPr>
                <w:rFonts w:ascii="Arial" w:eastAsia="Times New Roman" w:hAnsi="Arial" w:cs="Arial"/>
                <w:b/>
                <w:bCs/>
                <w:sz w:val="12"/>
                <w:szCs w:val="12"/>
                <w:lang w:eastAsia="sk-SK"/>
              </w:rPr>
            </w:pPr>
          </w:p>
        </w:tc>
        <w:tc>
          <w:tcPr>
            <w:tcW w:w="0" w:type="auto"/>
            <w:tcBorders>
              <w:top w:val="nil"/>
              <w:left w:val="nil"/>
              <w:bottom w:val="nil"/>
              <w:right w:val="nil"/>
            </w:tcBorders>
            <w:shd w:val="clear" w:color="auto" w:fill="auto"/>
            <w:noWrap/>
            <w:vAlign w:val="bottom"/>
            <w:hideMark/>
          </w:tcPr>
          <w:p w14:paraId="3018FBC8" w14:textId="77777777" w:rsidR="001A24C3" w:rsidRPr="004A2F26" w:rsidRDefault="001A24C3" w:rsidP="00300963">
            <w:pPr>
              <w:rPr>
                <w:rFonts w:ascii="Times New Roman" w:eastAsia="Times New Roman" w:hAnsi="Times New Roman" w:cs="Times New Roman"/>
                <w:sz w:val="12"/>
                <w:szCs w:val="12"/>
                <w:lang w:eastAsia="sk-SK"/>
              </w:rPr>
            </w:pPr>
          </w:p>
        </w:tc>
        <w:tc>
          <w:tcPr>
            <w:tcW w:w="0" w:type="auto"/>
            <w:tcBorders>
              <w:top w:val="nil"/>
              <w:left w:val="nil"/>
              <w:bottom w:val="nil"/>
              <w:right w:val="nil"/>
            </w:tcBorders>
            <w:shd w:val="clear" w:color="auto" w:fill="auto"/>
            <w:noWrap/>
            <w:vAlign w:val="bottom"/>
            <w:hideMark/>
          </w:tcPr>
          <w:p w14:paraId="497FE266" w14:textId="77777777" w:rsidR="001A24C3" w:rsidRPr="004A2F26" w:rsidRDefault="001A24C3" w:rsidP="00300963">
            <w:pPr>
              <w:rPr>
                <w:rFonts w:ascii="Times New Roman" w:eastAsia="Times New Roman" w:hAnsi="Times New Roman" w:cs="Times New Roman"/>
                <w:sz w:val="12"/>
                <w:szCs w:val="12"/>
                <w:lang w:eastAsia="sk-SK"/>
              </w:rPr>
            </w:pPr>
          </w:p>
        </w:tc>
        <w:tc>
          <w:tcPr>
            <w:tcW w:w="0" w:type="auto"/>
            <w:tcBorders>
              <w:top w:val="nil"/>
              <w:left w:val="nil"/>
              <w:bottom w:val="nil"/>
              <w:right w:val="nil"/>
            </w:tcBorders>
            <w:shd w:val="clear" w:color="auto" w:fill="auto"/>
            <w:noWrap/>
            <w:vAlign w:val="bottom"/>
            <w:hideMark/>
          </w:tcPr>
          <w:p w14:paraId="4A1D4C7A" w14:textId="77777777" w:rsidR="001A24C3" w:rsidRPr="004A2F26" w:rsidRDefault="001A24C3" w:rsidP="00300963">
            <w:pPr>
              <w:rPr>
                <w:rFonts w:ascii="Times New Roman" w:eastAsia="Times New Roman" w:hAnsi="Times New Roman" w:cs="Times New Roman"/>
                <w:sz w:val="12"/>
                <w:szCs w:val="12"/>
                <w:lang w:eastAsia="sk-SK"/>
              </w:rPr>
            </w:pPr>
          </w:p>
        </w:tc>
        <w:tc>
          <w:tcPr>
            <w:tcW w:w="0" w:type="auto"/>
            <w:tcBorders>
              <w:top w:val="nil"/>
              <w:left w:val="nil"/>
              <w:bottom w:val="nil"/>
              <w:right w:val="nil"/>
            </w:tcBorders>
            <w:shd w:val="clear" w:color="auto" w:fill="auto"/>
            <w:noWrap/>
            <w:vAlign w:val="bottom"/>
            <w:hideMark/>
          </w:tcPr>
          <w:p w14:paraId="610BD3F6" w14:textId="77777777" w:rsidR="001A24C3" w:rsidRPr="004A2F26" w:rsidRDefault="001A24C3" w:rsidP="00300963">
            <w:pPr>
              <w:rPr>
                <w:rFonts w:ascii="Times New Roman" w:eastAsia="Times New Roman" w:hAnsi="Times New Roman" w:cs="Times New Roman"/>
                <w:sz w:val="12"/>
                <w:szCs w:val="12"/>
                <w:lang w:eastAsia="sk-SK"/>
              </w:rPr>
            </w:pPr>
          </w:p>
        </w:tc>
        <w:tc>
          <w:tcPr>
            <w:tcW w:w="0" w:type="auto"/>
            <w:tcBorders>
              <w:top w:val="nil"/>
              <w:left w:val="nil"/>
              <w:bottom w:val="nil"/>
              <w:right w:val="nil"/>
            </w:tcBorders>
            <w:shd w:val="clear" w:color="auto" w:fill="auto"/>
            <w:noWrap/>
            <w:vAlign w:val="bottom"/>
            <w:hideMark/>
          </w:tcPr>
          <w:p w14:paraId="1DCF76EF" w14:textId="77777777" w:rsidR="001A24C3" w:rsidRPr="004A2F26" w:rsidRDefault="001A24C3" w:rsidP="00300963">
            <w:pPr>
              <w:rPr>
                <w:rFonts w:ascii="Times New Roman" w:eastAsia="Times New Roman" w:hAnsi="Times New Roman" w:cs="Times New Roman"/>
                <w:sz w:val="12"/>
                <w:szCs w:val="12"/>
                <w:lang w:eastAsia="sk-SK"/>
              </w:rPr>
            </w:pPr>
          </w:p>
        </w:tc>
        <w:tc>
          <w:tcPr>
            <w:tcW w:w="0" w:type="auto"/>
            <w:tcBorders>
              <w:top w:val="nil"/>
              <w:left w:val="nil"/>
              <w:bottom w:val="nil"/>
              <w:right w:val="nil"/>
            </w:tcBorders>
            <w:shd w:val="clear" w:color="auto" w:fill="auto"/>
            <w:noWrap/>
            <w:vAlign w:val="bottom"/>
            <w:hideMark/>
          </w:tcPr>
          <w:p w14:paraId="3B127E40" w14:textId="77777777" w:rsidR="001A24C3" w:rsidRPr="004A2F26" w:rsidRDefault="001A24C3" w:rsidP="00300963">
            <w:pPr>
              <w:rPr>
                <w:rFonts w:ascii="Times New Roman" w:eastAsia="Times New Roman" w:hAnsi="Times New Roman" w:cs="Times New Roman"/>
                <w:sz w:val="12"/>
                <w:szCs w:val="12"/>
                <w:lang w:eastAsia="sk-SK"/>
              </w:rPr>
            </w:pPr>
          </w:p>
        </w:tc>
        <w:tc>
          <w:tcPr>
            <w:tcW w:w="0" w:type="auto"/>
            <w:tcBorders>
              <w:top w:val="nil"/>
              <w:left w:val="nil"/>
              <w:bottom w:val="nil"/>
              <w:right w:val="nil"/>
            </w:tcBorders>
            <w:shd w:val="clear" w:color="auto" w:fill="auto"/>
            <w:noWrap/>
            <w:vAlign w:val="bottom"/>
            <w:hideMark/>
          </w:tcPr>
          <w:p w14:paraId="4F822568" w14:textId="77777777" w:rsidR="001A24C3" w:rsidRPr="004A2F26" w:rsidRDefault="001A24C3" w:rsidP="00300963">
            <w:pPr>
              <w:rPr>
                <w:rFonts w:ascii="Times New Roman" w:eastAsia="Times New Roman" w:hAnsi="Times New Roman" w:cs="Times New Roman"/>
                <w:sz w:val="12"/>
                <w:szCs w:val="12"/>
                <w:lang w:eastAsia="sk-SK"/>
              </w:rPr>
            </w:pPr>
          </w:p>
        </w:tc>
      </w:tr>
      <w:tr w:rsidR="001A24C3" w:rsidRPr="001603FF" w14:paraId="16A8AAD3" w14:textId="77777777" w:rsidTr="00300963">
        <w:trPr>
          <w:trHeight w:val="204"/>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FD2ABC" w14:textId="77777777" w:rsidR="001A24C3" w:rsidRPr="004A2F26" w:rsidRDefault="001A24C3" w:rsidP="00300963">
            <w:pPr>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Oprávnené investičné výdavky</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14:paraId="105D5733"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192 286 004,19</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67E6FE64"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75 188 741,76</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23BA2B61"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72 454 025,28</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381EF50A"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44 643 237,15</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16AB6171"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47C5F99A"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c>
          <w:tcPr>
            <w:tcW w:w="0" w:type="auto"/>
            <w:tcBorders>
              <w:top w:val="single" w:sz="4" w:space="0" w:color="auto"/>
              <w:left w:val="nil"/>
              <w:bottom w:val="single" w:sz="4" w:space="0" w:color="auto"/>
              <w:right w:val="single" w:sz="4" w:space="0" w:color="auto"/>
            </w:tcBorders>
            <w:shd w:val="clear" w:color="000000" w:fill="99CCFF"/>
            <w:noWrap/>
            <w:vAlign w:val="bottom"/>
            <w:hideMark/>
          </w:tcPr>
          <w:p w14:paraId="110562B6"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r>
      <w:tr w:rsidR="001A24C3" w:rsidRPr="001603FF" w14:paraId="23C2414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FAE17CC" w14:textId="77777777" w:rsidR="001A24C3" w:rsidRPr="004A2F26" w:rsidRDefault="001A24C3" w:rsidP="00300963">
            <w:pPr>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Oprávnené investičné výdavky bez DPH, rezervy a valorizácie</w:t>
            </w:r>
          </w:p>
        </w:tc>
        <w:tc>
          <w:tcPr>
            <w:tcW w:w="0" w:type="auto"/>
            <w:tcBorders>
              <w:top w:val="nil"/>
              <w:left w:val="nil"/>
              <w:bottom w:val="single" w:sz="4" w:space="0" w:color="auto"/>
              <w:right w:val="single" w:sz="4" w:space="0" w:color="auto"/>
            </w:tcBorders>
            <w:shd w:val="clear" w:color="auto" w:fill="auto"/>
            <w:noWrap/>
            <w:vAlign w:val="bottom"/>
            <w:hideMark/>
          </w:tcPr>
          <w:p w14:paraId="34D3E153"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171 722 828,36</w:t>
            </w:r>
          </w:p>
        </w:tc>
        <w:tc>
          <w:tcPr>
            <w:tcW w:w="0" w:type="auto"/>
            <w:tcBorders>
              <w:top w:val="nil"/>
              <w:left w:val="nil"/>
              <w:bottom w:val="single" w:sz="4" w:space="0" w:color="auto"/>
              <w:right w:val="single" w:sz="4" w:space="0" w:color="auto"/>
            </w:tcBorders>
            <w:shd w:val="clear" w:color="auto" w:fill="auto"/>
            <w:noWrap/>
            <w:vAlign w:val="bottom"/>
            <w:hideMark/>
          </w:tcPr>
          <w:p w14:paraId="3F77FC6D"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67 450 170,56</w:t>
            </w:r>
          </w:p>
        </w:tc>
        <w:tc>
          <w:tcPr>
            <w:tcW w:w="0" w:type="auto"/>
            <w:tcBorders>
              <w:top w:val="nil"/>
              <w:left w:val="nil"/>
              <w:bottom w:val="single" w:sz="4" w:space="0" w:color="auto"/>
              <w:right w:val="single" w:sz="4" w:space="0" w:color="auto"/>
            </w:tcBorders>
            <w:shd w:val="clear" w:color="auto" w:fill="auto"/>
            <w:noWrap/>
            <w:vAlign w:val="bottom"/>
            <w:hideMark/>
          </w:tcPr>
          <w:p w14:paraId="791BC22D"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64 518 790,85</w:t>
            </w:r>
          </w:p>
        </w:tc>
        <w:tc>
          <w:tcPr>
            <w:tcW w:w="0" w:type="auto"/>
            <w:tcBorders>
              <w:top w:val="nil"/>
              <w:left w:val="nil"/>
              <w:bottom w:val="single" w:sz="4" w:space="0" w:color="auto"/>
              <w:right w:val="single" w:sz="4" w:space="0" w:color="auto"/>
            </w:tcBorders>
            <w:shd w:val="clear" w:color="auto" w:fill="auto"/>
            <w:noWrap/>
            <w:vAlign w:val="bottom"/>
            <w:hideMark/>
          </w:tcPr>
          <w:p w14:paraId="38F53DB9"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39 753 866,95</w:t>
            </w:r>
          </w:p>
        </w:tc>
        <w:tc>
          <w:tcPr>
            <w:tcW w:w="0" w:type="auto"/>
            <w:tcBorders>
              <w:top w:val="nil"/>
              <w:left w:val="nil"/>
              <w:bottom w:val="single" w:sz="4" w:space="0" w:color="auto"/>
              <w:right w:val="single" w:sz="4" w:space="0" w:color="auto"/>
            </w:tcBorders>
            <w:shd w:val="clear" w:color="auto" w:fill="auto"/>
            <w:noWrap/>
            <w:vAlign w:val="bottom"/>
            <w:hideMark/>
          </w:tcPr>
          <w:p w14:paraId="334DA1F9"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44B9709"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2EE1C59"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r>
      <w:tr w:rsidR="001A24C3" w:rsidRPr="001603FF" w14:paraId="1DDD880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E4EE415" w14:textId="77777777" w:rsidR="001A24C3" w:rsidRPr="004A2F26" w:rsidRDefault="001A24C3" w:rsidP="00300963">
            <w:pPr>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Neoprávnené investičné výdavky</w:t>
            </w:r>
          </w:p>
        </w:tc>
        <w:tc>
          <w:tcPr>
            <w:tcW w:w="0" w:type="auto"/>
            <w:tcBorders>
              <w:top w:val="nil"/>
              <w:left w:val="nil"/>
              <w:bottom w:val="single" w:sz="4" w:space="0" w:color="auto"/>
              <w:right w:val="single" w:sz="4" w:space="0" w:color="auto"/>
            </w:tcBorders>
            <w:shd w:val="clear" w:color="auto" w:fill="auto"/>
            <w:noWrap/>
            <w:vAlign w:val="bottom"/>
            <w:hideMark/>
          </w:tcPr>
          <w:p w14:paraId="6390E8AC"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47 177 662,04</w:t>
            </w:r>
          </w:p>
        </w:tc>
        <w:tc>
          <w:tcPr>
            <w:tcW w:w="0" w:type="auto"/>
            <w:tcBorders>
              <w:top w:val="nil"/>
              <w:left w:val="nil"/>
              <w:bottom w:val="single" w:sz="4" w:space="0" w:color="auto"/>
              <w:right w:val="single" w:sz="4" w:space="0" w:color="auto"/>
            </w:tcBorders>
            <w:shd w:val="clear" w:color="auto" w:fill="auto"/>
            <w:noWrap/>
            <w:vAlign w:val="bottom"/>
            <w:hideMark/>
          </w:tcPr>
          <w:p w14:paraId="493AEFD1"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23 758 209,55</w:t>
            </w:r>
          </w:p>
        </w:tc>
        <w:tc>
          <w:tcPr>
            <w:tcW w:w="0" w:type="auto"/>
            <w:tcBorders>
              <w:top w:val="nil"/>
              <w:left w:val="nil"/>
              <w:bottom w:val="single" w:sz="4" w:space="0" w:color="auto"/>
              <w:right w:val="single" w:sz="4" w:space="0" w:color="auto"/>
            </w:tcBorders>
            <w:shd w:val="clear" w:color="auto" w:fill="auto"/>
            <w:noWrap/>
            <w:vAlign w:val="bottom"/>
            <w:hideMark/>
          </w:tcPr>
          <w:p w14:paraId="750EFCE4"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14 490 805,06</w:t>
            </w:r>
          </w:p>
        </w:tc>
        <w:tc>
          <w:tcPr>
            <w:tcW w:w="0" w:type="auto"/>
            <w:tcBorders>
              <w:top w:val="nil"/>
              <w:left w:val="nil"/>
              <w:bottom w:val="single" w:sz="4" w:space="0" w:color="auto"/>
              <w:right w:val="single" w:sz="4" w:space="0" w:color="auto"/>
            </w:tcBorders>
            <w:shd w:val="clear" w:color="auto" w:fill="auto"/>
            <w:noWrap/>
            <w:vAlign w:val="bottom"/>
            <w:hideMark/>
          </w:tcPr>
          <w:p w14:paraId="5B089A1B"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8 928 647,43</w:t>
            </w:r>
          </w:p>
        </w:tc>
        <w:tc>
          <w:tcPr>
            <w:tcW w:w="0" w:type="auto"/>
            <w:tcBorders>
              <w:top w:val="nil"/>
              <w:left w:val="nil"/>
              <w:bottom w:val="single" w:sz="4" w:space="0" w:color="auto"/>
              <w:right w:val="single" w:sz="4" w:space="0" w:color="auto"/>
            </w:tcBorders>
            <w:shd w:val="clear" w:color="auto" w:fill="auto"/>
            <w:noWrap/>
            <w:vAlign w:val="bottom"/>
            <w:hideMark/>
          </w:tcPr>
          <w:p w14:paraId="740CF192"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F9C603B"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D248A62" w14:textId="77777777" w:rsidR="001A24C3" w:rsidRPr="004A2F26" w:rsidRDefault="001A24C3" w:rsidP="00300963">
            <w:pPr>
              <w:jc w:val="right"/>
              <w:rPr>
                <w:rFonts w:ascii="Arial" w:eastAsia="Times New Roman" w:hAnsi="Arial" w:cs="Arial"/>
                <w:color w:val="1F497D"/>
                <w:sz w:val="12"/>
                <w:szCs w:val="12"/>
                <w:lang w:eastAsia="sk-SK"/>
              </w:rPr>
            </w:pPr>
            <w:r w:rsidRPr="004A2F26">
              <w:rPr>
                <w:rFonts w:ascii="Arial" w:eastAsia="Times New Roman" w:hAnsi="Arial" w:cs="Arial"/>
                <w:color w:val="1F497D"/>
                <w:sz w:val="12"/>
                <w:szCs w:val="12"/>
                <w:lang w:eastAsia="sk-SK"/>
              </w:rPr>
              <w:t>0,00</w:t>
            </w:r>
          </w:p>
        </w:tc>
      </w:tr>
    </w:tbl>
    <w:p w14:paraId="56B73CE5" w14:textId="77777777" w:rsidR="001A24C3" w:rsidRDefault="001A24C3" w:rsidP="001A24C3"/>
    <w:p w14:paraId="4EA7EF50" w14:textId="24E30AFE" w:rsidR="001A24C3" w:rsidRDefault="001A24C3" w:rsidP="00D83A6C">
      <w:pPr>
        <w:pStyle w:val="Popis"/>
        <w:keepNext/>
        <w:spacing w:before="240"/>
        <w:jc w:val="both"/>
      </w:pPr>
      <w:bookmarkStart w:id="275" w:name="_Toc83677913"/>
      <w:r>
        <w:lastRenderedPageBreak/>
        <w:t xml:space="preserve">Tabuľka </w:t>
      </w:r>
      <w:r w:rsidR="00DA0B84">
        <w:rPr>
          <w:noProof/>
        </w:rPr>
        <w:t>42</w:t>
      </w:r>
      <w:r>
        <w:tab/>
      </w:r>
      <w:r w:rsidRPr="003E01F6">
        <w:t>Prevádzkové náklady bez projektu</w:t>
      </w:r>
      <w:bookmarkEnd w:id="275"/>
    </w:p>
    <w:tbl>
      <w:tblPr>
        <w:tblW w:w="5420" w:type="dxa"/>
        <w:tblCellMar>
          <w:left w:w="70" w:type="dxa"/>
          <w:right w:w="70" w:type="dxa"/>
        </w:tblCellMar>
        <w:tblLook w:val="04A0" w:firstRow="1" w:lastRow="0" w:firstColumn="1" w:lastColumn="0" w:noHBand="0" w:noVBand="1"/>
      </w:tblPr>
      <w:tblGrid>
        <w:gridCol w:w="4060"/>
        <w:gridCol w:w="1360"/>
      </w:tblGrid>
      <w:tr w:rsidR="001A24C3" w:rsidRPr="001603FF" w14:paraId="405709DF"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B94ACE7"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3.1 Prevádzkové výdavky</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31B9CF6B"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 </w:t>
            </w:r>
          </w:p>
        </w:tc>
      </w:tr>
      <w:tr w:rsidR="001A24C3" w:rsidRPr="001603FF" w14:paraId="04BF581F"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D9D9D9"/>
            <w:noWrap/>
            <w:vAlign w:val="bottom"/>
            <w:hideMark/>
          </w:tcPr>
          <w:p w14:paraId="66228D38"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BEZ PROJEKTU</w:t>
            </w:r>
          </w:p>
        </w:tc>
        <w:tc>
          <w:tcPr>
            <w:tcW w:w="1360" w:type="dxa"/>
            <w:tcBorders>
              <w:top w:val="nil"/>
              <w:left w:val="nil"/>
              <w:bottom w:val="single" w:sz="4" w:space="0" w:color="auto"/>
              <w:right w:val="single" w:sz="4" w:space="0" w:color="auto"/>
            </w:tcBorders>
            <w:shd w:val="clear" w:color="000000" w:fill="D9D9D9"/>
            <w:noWrap/>
            <w:vAlign w:val="bottom"/>
            <w:hideMark/>
          </w:tcPr>
          <w:p w14:paraId="56909C0C"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Celkom</w:t>
            </w:r>
          </w:p>
        </w:tc>
      </w:tr>
      <w:tr w:rsidR="001A24C3" w:rsidRPr="001603FF" w14:paraId="0EB76E9E"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BA455FC"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Prevádzkové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2A836B48"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104 370 119,10</w:t>
            </w:r>
          </w:p>
        </w:tc>
      </w:tr>
      <w:tr w:rsidR="001A24C3" w:rsidRPr="001603FF" w14:paraId="6931CB6D"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E1B657D"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Výmeny</w:t>
            </w:r>
          </w:p>
        </w:tc>
        <w:tc>
          <w:tcPr>
            <w:tcW w:w="1360" w:type="dxa"/>
            <w:tcBorders>
              <w:top w:val="nil"/>
              <w:left w:val="nil"/>
              <w:bottom w:val="single" w:sz="4" w:space="0" w:color="auto"/>
              <w:right w:val="single" w:sz="4" w:space="0" w:color="auto"/>
            </w:tcBorders>
            <w:shd w:val="clear" w:color="auto" w:fill="auto"/>
            <w:noWrap/>
            <w:vAlign w:val="bottom"/>
            <w:hideMark/>
          </w:tcPr>
          <w:p w14:paraId="6C1127D3"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91 236 411,74</w:t>
            </w:r>
          </w:p>
        </w:tc>
      </w:tr>
      <w:tr w:rsidR="001A24C3" w:rsidRPr="001603FF" w14:paraId="329CD923"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6560584"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prevádzkové výdavky na údržbu</w:t>
            </w:r>
          </w:p>
        </w:tc>
        <w:tc>
          <w:tcPr>
            <w:tcW w:w="1360" w:type="dxa"/>
            <w:tcBorders>
              <w:top w:val="nil"/>
              <w:left w:val="nil"/>
              <w:bottom w:val="single" w:sz="4" w:space="0" w:color="auto"/>
              <w:right w:val="single" w:sz="4" w:space="0" w:color="auto"/>
            </w:tcBorders>
            <w:shd w:val="clear" w:color="auto" w:fill="auto"/>
            <w:noWrap/>
            <w:vAlign w:val="bottom"/>
            <w:hideMark/>
          </w:tcPr>
          <w:p w14:paraId="1D1E6888"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195 606 530,84</w:t>
            </w:r>
          </w:p>
        </w:tc>
      </w:tr>
      <w:tr w:rsidR="001A24C3" w:rsidRPr="001603FF" w14:paraId="612C71E0"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642E23D"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Iné špecifické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0EEE25CA"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0,00</w:t>
            </w:r>
          </w:p>
        </w:tc>
      </w:tr>
      <w:tr w:rsidR="001A24C3" w:rsidRPr="001603FF" w14:paraId="5FF8B298"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011980C3"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iné špecifické prevádzkové výdavky</w:t>
            </w:r>
          </w:p>
        </w:tc>
        <w:tc>
          <w:tcPr>
            <w:tcW w:w="1360" w:type="dxa"/>
            <w:tcBorders>
              <w:top w:val="nil"/>
              <w:left w:val="nil"/>
              <w:bottom w:val="double" w:sz="6" w:space="0" w:color="auto"/>
              <w:right w:val="single" w:sz="4" w:space="0" w:color="auto"/>
            </w:tcBorders>
            <w:shd w:val="clear" w:color="auto" w:fill="auto"/>
            <w:noWrap/>
            <w:vAlign w:val="bottom"/>
            <w:hideMark/>
          </w:tcPr>
          <w:p w14:paraId="4A6D58E9"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0,00</w:t>
            </w:r>
          </w:p>
        </w:tc>
      </w:tr>
      <w:tr w:rsidR="001A24C3" w:rsidRPr="001603FF" w14:paraId="6839B887"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2E84F40"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prevádzkové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053548E2"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195 606 530,84</w:t>
            </w:r>
          </w:p>
        </w:tc>
      </w:tr>
    </w:tbl>
    <w:p w14:paraId="0968F640" w14:textId="77777777" w:rsidR="001A24C3" w:rsidRPr="007C6BD1" w:rsidRDefault="001A24C3" w:rsidP="001A24C3"/>
    <w:p w14:paraId="12564FB9" w14:textId="77777777" w:rsidR="00DA0B84" w:rsidRDefault="00DA0B84" w:rsidP="00D83A6C">
      <w:pPr>
        <w:pStyle w:val="Popis"/>
        <w:keepNext/>
        <w:spacing w:before="240"/>
        <w:jc w:val="both"/>
      </w:pPr>
      <w:bookmarkStart w:id="276" w:name="_Toc83677914"/>
    </w:p>
    <w:p w14:paraId="1ABBBB9C" w14:textId="39114FED" w:rsidR="001A24C3" w:rsidRDefault="001A24C3" w:rsidP="00D83A6C">
      <w:pPr>
        <w:pStyle w:val="Popis"/>
        <w:keepNext/>
        <w:spacing w:before="240"/>
        <w:jc w:val="both"/>
      </w:pPr>
      <w:r>
        <w:t xml:space="preserve">Tabuľka </w:t>
      </w:r>
      <w:r w:rsidR="00DA0B84">
        <w:rPr>
          <w:noProof/>
        </w:rPr>
        <w:t>43</w:t>
      </w:r>
      <w:r>
        <w:tab/>
      </w:r>
      <w:r w:rsidRPr="003E01F6">
        <w:t>Prevádzkové náklady s</w:t>
      </w:r>
      <w:r>
        <w:t> </w:t>
      </w:r>
      <w:r w:rsidRPr="003E01F6">
        <w:t>projektom</w:t>
      </w:r>
      <w:bookmarkEnd w:id="276"/>
    </w:p>
    <w:tbl>
      <w:tblPr>
        <w:tblW w:w="5420" w:type="dxa"/>
        <w:tblInd w:w="-5" w:type="dxa"/>
        <w:tblCellMar>
          <w:left w:w="70" w:type="dxa"/>
          <w:right w:w="70" w:type="dxa"/>
        </w:tblCellMar>
        <w:tblLook w:val="04A0" w:firstRow="1" w:lastRow="0" w:firstColumn="1" w:lastColumn="0" w:noHBand="0" w:noVBand="1"/>
      </w:tblPr>
      <w:tblGrid>
        <w:gridCol w:w="4060"/>
        <w:gridCol w:w="1360"/>
      </w:tblGrid>
      <w:tr w:rsidR="001A24C3" w:rsidRPr="001603FF" w14:paraId="0015CA56"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1918A7"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3.2 Prevádzkové výdavky</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70D3955B"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 </w:t>
            </w:r>
          </w:p>
        </w:tc>
      </w:tr>
      <w:tr w:rsidR="001A24C3" w:rsidRPr="001603FF" w14:paraId="4A4CD6F8"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D9D9D9"/>
            <w:noWrap/>
            <w:vAlign w:val="bottom"/>
            <w:hideMark/>
          </w:tcPr>
          <w:p w14:paraId="5EFFE589"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S PROJEKTOM</w:t>
            </w:r>
          </w:p>
        </w:tc>
        <w:tc>
          <w:tcPr>
            <w:tcW w:w="1360" w:type="dxa"/>
            <w:tcBorders>
              <w:top w:val="nil"/>
              <w:left w:val="nil"/>
              <w:bottom w:val="single" w:sz="4" w:space="0" w:color="auto"/>
              <w:right w:val="single" w:sz="4" w:space="0" w:color="auto"/>
            </w:tcBorders>
            <w:shd w:val="clear" w:color="000000" w:fill="D9D9D9"/>
            <w:noWrap/>
            <w:vAlign w:val="bottom"/>
            <w:hideMark/>
          </w:tcPr>
          <w:p w14:paraId="1A159DA1"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Celkom</w:t>
            </w:r>
          </w:p>
        </w:tc>
      </w:tr>
      <w:tr w:rsidR="001A24C3" w:rsidRPr="001603FF" w14:paraId="020A7435"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0DFCBC1"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Prevádzkové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24984E8E"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104 370 119,10</w:t>
            </w:r>
          </w:p>
        </w:tc>
      </w:tr>
      <w:tr w:rsidR="001A24C3" w:rsidRPr="001603FF" w14:paraId="29ECD532"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618D354"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Výmeny</w:t>
            </w:r>
          </w:p>
        </w:tc>
        <w:tc>
          <w:tcPr>
            <w:tcW w:w="1360" w:type="dxa"/>
            <w:tcBorders>
              <w:top w:val="nil"/>
              <w:left w:val="nil"/>
              <w:bottom w:val="single" w:sz="4" w:space="0" w:color="auto"/>
              <w:right w:val="single" w:sz="4" w:space="0" w:color="auto"/>
            </w:tcBorders>
            <w:shd w:val="clear" w:color="auto" w:fill="auto"/>
            <w:noWrap/>
            <w:vAlign w:val="bottom"/>
            <w:hideMark/>
          </w:tcPr>
          <w:p w14:paraId="61703D4E"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29 286 408,87</w:t>
            </w:r>
          </w:p>
        </w:tc>
      </w:tr>
      <w:tr w:rsidR="001A24C3" w:rsidRPr="001603FF" w14:paraId="37351F9C"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DBB9C4D"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prevádzkové výdavky na údržbu</w:t>
            </w:r>
          </w:p>
        </w:tc>
        <w:tc>
          <w:tcPr>
            <w:tcW w:w="1360" w:type="dxa"/>
            <w:tcBorders>
              <w:top w:val="nil"/>
              <w:left w:val="nil"/>
              <w:bottom w:val="single" w:sz="4" w:space="0" w:color="auto"/>
              <w:right w:val="single" w:sz="4" w:space="0" w:color="auto"/>
            </w:tcBorders>
            <w:shd w:val="clear" w:color="auto" w:fill="auto"/>
            <w:noWrap/>
            <w:vAlign w:val="bottom"/>
            <w:hideMark/>
          </w:tcPr>
          <w:p w14:paraId="21683E92"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133 656 527,97</w:t>
            </w:r>
          </w:p>
        </w:tc>
      </w:tr>
      <w:tr w:rsidR="001A24C3" w:rsidRPr="001603FF" w14:paraId="51FF2DF7"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C0A82D6"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Iné špecifické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0A49F315"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0,00</w:t>
            </w:r>
          </w:p>
        </w:tc>
      </w:tr>
      <w:tr w:rsidR="001A24C3" w:rsidRPr="001603FF" w14:paraId="5DA4E9A3"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4593458E"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iné špecifické prevádzkové výdavky</w:t>
            </w:r>
          </w:p>
        </w:tc>
        <w:tc>
          <w:tcPr>
            <w:tcW w:w="1360" w:type="dxa"/>
            <w:tcBorders>
              <w:top w:val="nil"/>
              <w:left w:val="nil"/>
              <w:bottom w:val="double" w:sz="6" w:space="0" w:color="auto"/>
              <w:right w:val="single" w:sz="4" w:space="0" w:color="auto"/>
            </w:tcBorders>
            <w:shd w:val="clear" w:color="auto" w:fill="auto"/>
            <w:noWrap/>
            <w:vAlign w:val="bottom"/>
            <w:hideMark/>
          </w:tcPr>
          <w:p w14:paraId="3DE036D9"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0,00</w:t>
            </w:r>
          </w:p>
        </w:tc>
      </w:tr>
      <w:tr w:rsidR="001A24C3" w:rsidRPr="001603FF" w14:paraId="1BD8F776"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AA40502"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prevádzkové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2160DBB2"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133 656 527,97</w:t>
            </w:r>
          </w:p>
        </w:tc>
      </w:tr>
    </w:tbl>
    <w:p w14:paraId="6D9A1B64" w14:textId="1D6DCA79" w:rsidR="001A24C3" w:rsidRDefault="001A24C3" w:rsidP="00D83A6C">
      <w:pPr>
        <w:pStyle w:val="Popis"/>
        <w:keepNext/>
        <w:spacing w:before="240"/>
        <w:jc w:val="both"/>
      </w:pPr>
      <w:bookmarkStart w:id="277" w:name="_Toc83677915"/>
      <w:r>
        <w:t xml:space="preserve">Tabuľka </w:t>
      </w:r>
      <w:r w:rsidR="00DA0B84">
        <w:rPr>
          <w:noProof/>
        </w:rPr>
        <w:t>44</w:t>
      </w:r>
      <w:r>
        <w:tab/>
      </w:r>
      <w:r w:rsidRPr="003E01F6">
        <w:t>Prevádzkové príjmy bez projektu</w:t>
      </w:r>
      <w:bookmarkEnd w:id="277"/>
    </w:p>
    <w:tbl>
      <w:tblPr>
        <w:tblW w:w="4860" w:type="dxa"/>
        <w:tblCellMar>
          <w:left w:w="70" w:type="dxa"/>
          <w:right w:w="70" w:type="dxa"/>
        </w:tblCellMar>
        <w:tblLook w:val="04A0" w:firstRow="1" w:lastRow="0" w:firstColumn="1" w:lastColumn="0" w:noHBand="0" w:noVBand="1"/>
      </w:tblPr>
      <w:tblGrid>
        <w:gridCol w:w="3320"/>
        <w:gridCol w:w="1540"/>
      </w:tblGrid>
      <w:tr w:rsidR="001A24C3" w:rsidRPr="001603FF" w14:paraId="5AE4690C"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19CE01"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4.1 Príjmy</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1500CDD0"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 </w:t>
            </w:r>
          </w:p>
        </w:tc>
      </w:tr>
      <w:tr w:rsidR="001A24C3" w:rsidRPr="001603FF" w14:paraId="7653E1D2" w14:textId="77777777" w:rsidTr="00300963">
        <w:trPr>
          <w:trHeight w:val="204"/>
        </w:trPr>
        <w:tc>
          <w:tcPr>
            <w:tcW w:w="3320" w:type="dxa"/>
            <w:tcBorders>
              <w:top w:val="nil"/>
              <w:left w:val="single" w:sz="4" w:space="0" w:color="auto"/>
              <w:bottom w:val="single" w:sz="4" w:space="0" w:color="auto"/>
              <w:right w:val="single" w:sz="4" w:space="0" w:color="auto"/>
            </w:tcBorders>
            <w:shd w:val="clear" w:color="000000" w:fill="D9D9D9"/>
            <w:noWrap/>
            <w:vAlign w:val="bottom"/>
            <w:hideMark/>
          </w:tcPr>
          <w:p w14:paraId="079ECBF4"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BEZ PROJEKTU</w:t>
            </w:r>
          </w:p>
        </w:tc>
        <w:tc>
          <w:tcPr>
            <w:tcW w:w="1540" w:type="dxa"/>
            <w:tcBorders>
              <w:top w:val="nil"/>
              <w:left w:val="nil"/>
              <w:bottom w:val="single" w:sz="4" w:space="0" w:color="auto"/>
              <w:right w:val="single" w:sz="4" w:space="0" w:color="auto"/>
            </w:tcBorders>
            <w:shd w:val="clear" w:color="000000" w:fill="D9D9D9"/>
            <w:noWrap/>
            <w:vAlign w:val="bottom"/>
            <w:hideMark/>
          </w:tcPr>
          <w:p w14:paraId="7202F3E7"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Celkom</w:t>
            </w:r>
          </w:p>
        </w:tc>
      </w:tr>
      <w:tr w:rsidR="001A24C3" w:rsidRPr="001603FF" w14:paraId="5A896E0B"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B0B2DB4"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Tržby za DC - osobná doprava</w:t>
            </w:r>
          </w:p>
        </w:tc>
        <w:tc>
          <w:tcPr>
            <w:tcW w:w="1540" w:type="dxa"/>
            <w:tcBorders>
              <w:top w:val="nil"/>
              <w:left w:val="nil"/>
              <w:bottom w:val="single" w:sz="4" w:space="0" w:color="auto"/>
              <w:right w:val="single" w:sz="4" w:space="0" w:color="auto"/>
            </w:tcBorders>
            <w:shd w:val="clear" w:color="auto" w:fill="auto"/>
            <w:noWrap/>
            <w:vAlign w:val="bottom"/>
            <w:hideMark/>
          </w:tcPr>
          <w:p w14:paraId="46E501F8"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19 073 448,14</w:t>
            </w:r>
          </w:p>
        </w:tc>
      </w:tr>
      <w:tr w:rsidR="001A24C3" w:rsidRPr="001603FF" w14:paraId="48BEABC1"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54F8BDD"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Tržby za DC - nákladná doprava</w:t>
            </w:r>
          </w:p>
        </w:tc>
        <w:tc>
          <w:tcPr>
            <w:tcW w:w="1540" w:type="dxa"/>
            <w:tcBorders>
              <w:top w:val="nil"/>
              <w:left w:val="nil"/>
              <w:bottom w:val="single" w:sz="4" w:space="0" w:color="auto"/>
              <w:right w:val="single" w:sz="4" w:space="0" w:color="auto"/>
            </w:tcBorders>
            <w:shd w:val="clear" w:color="auto" w:fill="auto"/>
            <w:noWrap/>
            <w:vAlign w:val="bottom"/>
            <w:hideMark/>
          </w:tcPr>
          <w:p w14:paraId="37B57E65"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19 238 361,49</w:t>
            </w:r>
          </w:p>
        </w:tc>
      </w:tr>
      <w:tr w:rsidR="001A24C3" w:rsidRPr="001603FF" w14:paraId="155A0A9E"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5CFD464"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príjmy</w:t>
            </w:r>
          </w:p>
        </w:tc>
        <w:tc>
          <w:tcPr>
            <w:tcW w:w="1540" w:type="dxa"/>
            <w:tcBorders>
              <w:top w:val="nil"/>
              <w:left w:val="nil"/>
              <w:bottom w:val="single" w:sz="4" w:space="0" w:color="auto"/>
              <w:right w:val="single" w:sz="4" w:space="0" w:color="auto"/>
            </w:tcBorders>
            <w:shd w:val="clear" w:color="auto" w:fill="auto"/>
            <w:noWrap/>
            <w:vAlign w:val="bottom"/>
            <w:hideMark/>
          </w:tcPr>
          <w:p w14:paraId="2113F2E5"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38 311 809,63</w:t>
            </w:r>
          </w:p>
        </w:tc>
      </w:tr>
    </w:tbl>
    <w:p w14:paraId="3A56178E" w14:textId="77777777" w:rsidR="001A24C3" w:rsidRPr="007C6BD1" w:rsidRDefault="001A24C3" w:rsidP="001A24C3"/>
    <w:p w14:paraId="13D2795B" w14:textId="5F82AEC2" w:rsidR="001A24C3" w:rsidRDefault="001A24C3" w:rsidP="00D83A6C">
      <w:pPr>
        <w:pStyle w:val="Popis"/>
        <w:keepNext/>
        <w:spacing w:before="240"/>
        <w:jc w:val="both"/>
      </w:pPr>
      <w:bookmarkStart w:id="278" w:name="_Toc83677916"/>
      <w:r>
        <w:t xml:space="preserve">Tabuľka </w:t>
      </w:r>
      <w:r w:rsidR="00DA0B84">
        <w:rPr>
          <w:noProof/>
        </w:rPr>
        <w:t>45</w:t>
      </w:r>
      <w:r>
        <w:tab/>
      </w:r>
      <w:r w:rsidRPr="003E01F6">
        <w:t>Prevádzkové príjmy s</w:t>
      </w:r>
      <w:r>
        <w:t> </w:t>
      </w:r>
      <w:r w:rsidRPr="003E01F6">
        <w:t>projektom</w:t>
      </w:r>
      <w:bookmarkEnd w:id="278"/>
    </w:p>
    <w:tbl>
      <w:tblPr>
        <w:tblW w:w="4860" w:type="dxa"/>
        <w:tblCellMar>
          <w:left w:w="70" w:type="dxa"/>
          <w:right w:w="70" w:type="dxa"/>
        </w:tblCellMar>
        <w:tblLook w:val="04A0" w:firstRow="1" w:lastRow="0" w:firstColumn="1" w:lastColumn="0" w:noHBand="0" w:noVBand="1"/>
      </w:tblPr>
      <w:tblGrid>
        <w:gridCol w:w="3320"/>
        <w:gridCol w:w="1540"/>
      </w:tblGrid>
      <w:tr w:rsidR="001A24C3" w:rsidRPr="001603FF" w14:paraId="4D1CF96A"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865893"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4.2 Príjmy</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1900C1F1"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 </w:t>
            </w:r>
          </w:p>
        </w:tc>
      </w:tr>
      <w:tr w:rsidR="001A24C3" w:rsidRPr="001603FF" w14:paraId="6AC7F8A1" w14:textId="77777777" w:rsidTr="00300963">
        <w:trPr>
          <w:trHeight w:val="204"/>
        </w:trPr>
        <w:tc>
          <w:tcPr>
            <w:tcW w:w="3320" w:type="dxa"/>
            <w:tcBorders>
              <w:top w:val="nil"/>
              <w:left w:val="single" w:sz="4" w:space="0" w:color="auto"/>
              <w:bottom w:val="single" w:sz="4" w:space="0" w:color="auto"/>
              <w:right w:val="single" w:sz="4" w:space="0" w:color="auto"/>
            </w:tcBorders>
            <w:shd w:val="clear" w:color="000000" w:fill="D9D9D9"/>
            <w:noWrap/>
            <w:vAlign w:val="bottom"/>
            <w:hideMark/>
          </w:tcPr>
          <w:p w14:paraId="6B99408E"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S PROJEKTOM</w:t>
            </w:r>
          </w:p>
        </w:tc>
        <w:tc>
          <w:tcPr>
            <w:tcW w:w="1540" w:type="dxa"/>
            <w:tcBorders>
              <w:top w:val="nil"/>
              <w:left w:val="nil"/>
              <w:bottom w:val="single" w:sz="4" w:space="0" w:color="auto"/>
              <w:right w:val="single" w:sz="4" w:space="0" w:color="auto"/>
            </w:tcBorders>
            <w:shd w:val="clear" w:color="000000" w:fill="D9D9D9"/>
            <w:noWrap/>
            <w:vAlign w:val="bottom"/>
            <w:hideMark/>
          </w:tcPr>
          <w:p w14:paraId="714E7ABF"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Celkom</w:t>
            </w:r>
          </w:p>
        </w:tc>
      </w:tr>
      <w:tr w:rsidR="001A24C3" w:rsidRPr="001603FF" w14:paraId="7896A85E"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49A3373"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Tržby za DC - osobná doprava</w:t>
            </w:r>
          </w:p>
        </w:tc>
        <w:tc>
          <w:tcPr>
            <w:tcW w:w="1540" w:type="dxa"/>
            <w:tcBorders>
              <w:top w:val="nil"/>
              <w:left w:val="nil"/>
              <w:bottom w:val="single" w:sz="4" w:space="0" w:color="auto"/>
              <w:right w:val="single" w:sz="4" w:space="0" w:color="auto"/>
            </w:tcBorders>
            <w:shd w:val="clear" w:color="auto" w:fill="auto"/>
            <w:noWrap/>
            <w:vAlign w:val="bottom"/>
            <w:hideMark/>
          </w:tcPr>
          <w:p w14:paraId="7AB47919"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22 123 919,92</w:t>
            </w:r>
          </w:p>
        </w:tc>
      </w:tr>
      <w:tr w:rsidR="001A24C3" w:rsidRPr="001603FF" w14:paraId="65BFD8A8"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6C61AC1" w14:textId="77777777" w:rsidR="001A24C3" w:rsidRPr="001603FF" w:rsidRDefault="001A24C3" w:rsidP="00300963">
            <w:pPr>
              <w:rPr>
                <w:rFonts w:ascii="Arial" w:eastAsia="Times New Roman" w:hAnsi="Arial" w:cs="Arial"/>
                <w:sz w:val="16"/>
                <w:szCs w:val="16"/>
                <w:lang w:eastAsia="sk-SK"/>
              </w:rPr>
            </w:pPr>
            <w:r w:rsidRPr="001603FF">
              <w:rPr>
                <w:rFonts w:ascii="Arial" w:eastAsia="Times New Roman" w:hAnsi="Arial" w:cs="Arial"/>
                <w:sz w:val="16"/>
                <w:szCs w:val="16"/>
                <w:lang w:eastAsia="sk-SK"/>
              </w:rPr>
              <w:t>Tržby za DC - nákladná doprava</w:t>
            </w:r>
          </w:p>
        </w:tc>
        <w:tc>
          <w:tcPr>
            <w:tcW w:w="1540" w:type="dxa"/>
            <w:tcBorders>
              <w:top w:val="nil"/>
              <w:left w:val="nil"/>
              <w:bottom w:val="single" w:sz="4" w:space="0" w:color="auto"/>
              <w:right w:val="single" w:sz="4" w:space="0" w:color="auto"/>
            </w:tcBorders>
            <w:shd w:val="clear" w:color="auto" w:fill="auto"/>
            <w:noWrap/>
            <w:vAlign w:val="bottom"/>
            <w:hideMark/>
          </w:tcPr>
          <w:p w14:paraId="38FD3AA7" w14:textId="77777777" w:rsidR="001A24C3" w:rsidRPr="001603FF" w:rsidRDefault="001A24C3" w:rsidP="00300963">
            <w:pPr>
              <w:jc w:val="right"/>
              <w:rPr>
                <w:rFonts w:ascii="Arial" w:eastAsia="Times New Roman" w:hAnsi="Arial" w:cs="Arial"/>
                <w:sz w:val="16"/>
                <w:szCs w:val="16"/>
                <w:lang w:eastAsia="sk-SK"/>
              </w:rPr>
            </w:pPr>
            <w:r w:rsidRPr="001603FF">
              <w:rPr>
                <w:rFonts w:ascii="Arial" w:eastAsia="Times New Roman" w:hAnsi="Arial" w:cs="Arial"/>
                <w:sz w:val="16"/>
                <w:szCs w:val="16"/>
                <w:lang w:eastAsia="sk-SK"/>
              </w:rPr>
              <w:t>20 036 805,50</w:t>
            </w:r>
          </w:p>
        </w:tc>
      </w:tr>
      <w:tr w:rsidR="001A24C3" w:rsidRPr="001603FF" w14:paraId="4FB0722F"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BE78385" w14:textId="77777777" w:rsidR="001A24C3" w:rsidRPr="001603FF" w:rsidRDefault="001A24C3" w:rsidP="00300963">
            <w:pPr>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Celkové príjmy</w:t>
            </w:r>
          </w:p>
        </w:tc>
        <w:tc>
          <w:tcPr>
            <w:tcW w:w="1540" w:type="dxa"/>
            <w:tcBorders>
              <w:top w:val="nil"/>
              <w:left w:val="nil"/>
              <w:bottom w:val="single" w:sz="4" w:space="0" w:color="auto"/>
              <w:right w:val="single" w:sz="4" w:space="0" w:color="auto"/>
            </w:tcBorders>
            <w:shd w:val="clear" w:color="auto" w:fill="auto"/>
            <w:noWrap/>
            <w:vAlign w:val="bottom"/>
            <w:hideMark/>
          </w:tcPr>
          <w:p w14:paraId="4BAD3AAA" w14:textId="77777777" w:rsidR="001A24C3" w:rsidRPr="001603FF" w:rsidRDefault="001A24C3" w:rsidP="00300963">
            <w:pPr>
              <w:jc w:val="right"/>
              <w:rPr>
                <w:rFonts w:ascii="Arial" w:eastAsia="Times New Roman" w:hAnsi="Arial" w:cs="Arial"/>
                <w:b/>
                <w:bCs/>
                <w:sz w:val="16"/>
                <w:szCs w:val="16"/>
                <w:lang w:eastAsia="sk-SK"/>
              </w:rPr>
            </w:pPr>
            <w:r w:rsidRPr="001603FF">
              <w:rPr>
                <w:rFonts w:ascii="Arial" w:eastAsia="Times New Roman" w:hAnsi="Arial" w:cs="Arial"/>
                <w:b/>
                <w:bCs/>
                <w:sz w:val="16"/>
                <w:szCs w:val="16"/>
                <w:lang w:eastAsia="sk-SK"/>
              </w:rPr>
              <w:t>42 160 725,42</w:t>
            </w:r>
          </w:p>
        </w:tc>
      </w:tr>
    </w:tbl>
    <w:p w14:paraId="3F195A87" w14:textId="77777777" w:rsidR="001A24C3" w:rsidRDefault="001A24C3" w:rsidP="001A24C3">
      <w:pPr>
        <w:spacing w:after="160"/>
      </w:pPr>
    </w:p>
    <w:p w14:paraId="4AB2C4A2" w14:textId="77777777" w:rsidR="001A24C3" w:rsidRDefault="001A24C3" w:rsidP="001A24C3">
      <w:pPr>
        <w:spacing w:after="160"/>
      </w:pPr>
      <w:r>
        <w:t xml:space="preserve">Na základe vyššie uvedených údajov je možné konštatovať, že všetky variantné riešenia v súlade s článkom 61 nariadenia EP a Rady č. 1303/2013 predstavujú alternatívy, ktoré generujú príjem, pretože užívatelia „dopravcovia“ platia za používanie tratí (výsledkov projektu) poplatok za dopravnú cestu. Tento príjem však nepokrýva všetky náklady a teda projekt bude mať finančnú medzeru, nie však 100 %. Výhodnosť, respektíve poradie jednotlivých variantov bude môcť byť potvrdzované predovšetkým na základe ekonomickej analýzy prípadne zohľadnené v citlivostnej a rizikovej analýze. </w:t>
      </w:r>
    </w:p>
    <w:p w14:paraId="472E61A7" w14:textId="77777777" w:rsidR="001A24C3" w:rsidRPr="00D83A6C" w:rsidRDefault="001A24C3" w:rsidP="00D83A6C">
      <w:pPr>
        <w:pStyle w:val="TEXTkOICE"/>
        <w:spacing w:after="240"/>
        <w:ind w:left="0" w:right="0"/>
        <w:rPr>
          <w:rFonts w:asciiTheme="minorHAnsi" w:eastAsiaTheme="minorHAnsi" w:hAnsiTheme="minorHAnsi" w:cstheme="minorBidi"/>
          <w:sz w:val="24"/>
          <w:lang w:eastAsia="en-US" w:bidi="ar-SA"/>
        </w:rPr>
      </w:pPr>
      <w:r w:rsidRPr="00D83A6C">
        <w:rPr>
          <w:rFonts w:asciiTheme="minorHAnsi" w:eastAsiaTheme="minorHAnsi" w:hAnsiTheme="minorHAnsi" w:cstheme="minorBidi"/>
          <w:sz w:val="24"/>
          <w:lang w:eastAsia="en-US" w:bidi="ar-SA"/>
        </w:rPr>
        <w:t>Získané údaje boli následne použité do modelov Finančnej a Ekonomickej analýzy, kde sa ďalej počítalo s inkrementálnymi (prírastkovými) hodnotami, t. j. rozdiel medzi stavom „bez projektu“ a stavom „s projektom“.</w:t>
      </w:r>
    </w:p>
    <w:p w14:paraId="59652599" w14:textId="77777777" w:rsidR="001A24C3" w:rsidRPr="00D83A6C" w:rsidRDefault="001A24C3" w:rsidP="001A24C3">
      <w:pPr>
        <w:pStyle w:val="TEXTkOICE"/>
        <w:ind w:left="0"/>
        <w:rPr>
          <w:rFonts w:asciiTheme="minorHAnsi" w:eastAsiaTheme="minorHAnsi" w:hAnsiTheme="minorHAnsi" w:cstheme="minorBidi"/>
          <w:sz w:val="24"/>
          <w:lang w:eastAsia="en-US" w:bidi="ar-SA"/>
        </w:rPr>
      </w:pPr>
      <w:r w:rsidRPr="00D83A6C">
        <w:rPr>
          <w:rFonts w:asciiTheme="minorHAnsi" w:eastAsiaTheme="minorHAnsi" w:hAnsiTheme="minorHAnsi" w:cstheme="minorBidi"/>
          <w:sz w:val="24"/>
          <w:lang w:eastAsia="en-US" w:bidi="ar-SA"/>
        </w:rPr>
        <w:lastRenderedPageBreak/>
        <w:t>Z uvedeného dôvodu v nasledujúcich kapitolách sa nachádzajú už iba „prírastkové“ hodnoty.</w:t>
      </w:r>
    </w:p>
    <w:p w14:paraId="186047EF" w14:textId="77777777" w:rsidR="001A24C3" w:rsidRDefault="001A24C3" w:rsidP="001A24C3">
      <w:pPr>
        <w:suppressAutoHyphens/>
        <w:rPr>
          <w:rFonts w:ascii="Calibri" w:eastAsia="Calibri" w:hAnsi="Calibri" w:cs="Calibri"/>
          <w:lang w:eastAsia="sk-SK" w:bidi="sk-SK"/>
        </w:rPr>
      </w:pPr>
      <w:r>
        <w:br w:type="page"/>
      </w:r>
    </w:p>
    <w:p w14:paraId="40B45E23" w14:textId="77777777" w:rsidR="001A24C3" w:rsidRPr="00D83A6C" w:rsidRDefault="001A24C3" w:rsidP="005A058E">
      <w:pPr>
        <w:pStyle w:val="Nadpis21"/>
        <w:tabs>
          <w:tab w:val="clear" w:pos="1277"/>
          <w:tab w:val="num" w:pos="426"/>
        </w:tabs>
        <w:ind w:left="851" w:hanging="851"/>
        <w:rPr>
          <w:color w:val="00B050"/>
        </w:rPr>
      </w:pPr>
      <w:bookmarkStart w:id="279" w:name="_Toc83677867"/>
      <w:bookmarkStart w:id="280" w:name="_Toc88652982"/>
      <w:r w:rsidRPr="00D83A6C">
        <w:rPr>
          <w:color w:val="00B050"/>
        </w:rPr>
        <w:lastRenderedPageBreak/>
        <w:t>Finančná analýza</w:t>
      </w:r>
      <w:bookmarkEnd w:id="279"/>
      <w:bookmarkEnd w:id="280"/>
    </w:p>
    <w:p w14:paraId="628C3509" w14:textId="596507CC" w:rsidR="001A24C3" w:rsidRPr="00D83A6C" w:rsidRDefault="001A24C3" w:rsidP="005A058E">
      <w:pPr>
        <w:pStyle w:val="Nadpis31"/>
        <w:ind w:hanging="862"/>
        <w:rPr>
          <w:color w:val="auto"/>
        </w:rPr>
      </w:pPr>
      <w:bookmarkStart w:id="281" w:name="_Toc88652983"/>
      <w:r w:rsidRPr="00D83A6C">
        <w:rPr>
          <w:color w:val="auto"/>
        </w:rPr>
        <w:t xml:space="preserve">Variant </w:t>
      </w:r>
      <w:r w:rsidR="00D83A6C">
        <w:rPr>
          <w:color w:val="auto"/>
        </w:rPr>
        <w:t xml:space="preserve">A </w:t>
      </w:r>
      <w:r w:rsidRPr="00D83A6C">
        <w:rPr>
          <w:color w:val="auto"/>
        </w:rPr>
        <w:t>„</w:t>
      </w:r>
      <w:r w:rsidR="00D83A6C">
        <w:rPr>
          <w:color w:val="auto"/>
        </w:rPr>
        <w:t>ZÁKLADNÁ MODERNIZÁCIA</w:t>
      </w:r>
      <w:r w:rsidRPr="00D83A6C">
        <w:rPr>
          <w:color w:val="auto"/>
        </w:rPr>
        <w:t>“</w:t>
      </w:r>
      <w:bookmarkEnd w:id="281"/>
    </w:p>
    <w:p w14:paraId="37DB8FAF" w14:textId="77777777" w:rsidR="001A24C3" w:rsidRPr="005A058E" w:rsidRDefault="001A24C3" w:rsidP="005A058E">
      <w:pPr>
        <w:pStyle w:val="Nadpis41"/>
        <w:ind w:left="851" w:hanging="851"/>
        <w:rPr>
          <w:color w:val="auto"/>
          <w:sz w:val="24"/>
          <w:szCs w:val="24"/>
        </w:rPr>
      </w:pPr>
      <w:bookmarkStart w:id="282" w:name="_Toc88652984"/>
      <w:bookmarkStart w:id="283" w:name="_Hlk88422577"/>
      <w:r w:rsidRPr="005A058E">
        <w:rPr>
          <w:color w:val="auto"/>
          <w:sz w:val="24"/>
          <w:szCs w:val="24"/>
        </w:rPr>
        <w:t>Investičné náklady</w:t>
      </w:r>
      <w:bookmarkEnd w:id="282"/>
    </w:p>
    <w:p w14:paraId="7D23F840" w14:textId="1F5A6B7C" w:rsidR="001A24C3" w:rsidRDefault="001A24C3" w:rsidP="001A24C3">
      <w:r w:rsidRPr="000E1FFA">
        <w:t>Investičné náklady sú náklady vynaložené za účelom realizácie projektu. V prípade projektov financovaných z fondov Európskej únie a</w:t>
      </w:r>
      <w:r>
        <w:t xml:space="preserve"> v </w:t>
      </w:r>
      <w:r w:rsidRPr="000E1FFA">
        <w:t>nadväznosti na metodiku spracovávania CBA</w:t>
      </w:r>
      <w:r w:rsidR="005A058E">
        <w:t>,</w:t>
      </w:r>
      <w:r w:rsidRPr="000E1FFA">
        <w:t xml:space="preserve"> </w:t>
      </w:r>
      <w:r>
        <w:t>sem</w:t>
      </w:r>
      <w:r w:rsidRPr="000E1FFA">
        <w:t xml:space="preserve"> patria </w:t>
      </w:r>
      <w:r>
        <w:t xml:space="preserve">náklady vzniknuté </w:t>
      </w:r>
      <w:r w:rsidR="005A058E">
        <w:t>základnou modernizáciou</w:t>
      </w:r>
      <w:r>
        <w:t xml:space="preserve"> železničnej trate v úseku Krásno nad Kysucou (mimo) – Čadca – štátna hranica SR/ČR v rozsahu zachovania aktuálnych parametrov trate vo všetkých 3 úsekoch (1. Krásno nad Kysucou (mimo) – Čadca (mimo) vrátane nového prestupného terminálu autobus/vlak v Krásne na Kysucou, 2. Stanica Čadca, 3. Čadca – štátna hranica SR/ČR), náklady na riadenie projektu, publicitu a pod. v súlade s cieľmi projektu.</w:t>
      </w:r>
    </w:p>
    <w:p w14:paraId="4985E37C" w14:textId="77777777" w:rsidR="005A058E" w:rsidRDefault="005A058E" w:rsidP="001A24C3"/>
    <w:p w14:paraId="67F79A9F" w14:textId="77777777" w:rsidR="001A24C3" w:rsidRPr="005A058E" w:rsidRDefault="001A24C3" w:rsidP="005A058E">
      <w:pPr>
        <w:pStyle w:val="Nadpis41"/>
        <w:ind w:left="851" w:hanging="851"/>
        <w:rPr>
          <w:rFonts w:eastAsiaTheme="minorHAnsi" w:cstheme="minorBidi"/>
          <w:color w:val="auto"/>
          <w:sz w:val="24"/>
        </w:rPr>
      </w:pPr>
      <w:bookmarkStart w:id="284" w:name="_Toc88652985"/>
      <w:r w:rsidRPr="005A058E">
        <w:rPr>
          <w:rFonts w:eastAsiaTheme="minorHAnsi" w:cstheme="minorBidi"/>
          <w:color w:val="auto"/>
          <w:sz w:val="24"/>
        </w:rPr>
        <w:t>Rezerva na nepredvídateľné výdavky</w:t>
      </w:r>
      <w:bookmarkEnd w:id="284"/>
    </w:p>
    <w:p w14:paraId="20F3AAD8" w14:textId="465BA4F8" w:rsidR="001A24C3" w:rsidRPr="005A058E" w:rsidRDefault="001A24C3" w:rsidP="001A24C3">
      <w:pPr>
        <w:pStyle w:val="TEXTkOICE"/>
        <w:ind w:left="0"/>
        <w:rPr>
          <w:rFonts w:asciiTheme="minorHAnsi" w:eastAsiaTheme="minorHAnsi" w:hAnsiTheme="minorHAnsi" w:cstheme="minorBidi"/>
          <w:sz w:val="24"/>
          <w:lang w:eastAsia="en-US" w:bidi="ar-SA"/>
        </w:rPr>
      </w:pPr>
      <w:r w:rsidRPr="005A058E">
        <w:rPr>
          <w:rFonts w:asciiTheme="minorHAnsi" w:eastAsiaTheme="minorHAnsi" w:hAnsiTheme="minorHAnsi" w:cstheme="minorBidi"/>
          <w:sz w:val="24"/>
          <w:lang w:eastAsia="en-US" w:bidi="ar-SA"/>
        </w:rPr>
        <w:t>V uvedenom projekte je použitá rezerva na nepredvídateľné výdavky, nakoľko ide o stavbu (</w:t>
      </w:r>
      <w:r w:rsidR="005A058E">
        <w:rPr>
          <w:rFonts w:asciiTheme="minorHAnsi" w:eastAsiaTheme="minorHAnsi" w:hAnsiTheme="minorHAnsi" w:cstheme="minorBidi"/>
          <w:sz w:val="24"/>
          <w:lang w:eastAsia="en-US" w:bidi="ar-SA"/>
        </w:rPr>
        <w:t>základnú modernizáciu</w:t>
      </w:r>
      <w:r w:rsidRPr="005A058E">
        <w:rPr>
          <w:rFonts w:asciiTheme="minorHAnsi" w:eastAsiaTheme="minorHAnsi" w:hAnsiTheme="minorHAnsi" w:cstheme="minorBidi"/>
          <w:sz w:val="24"/>
          <w:lang w:eastAsia="en-US" w:bidi="ar-SA"/>
        </w:rPr>
        <w:t xml:space="preserve">) železničnej infraštruktúry je použitá štandardná rezerva vo výške 10 %. </w:t>
      </w:r>
      <w:r w:rsidR="005A058E">
        <w:rPr>
          <w:rFonts w:asciiTheme="minorHAnsi" w:eastAsiaTheme="minorHAnsi" w:hAnsiTheme="minorHAnsi" w:cstheme="minorBidi"/>
          <w:sz w:val="24"/>
          <w:lang w:eastAsia="en-US" w:bidi="ar-SA"/>
        </w:rPr>
        <w:t>Táto rezerva</w:t>
      </w:r>
      <w:r w:rsidRPr="005A058E">
        <w:rPr>
          <w:rFonts w:asciiTheme="minorHAnsi" w:eastAsiaTheme="minorHAnsi" w:hAnsiTheme="minorHAnsi" w:cstheme="minorBidi"/>
          <w:sz w:val="24"/>
          <w:lang w:eastAsia="en-US" w:bidi="ar-SA"/>
        </w:rPr>
        <w:t xml:space="preserve"> nie je započítaná v súlade s metodikou pre spracovanie CBA do výpočtu finančnej medzery, avšak je obsiahnutá v predpokladaných oprávnených nákladoch. </w:t>
      </w:r>
    </w:p>
    <w:p w14:paraId="3EEDD538" w14:textId="77777777" w:rsidR="001A24C3" w:rsidRPr="005A058E" w:rsidRDefault="001A24C3" w:rsidP="005A058E">
      <w:pPr>
        <w:pStyle w:val="Nadpis41"/>
        <w:numPr>
          <w:ilvl w:val="0"/>
          <w:numId w:val="0"/>
        </w:numPr>
        <w:ind w:left="851"/>
        <w:rPr>
          <w:color w:val="auto"/>
          <w:sz w:val="24"/>
          <w:szCs w:val="24"/>
        </w:rPr>
      </w:pPr>
    </w:p>
    <w:p w14:paraId="45199A63" w14:textId="77777777" w:rsidR="001A24C3" w:rsidRPr="005A058E" w:rsidRDefault="001A24C3" w:rsidP="005A058E">
      <w:pPr>
        <w:pStyle w:val="Nadpis41"/>
        <w:ind w:left="851" w:hanging="851"/>
        <w:rPr>
          <w:color w:val="auto"/>
          <w:sz w:val="24"/>
          <w:szCs w:val="24"/>
        </w:rPr>
      </w:pPr>
      <w:r w:rsidRPr="005A058E">
        <w:rPr>
          <w:color w:val="auto"/>
          <w:sz w:val="24"/>
          <w:szCs w:val="24"/>
        </w:rPr>
        <w:t xml:space="preserve">  </w:t>
      </w:r>
      <w:bookmarkStart w:id="285" w:name="_Toc88652986"/>
      <w:r w:rsidRPr="005A058E">
        <w:rPr>
          <w:color w:val="auto"/>
          <w:sz w:val="24"/>
          <w:szCs w:val="24"/>
        </w:rPr>
        <w:t>Valorizácia nákladov</w:t>
      </w:r>
      <w:bookmarkEnd w:id="285"/>
    </w:p>
    <w:p w14:paraId="0244A807" w14:textId="77777777" w:rsidR="001A24C3" w:rsidRPr="005C5ECA" w:rsidRDefault="001A24C3" w:rsidP="001A24C3">
      <w:r>
        <w:t xml:space="preserve">Uvedená alternatíva projektu má dobu realizácie 2 roky. V tomto prípade nie je valorizácia (jej použitie) povinná, avšak vzhľadom na aktuálny vývoj cien na stavebnom trhu ju autori použili rovnako akoby projekt mal dobu realizácie viac ako 2 roky. </w:t>
      </w:r>
    </w:p>
    <w:p w14:paraId="1EEEC2C7" w14:textId="77777777" w:rsidR="001A24C3" w:rsidRPr="000E1FFA" w:rsidRDefault="001A24C3" w:rsidP="001A24C3">
      <w:pPr>
        <w:pStyle w:val="TEXTkOICE"/>
        <w:ind w:left="0"/>
      </w:pPr>
    </w:p>
    <w:p w14:paraId="48B3028B" w14:textId="77777777" w:rsidR="001A24C3" w:rsidRPr="005A058E" w:rsidRDefault="001A24C3" w:rsidP="005A058E">
      <w:pPr>
        <w:pStyle w:val="Nadpis41"/>
        <w:ind w:left="851" w:hanging="851"/>
        <w:rPr>
          <w:color w:val="auto"/>
          <w:sz w:val="24"/>
          <w:szCs w:val="24"/>
        </w:rPr>
      </w:pPr>
      <w:bookmarkStart w:id="286" w:name="_Toc88652987"/>
      <w:r w:rsidRPr="005A058E">
        <w:rPr>
          <w:color w:val="auto"/>
          <w:sz w:val="24"/>
          <w:szCs w:val="24"/>
        </w:rPr>
        <w:t>Použitie DPH</w:t>
      </w:r>
      <w:bookmarkEnd w:id="286"/>
    </w:p>
    <w:p w14:paraId="16756C76" w14:textId="77777777" w:rsidR="001A24C3" w:rsidRPr="005A058E" w:rsidRDefault="001A24C3" w:rsidP="001A24C3">
      <w:pPr>
        <w:pStyle w:val="TEXTkOICE"/>
        <w:ind w:left="0"/>
        <w:rPr>
          <w:sz w:val="24"/>
          <w:szCs w:val="24"/>
        </w:rPr>
      </w:pPr>
      <w:r w:rsidRPr="005A058E">
        <w:rPr>
          <w:sz w:val="24"/>
          <w:szCs w:val="24"/>
        </w:rPr>
        <w:t xml:space="preserve">Žiadateľ, v rámci uvedeného projektu, je platcom DPH v zmysle zákona a keďže si môže uplatniť jej odpočet, DPH je neoprávneným nákladom. Preto jednotlivé položky sú v CBA uvedené bez DPH a samotná DPH je vyčíslená samostatne ako neoprávnený náklad. </w:t>
      </w:r>
    </w:p>
    <w:p w14:paraId="31CE95CD" w14:textId="77777777" w:rsidR="001A24C3" w:rsidRDefault="001A24C3" w:rsidP="001A24C3">
      <w:pPr>
        <w:pStyle w:val="TEXTkOICE"/>
        <w:ind w:left="0"/>
      </w:pPr>
    </w:p>
    <w:p w14:paraId="5D55B662" w14:textId="77777777" w:rsidR="001A24C3" w:rsidRPr="005A058E" w:rsidRDefault="001A24C3" w:rsidP="005A058E">
      <w:pPr>
        <w:pStyle w:val="Nadpis41"/>
        <w:ind w:left="851" w:hanging="851"/>
        <w:rPr>
          <w:color w:val="auto"/>
          <w:sz w:val="24"/>
          <w:szCs w:val="24"/>
        </w:rPr>
      </w:pPr>
      <w:bookmarkStart w:id="287" w:name="_Toc88652988"/>
      <w:r w:rsidRPr="005A058E">
        <w:rPr>
          <w:color w:val="auto"/>
          <w:sz w:val="24"/>
          <w:szCs w:val="24"/>
        </w:rPr>
        <w:t>Prevádzkové výdavky</w:t>
      </w:r>
      <w:bookmarkEnd w:id="287"/>
    </w:p>
    <w:p w14:paraId="3C42B06F" w14:textId="77777777" w:rsidR="001A24C3" w:rsidRPr="005A058E" w:rsidRDefault="001A24C3" w:rsidP="001A24C3">
      <w:pPr>
        <w:pStyle w:val="TEXTkOICE"/>
        <w:ind w:left="0"/>
        <w:rPr>
          <w:sz w:val="24"/>
          <w:szCs w:val="24"/>
        </w:rPr>
      </w:pPr>
      <w:bookmarkStart w:id="288" w:name="_Hlk88425561"/>
      <w:r w:rsidRPr="005A058E">
        <w:rPr>
          <w:sz w:val="24"/>
          <w:szCs w:val="24"/>
        </w:rPr>
        <w:t xml:space="preserve">Predstavujú výdavky, ktoré sú rozčlenené na bežné prevádzkové výdavky a výmeny časti infraštruktúry po skončení doby životnosti (ak skončí skôr ako uplynie referenčné obdobie, ktoré je pri tomto type projektov 30 rokov). </w:t>
      </w:r>
    </w:p>
    <w:bookmarkEnd w:id="283"/>
    <w:bookmarkEnd w:id="288"/>
    <w:p w14:paraId="65775C34" w14:textId="77777777" w:rsidR="001A24C3" w:rsidRDefault="001A24C3" w:rsidP="001A24C3">
      <w:pPr>
        <w:pStyle w:val="TEXTkOICE"/>
        <w:ind w:left="0"/>
      </w:pPr>
    </w:p>
    <w:p w14:paraId="2F19147A" w14:textId="51F3421B" w:rsidR="001A24C3" w:rsidRDefault="001A24C3" w:rsidP="005A058E">
      <w:pPr>
        <w:pStyle w:val="Popis"/>
        <w:keepNext/>
        <w:jc w:val="both"/>
      </w:pPr>
      <w:bookmarkStart w:id="289" w:name="_Toc83677917"/>
      <w:r>
        <w:t xml:space="preserve">Tabuľka </w:t>
      </w:r>
      <w:r w:rsidR="00DA0B84">
        <w:rPr>
          <w:noProof/>
        </w:rPr>
        <w:t>46</w:t>
      </w:r>
      <w:r>
        <w:tab/>
        <w:t>P</w:t>
      </w:r>
      <w:r w:rsidRPr="007A3986">
        <w:t>revádzkové náklady – prírastkové</w:t>
      </w:r>
      <w:bookmarkEnd w:id="289"/>
    </w:p>
    <w:tbl>
      <w:tblPr>
        <w:tblW w:w="5360" w:type="dxa"/>
        <w:tblCellMar>
          <w:left w:w="70" w:type="dxa"/>
          <w:right w:w="70" w:type="dxa"/>
        </w:tblCellMar>
        <w:tblLook w:val="04A0" w:firstRow="1" w:lastRow="0" w:firstColumn="1" w:lastColumn="0" w:noHBand="0" w:noVBand="1"/>
      </w:tblPr>
      <w:tblGrid>
        <w:gridCol w:w="4060"/>
        <w:gridCol w:w="1300"/>
      </w:tblGrid>
      <w:tr w:rsidR="001A24C3" w:rsidRPr="00013CAF" w14:paraId="09C55178"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0336123"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3.3  Prevádzkové výdavky</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7E226D3A"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 </w:t>
            </w:r>
          </w:p>
        </w:tc>
      </w:tr>
      <w:tr w:rsidR="001A24C3" w:rsidRPr="00013CAF" w14:paraId="53A4DC79"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FFFFCC"/>
            <w:noWrap/>
            <w:vAlign w:val="bottom"/>
            <w:hideMark/>
          </w:tcPr>
          <w:p w14:paraId="71D324C2"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Inkrementálne (PRÍRASTKOVÉ)</w:t>
            </w:r>
          </w:p>
        </w:tc>
        <w:tc>
          <w:tcPr>
            <w:tcW w:w="1300" w:type="dxa"/>
            <w:tcBorders>
              <w:top w:val="nil"/>
              <w:left w:val="nil"/>
              <w:bottom w:val="single" w:sz="4" w:space="0" w:color="auto"/>
              <w:right w:val="single" w:sz="4" w:space="0" w:color="auto"/>
            </w:tcBorders>
            <w:shd w:val="clear" w:color="000000" w:fill="FFFFCC"/>
            <w:noWrap/>
            <w:vAlign w:val="bottom"/>
            <w:hideMark/>
          </w:tcPr>
          <w:p w14:paraId="4C362135"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Celkom</w:t>
            </w:r>
          </w:p>
        </w:tc>
      </w:tr>
      <w:tr w:rsidR="001A24C3" w:rsidRPr="00013CAF" w14:paraId="41951B4C"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6AAEF36" w14:textId="77777777" w:rsidR="001A24C3" w:rsidRPr="00013CAF" w:rsidRDefault="001A24C3" w:rsidP="00300963">
            <w:pPr>
              <w:rPr>
                <w:rFonts w:ascii="Arial" w:eastAsia="Times New Roman" w:hAnsi="Arial" w:cs="Arial"/>
                <w:sz w:val="16"/>
                <w:szCs w:val="16"/>
                <w:lang w:eastAsia="sk-SK"/>
              </w:rPr>
            </w:pPr>
            <w:r w:rsidRPr="00013CAF">
              <w:rPr>
                <w:rFonts w:ascii="Arial" w:eastAsia="Times New Roman" w:hAnsi="Arial" w:cs="Arial"/>
                <w:sz w:val="16"/>
                <w:szCs w:val="16"/>
                <w:lang w:eastAsia="sk-SK"/>
              </w:rPr>
              <w:t>Prevádzkové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16A7E1FB" w14:textId="77777777" w:rsidR="001A24C3" w:rsidRPr="00013CAF" w:rsidRDefault="001A24C3" w:rsidP="00300963">
            <w:pPr>
              <w:jc w:val="right"/>
              <w:rPr>
                <w:rFonts w:ascii="Arial" w:eastAsia="Times New Roman" w:hAnsi="Arial" w:cs="Arial"/>
                <w:sz w:val="16"/>
                <w:szCs w:val="16"/>
                <w:lang w:eastAsia="sk-SK"/>
              </w:rPr>
            </w:pPr>
            <w:r w:rsidRPr="00013CAF">
              <w:rPr>
                <w:rFonts w:ascii="Arial" w:eastAsia="Times New Roman" w:hAnsi="Arial" w:cs="Arial"/>
                <w:sz w:val="16"/>
                <w:szCs w:val="16"/>
                <w:lang w:eastAsia="sk-SK"/>
              </w:rPr>
              <w:t>0,00</w:t>
            </w:r>
          </w:p>
        </w:tc>
      </w:tr>
      <w:tr w:rsidR="001A24C3" w:rsidRPr="00013CAF" w14:paraId="174E8CCF"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0450688" w14:textId="77777777" w:rsidR="001A24C3" w:rsidRPr="00013CAF" w:rsidRDefault="001A24C3" w:rsidP="00300963">
            <w:pPr>
              <w:rPr>
                <w:rFonts w:ascii="Arial" w:eastAsia="Times New Roman" w:hAnsi="Arial" w:cs="Arial"/>
                <w:sz w:val="16"/>
                <w:szCs w:val="16"/>
                <w:lang w:eastAsia="sk-SK"/>
              </w:rPr>
            </w:pPr>
            <w:r w:rsidRPr="00013CAF">
              <w:rPr>
                <w:rFonts w:ascii="Arial" w:eastAsia="Times New Roman" w:hAnsi="Arial" w:cs="Arial"/>
                <w:sz w:val="16"/>
                <w:szCs w:val="16"/>
                <w:lang w:eastAsia="sk-SK"/>
              </w:rPr>
              <w:t>Výmeny</w:t>
            </w:r>
          </w:p>
        </w:tc>
        <w:tc>
          <w:tcPr>
            <w:tcW w:w="1300" w:type="dxa"/>
            <w:tcBorders>
              <w:top w:val="nil"/>
              <w:left w:val="nil"/>
              <w:bottom w:val="single" w:sz="4" w:space="0" w:color="auto"/>
              <w:right w:val="single" w:sz="4" w:space="0" w:color="auto"/>
            </w:tcBorders>
            <w:shd w:val="clear" w:color="auto" w:fill="auto"/>
            <w:noWrap/>
            <w:vAlign w:val="bottom"/>
            <w:hideMark/>
          </w:tcPr>
          <w:p w14:paraId="431853AB" w14:textId="77777777" w:rsidR="001A24C3" w:rsidRPr="00013CAF" w:rsidRDefault="001A24C3" w:rsidP="00300963">
            <w:pPr>
              <w:jc w:val="right"/>
              <w:rPr>
                <w:rFonts w:ascii="Arial" w:eastAsia="Times New Roman" w:hAnsi="Arial" w:cs="Arial"/>
                <w:sz w:val="16"/>
                <w:szCs w:val="16"/>
                <w:lang w:eastAsia="sk-SK"/>
              </w:rPr>
            </w:pPr>
            <w:r w:rsidRPr="00013CAF">
              <w:rPr>
                <w:rFonts w:ascii="Arial" w:eastAsia="Times New Roman" w:hAnsi="Arial" w:cs="Arial"/>
                <w:sz w:val="16"/>
                <w:szCs w:val="16"/>
                <w:lang w:eastAsia="sk-SK"/>
              </w:rPr>
              <w:t>-61 950 002,86</w:t>
            </w:r>
          </w:p>
        </w:tc>
      </w:tr>
      <w:tr w:rsidR="001A24C3" w:rsidRPr="00013CAF" w14:paraId="740849DC"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B7C91D4"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Celkové prevádzkové výdavky na údržbu</w:t>
            </w:r>
          </w:p>
        </w:tc>
        <w:tc>
          <w:tcPr>
            <w:tcW w:w="1300" w:type="dxa"/>
            <w:tcBorders>
              <w:top w:val="nil"/>
              <w:left w:val="nil"/>
              <w:bottom w:val="single" w:sz="4" w:space="0" w:color="auto"/>
              <w:right w:val="single" w:sz="4" w:space="0" w:color="auto"/>
            </w:tcBorders>
            <w:shd w:val="clear" w:color="auto" w:fill="auto"/>
            <w:noWrap/>
            <w:vAlign w:val="bottom"/>
            <w:hideMark/>
          </w:tcPr>
          <w:p w14:paraId="34F3476F" w14:textId="77777777" w:rsidR="001A24C3" w:rsidRPr="00013CAF" w:rsidRDefault="001A24C3" w:rsidP="00300963">
            <w:pPr>
              <w:jc w:val="right"/>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-61 950 002,86</w:t>
            </w:r>
          </w:p>
        </w:tc>
      </w:tr>
      <w:tr w:rsidR="001A24C3" w:rsidRPr="00013CAF" w14:paraId="284E768A"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D066345" w14:textId="77777777" w:rsidR="001A24C3" w:rsidRPr="00013CAF" w:rsidRDefault="001A24C3" w:rsidP="00300963">
            <w:pPr>
              <w:rPr>
                <w:rFonts w:ascii="Arial" w:eastAsia="Times New Roman" w:hAnsi="Arial" w:cs="Arial"/>
                <w:sz w:val="16"/>
                <w:szCs w:val="16"/>
                <w:lang w:eastAsia="sk-SK"/>
              </w:rPr>
            </w:pPr>
            <w:r w:rsidRPr="00013CAF">
              <w:rPr>
                <w:rFonts w:ascii="Arial" w:eastAsia="Times New Roman" w:hAnsi="Arial" w:cs="Arial"/>
                <w:sz w:val="16"/>
                <w:szCs w:val="16"/>
                <w:lang w:eastAsia="sk-SK"/>
              </w:rPr>
              <w:t>Iné špecifické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791B5310" w14:textId="77777777" w:rsidR="001A24C3" w:rsidRPr="00013CAF" w:rsidRDefault="001A24C3" w:rsidP="00300963">
            <w:pPr>
              <w:jc w:val="right"/>
              <w:rPr>
                <w:rFonts w:ascii="Arial" w:eastAsia="Times New Roman" w:hAnsi="Arial" w:cs="Arial"/>
                <w:sz w:val="16"/>
                <w:szCs w:val="16"/>
                <w:lang w:eastAsia="sk-SK"/>
              </w:rPr>
            </w:pPr>
            <w:r w:rsidRPr="00013CAF">
              <w:rPr>
                <w:rFonts w:ascii="Arial" w:eastAsia="Times New Roman" w:hAnsi="Arial" w:cs="Arial"/>
                <w:sz w:val="16"/>
                <w:szCs w:val="16"/>
                <w:lang w:eastAsia="sk-SK"/>
              </w:rPr>
              <w:t>0,00</w:t>
            </w:r>
          </w:p>
        </w:tc>
      </w:tr>
      <w:tr w:rsidR="001A24C3" w:rsidRPr="00013CAF" w14:paraId="790589BC"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65264AFF"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lastRenderedPageBreak/>
              <w:t>Celkové iné špecifické prevádzkové výdavky</w:t>
            </w:r>
          </w:p>
        </w:tc>
        <w:tc>
          <w:tcPr>
            <w:tcW w:w="1300" w:type="dxa"/>
            <w:tcBorders>
              <w:top w:val="nil"/>
              <w:left w:val="nil"/>
              <w:bottom w:val="double" w:sz="6" w:space="0" w:color="auto"/>
              <w:right w:val="single" w:sz="4" w:space="0" w:color="auto"/>
            </w:tcBorders>
            <w:shd w:val="clear" w:color="auto" w:fill="auto"/>
            <w:noWrap/>
            <w:vAlign w:val="bottom"/>
            <w:hideMark/>
          </w:tcPr>
          <w:p w14:paraId="091801B1" w14:textId="77777777" w:rsidR="001A24C3" w:rsidRPr="00013CAF" w:rsidRDefault="001A24C3" w:rsidP="00300963">
            <w:pPr>
              <w:jc w:val="right"/>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0,00</w:t>
            </w:r>
          </w:p>
        </w:tc>
      </w:tr>
      <w:tr w:rsidR="001A24C3" w:rsidRPr="00013CAF" w14:paraId="6D3B2234"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481F877"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Celkové prevádzkové výdavky</w:t>
            </w:r>
          </w:p>
        </w:tc>
        <w:tc>
          <w:tcPr>
            <w:tcW w:w="1300" w:type="dxa"/>
            <w:tcBorders>
              <w:top w:val="nil"/>
              <w:left w:val="nil"/>
              <w:bottom w:val="single" w:sz="4" w:space="0" w:color="auto"/>
              <w:right w:val="single" w:sz="4" w:space="0" w:color="auto"/>
            </w:tcBorders>
            <w:shd w:val="clear" w:color="auto" w:fill="auto"/>
            <w:noWrap/>
            <w:vAlign w:val="bottom"/>
            <w:hideMark/>
          </w:tcPr>
          <w:p w14:paraId="6925E124" w14:textId="77777777" w:rsidR="001A24C3" w:rsidRPr="00013CAF" w:rsidRDefault="001A24C3" w:rsidP="00300963">
            <w:pPr>
              <w:jc w:val="right"/>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-61 950 002,86</w:t>
            </w:r>
          </w:p>
        </w:tc>
      </w:tr>
    </w:tbl>
    <w:p w14:paraId="109C15F6" w14:textId="77777777" w:rsidR="001A24C3" w:rsidRPr="00643730" w:rsidRDefault="001A24C3" w:rsidP="001A24C3"/>
    <w:p w14:paraId="4F033597" w14:textId="77777777" w:rsidR="001A24C3" w:rsidRPr="005A058E" w:rsidRDefault="001A24C3" w:rsidP="005A058E">
      <w:pPr>
        <w:pStyle w:val="Nadpis41"/>
        <w:ind w:left="851" w:hanging="851"/>
        <w:rPr>
          <w:color w:val="auto"/>
          <w:sz w:val="24"/>
          <w:szCs w:val="24"/>
        </w:rPr>
      </w:pPr>
      <w:bookmarkStart w:id="290" w:name="_Toc88652989"/>
      <w:r w:rsidRPr="005A058E">
        <w:rPr>
          <w:color w:val="auto"/>
          <w:sz w:val="24"/>
          <w:szCs w:val="24"/>
        </w:rPr>
        <w:t>Prevádzkové príjmy</w:t>
      </w:r>
      <w:bookmarkEnd w:id="290"/>
      <w:r w:rsidRPr="005A058E">
        <w:rPr>
          <w:color w:val="auto"/>
          <w:sz w:val="24"/>
          <w:szCs w:val="24"/>
        </w:rPr>
        <w:t xml:space="preserve"> </w:t>
      </w:r>
    </w:p>
    <w:p w14:paraId="492BB6AD" w14:textId="77777777" w:rsidR="001A24C3" w:rsidRDefault="001A24C3" w:rsidP="001A24C3">
      <w:pPr>
        <w:pStyle w:val="TEXTkOICE"/>
        <w:ind w:left="0"/>
      </w:pPr>
      <w:bookmarkStart w:id="291" w:name="_Hlk88422988"/>
      <w:r>
        <w:t xml:space="preserve">Ako už bolo spomenuté v predchádzajúcej kapitole, ide o projekt generujúci príjmy, pričom sú tvorené poplatkami za dopravnú cestu v osobnej ako aj nákladnej doprave. </w:t>
      </w:r>
    </w:p>
    <w:bookmarkEnd w:id="291"/>
    <w:p w14:paraId="2D0BD601" w14:textId="77777777" w:rsidR="001A24C3" w:rsidRDefault="001A24C3" w:rsidP="001A24C3">
      <w:pPr>
        <w:suppressAutoHyphens/>
        <w:rPr>
          <w:rFonts w:ascii="Calibri" w:eastAsia="Calibri" w:hAnsi="Calibri" w:cs="Calibri"/>
          <w:lang w:eastAsia="sk-SK" w:bidi="sk-SK"/>
        </w:rPr>
      </w:pPr>
    </w:p>
    <w:p w14:paraId="3A1D9EF5" w14:textId="04A28ABC" w:rsidR="001A24C3" w:rsidRDefault="001A24C3" w:rsidP="005A058E">
      <w:pPr>
        <w:pStyle w:val="Popis"/>
        <w:keepNext/>
        <w:jc w:val="both"/>
      </w:pPr>
      <w:bookmarkStart w:id="292" w:name="_Toc83677918"/>
      <w:r>
        <w:t xml:space="preserve">Tabuľka </w:t>
      </w:r>
      <w:r w:rsidR="00DA0B84">
        <w:rPr>
          <w:noProof/>
        </w:rPr>
        <w:t>47</w:t>
      </w:r>
      <w:r>
        <w:tab/>
      </w:r>
      <w:r w:rsidRPr="007A3986">
        <w:t>Prevádzkové príjmy – prírastkové</w:t>
      </w:r>
      <w:bookmarkEnd w:id="292"/>
    </w:p>
    <w:tbl>
      <w:tblPr>
        <w:tblW w:w="5600" w:type="dxa"/>
        <w:tblCellMar>
          <w:left w:w="70" w:type="dxa"/>
          <w:right w:w="70" w:type="dxa"/>
        </w:tblCellMar>
        <w:tblLook w:val="04A0" w:firstRow="1" w:lastRow="0" w:firstColumn="1" w:lastColumn="0" w:noHBand="0" w:noVBand="1"/>
      </w:tblPr>
      <w:tblGrid>
        <w:gridCol w:w="4160"/>
        <w:gridCol w:w="1440"/>
      </w:tblGrid>
      <w:tr w:rsidR="001A24C3" w:rsidRPr="00013CAF" w14:paraId="0AE7EE11" w14:textId="77777777" w:rsidTr="00300963">
        <w:trPr>
          <w:trHeight w:val="204"/>
        </w:trPr>
        <w:tc>
          <w:tcPr>
            <w:tcW w:w="4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D67F87E"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4.3 Príjmy</w:t>
            </w:r>
          </w:p>
        </w:tc>
        <w:tc>
          <w:tcPr>
            <w:tcW w:w="1440" w:type="dxa"/>
            <w:tcBorders>
              <w:top w:val="single" w:sz="4" w:space="0" w:color="auto"/>
              <w:left w:val="nil"/>
              <w:bottom w:val="single" w:sz="4" w:space="0" w:color="auto"/>
              <w:right w:val="single" w:sz="4" w:space="0" w:color="auto"/>
            </w:tcBorders>
            <w:shd w:val="clear" w:color="auto" w:fill="auto"/>
            <w:noWrap/>
            <w:vAlign w:val="bottom"/>
            <w:hideMark/>
          </w:tcPr>
          <w:p w14:paraId="38B4CB4C"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 </w:t>
            </w:r>
          </w:p>
        </w:tc>
      </w:tr>
      <w:tr w:rsidR="001A24C3" w:rsidRPr="00013CAF" w14:paraId="477BDAFD" w14:textId="77777777" w:rsidTr="00300963">
        <w:trPr>
          <w:trHeight w:val="204"/>
        </w:trPr>
        <w:tc>
          <w:tcPr>
            <w:tcW w:w="4160" w:type="dxa"/>
            <w:tcBorders>
              <w:top w:val="nil"/>
              <w:left w:val="single" w:sz="4" w:space="0" w:color="auto"/>
              <w:bottom w:val="single" w:sz="4" w:space="0" w:color="auto"/>
              <w:right w:val="single" w:sz="4" w:space="0" w:color="auto"/>
            </w:tcBorders>
            <w:shd w:val="clear" w:color="000000" w:fill="FFFFCC"/>
            <w:noWrap/>
            <w:vAlign w:val="bottom"/>
            <w:hideMark/>
          </w:tcPr>
          <w:p w14:paraId="7EA4B247"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PRÍRASTKOVÉ</w:t>
            </w:r>
          </w:p>
        </w:tc>
        <w:tc>
          <w:tcPr>
            <w:tcW w:w="1440" w:type="dxa"/>
            <w:tcBorders>
              <w:top w:val="nil"/>
              <w:left w:val="nil"/>
              <w:bottom w:val="single" w:sz="4" w:space="0" w:color="auto"/>
              <w:right w:val="single" w:sz="4" w:space="0" w:color="auto"/>
            </w:tcBorders>
            <w:shd w:val="clear" w:color="000000" w:fill="FFFFCC"/>
            <w:noWrap/>
            <w:vAlign w:val="bottom"/>
            <w:hideMark/>
          </w:tcPr>
          <w:p w14:paraId="0F583F2A"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Celkom</w:t>
            </w:r>
          </w:p>
        </w:tc>
      </w:tr>
      <w:tr w:rsidR="001A24C3" w:rsidRPr="00013CAF" w14:paraId="39135219"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758D069B" w14:textId="77777777" w:rsidR="001A24C3" w:rsidRPr="00013CAF" w:rsidRDefault="001A24C3" w:rsidP="00300963">
            <w:pPr>
              <w:rPr>
                <w:rFonts w:ascii="Arial" w:eastAsia="Times New Roman" w:hAnsi="Arial" w:cs="Arial"/>
                <w:sz w:val="16"/>
                <w:szCs w:val="16"/>
                <w:lang w:eastAsia="sk-SK"/>
              </w:rPr>
            </w:pPr>
            <w:r w:rsidRPr="00013CAF">
              <w:rPr>
                <w:rFonts w:ascii="Arial" w:eastAsia="Times New Roman" w:hAnsi="Arial" w:cs="Arial"/>
                <w:sz w:val="16"/>
                <w:szCs w:val="16"/>
                <w:lang w:eastAsia="sk-SK"/>
              </w:rPr>
              <w:t>Tržby za DC - osobná doprava</w:t>
            </w:r>
          </w:p>
        </w:tc>
        <w:tc>
          <w:tcPr>
            <w:tcW w:w="1440" w:type="dxa"/>
            <w:tcBorders>
              <w:top w:val="nil"/>
              <w:left w:val="nil"/>
              <w:bottom w:val="single" w:sz="4" w:space="0" w:color="auto"/>
              <w:right w:val="single" w:sz="4" w:space="0" w:color="auto"/>
            </w:tcBorders>
            <w:shd w:val="clear" w:color="auto" w:fill="auto"/>
            <w:noWrap/>
            <w:vAlign w:val="bottom"/>
            <w:hideMark/>
          </w:tcPr>
          <w:p w14:paraId="3E435B53" w14:textId="77777777" w:rsidR="001A24C3" w:rsidRPr="00013CAF" w:rsidRDefault="001A24C3" w:rsidP="00300963">
            <w:pPr>
              <w:jc w:val="right"/>
              <w:rPr>
                <w:rFonts w:ascii="Arial" w:eastAsia="Times New Roman" w:hAnsi="Arial" w:cs="Arial"/>
                <w:sz w:val="16"/>
                <w:szCs w:val="16"/>
                <w:lang w:eastAsia="sk-SK"/>
              </w:rPr>
            </w:pPr>
            <w:r w:rsidRPr="00013CAF">
              <w:rPr>
                <w:rFonts w:ascii="Arial" w:eastAsia="Times New Roman" w:hAnsi="Arial" w:cs="Arial"/>
                <w:sz w:val="16"/>
                <w:szCs w:val="16"/>
                <w:lang w:eastAsia="sk-SK"/>
              </w:rPr>
              <w:t>2 749 132,30</w:t>
            </w:r>
          </w:p>
        </w:tc>
      </w:tr>
      <w:tr w:rsidR="001A24C3" w:rsidRPr="00013CAF" w14:paraId="230195E9"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354165D8" w14:textId="77777777" w:rsidR="001A24C3" w:rsidRPr="00013CAF" w:rsidRDefault="001A24C3" w:rsidP="00300963">
            <w:pPr>
              <w:rPr>
                <w:rFonts w:ascii="Arial" w:eastAsia="Times New Roman" w:hAnsi="Arial" w:cs="Arial"/>
                <w:sz w:val="16"/>
                <w:szCs w:val="16"/>
                <w:lang w:eastAsia="sk-SK"/>
              </w:rPr>
            </w:pPr>
            <w:r w:rsidRPr="00013CAF">
              <w:rPr>
                <w:rFonts w:ascii="Arial" w:eastAsia="Times New Roman" w:hAnsi="Arial" w:cs="Arial"/>
                <w:sz w:val="16"/>
                <w:szCs w:val="16"/>
                <w:lang w:eastAsia="sk-SK"/>
              </w:rPr>
              <w:t>Tržby za DC - nákladná doprava</w:t>
            </w:r>
          </w:p>
        </w:tc>
        <w:tc>
          <w:tcPr>
            <w:tcW w:w="1440" w:type="dxa"/>
            <w:tcBorders>
              <w:top w:val="nil"/>
              <w:left w:val="nil"/>
              <w:bottom w:val="single" w:sz="4" w:space="0" w:color="auto"/>
              <w:right w:val="single" w:sz="4" w:space="0" w:color="auto"/>
            </w:tcBorders>
            <w:shd w:val="clear" w:color="auto" w:fill="auto"/>
            <w:noWrap/>
            <w:vAlign w:val="bottom"/>
            <w:hideMark/>
          </w:tcPr>
          <w:p w14:paraId="28ECE45D" w14:textId="77777777" w:rsidR="001A24C3" w:rsidRPr="00013CAF" w:rsidRDefault="001A24C3" w:rsidP="00300963">
            <w:pPr>
              <w:jc w:val="right"/>
              <w:rPr>
                <w:rFonts w:ascii="Arial" w:eastAsia="Times New Roman" w:hAnsi="Arial" w:cs="Arial"/>
                <w:sz w:val="16"/>
                <w:szCs w:val="16"/>
                <w:lang w:eastAsia="sk-SK"/>
              </w:rPr>
            </w:pPr>
            <w:r w:rsidRPr="00013CAF">
              <w:rPr>
                <w:rFonts w:ascii="Arial" w:eastAsia="Times New Roman" w:hAnsi="Arial" w:cs="Arial"/>
                <w:sz w:val="16"/>
                <w:szCs w:val="16"/>
                <w:lang w:eastAsia="sk-SK"/>
              </w:rPr>
              <w:t>787 815,58</w:t>
            </w:r>
          </w:p>
        </w:tc>
      </w:tr>
      <w:tr w:rsidR="001A24C3" w:rsidRPr="00013CAF" w14:paraId="5F860AD7" w14:textId="77777777" w:rsidTr="00300963">
        <w:trPr>
          <w:trHeight w:val="204"/>
        </w:trPr>
        <w:tc>
          <w:tcPr>
            <w:tcW w:w="4160" w:type="dxa"/>
            <w:tcBorders>
              <w:top w:val="nil"/>
              <w:left w:val="single" w:sz="4" w:space="0" w:color="auto"/>
              <w:bottom w:val="single" w:sz="4" w:space="0" w:color="auto"/>
              <w:right w:val="single" w:sz="4" w:space="0" w:color="auto"/>
            </w:tcBorders>
            <w:shd w:val="clear" w:color="auto" w:fill="auto"/>
            <w:noWrap/>
            <w:vAlign w:val="bottom"/>
            <w:hideMark/>
          </w:tcPr>
          <w:p w14:paraId="0EE0C21F" w14:textId="77777777" w:rsidR="001A24C3" w:rsidRPr="00013CAF" w:rsidRDefault="001A24C3" w:rsidP="00300963">
            <w:pPr>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Celkové príjmy</w:t>
            </w:r>
          </w:p>
        </w:tc>
        <w:tc>
          <w:tcPr>
            <w:tcW w:w="1440" w:type="dxa"/>
            <w:tcBorders>
              <w:top w:val="nil"/>
              <w:left w:val="nil"/>
              <w:bottom w:val="single" w:sz="4" w:space="0" w:color="auto"/>
              <w:right w:val="single" w:sz="4" w:space="0" w:color="auto"/>
            </w:tcBorders>
            <w:shd w:val="clear" w:color="auto" w:fill="auto"/>
            <w:noWrap/>
            <w:vAlign w:val="bottom"/>
            <w:hideMark/>
          </w:tcPr>
          <w:p w14:paraId="5F83D4C2" w14:textId="77777777" w:rsidR="001A24C3" w:rsidRPr="00013CAF" w:rsidRDefault="001A24C3" w:rsidP="00300963">
            <w:pPr>
              <w:jc w:val="right"/>
              <w:rPr>
                <w:rFonts w:ascii="Arial" w:eastAsia="Times New Roman" w:hAnsi="Arial" w:cs="Arial"/>
                <w:b/>
                <w:bCs/>
                <w:sz w:val="16"/>
                <w:szCs w:val="16"/>
                <w:lang w:eastAsia="sk-SK"/>
              </w:rPr>
            </w:pPr>
            <w:r w:rsidRPr="00013CAF">
              <w:rPr>
                <w:rFonts w:ascii="Arial" w:eastAsia="Times New Roman" w:hAnsi="Arial" w:cs="Arial"/>
                <w:b/>
                <w:bCs/>
                <w:sz w:val="16"/>
                <w:szCs w:val="16"/>
                <w:lang w:eastAsia="sk-SK"/>
              </w:rPr>
              <w:t>3 536 947,87</w:t>
            </w:r>
          </w:p>
        </w:tc>
      </w:tr>
    </w:tbl>
    <w:p w14:paraId="345AB751" w14:textId="77777777" w:rsidR="001A24C3" w:rsidRDefault="001A24C3" w:rsidP="001A24C3">
      <w:pPr>
        <w:pStyle w:val="TEXTkOICE"/>
        <w:ind w:left="0"/>
      </w:pPr>
    </w:p>
    <w:p w14:paraId="173776C5" w14:textId="77777777" w:rsidR="001A24C3" w:rsidRPr="005A058E" w:rsidRDefault="001A24C3" w:rsidP="005A058E">
      <w:pPr>
        <w:pStyle w:val="Nadpis41"/>
        <w:ind w:left="851" w:hanging="851"/>
        <w:rPr>
          <w:color w:val="auto"/>
          <w:sz w:val="24"/>
          <w:szCs w:val="24"/>
        </w:rPr>
      </w:pPr>
      <w:bookmarkStart w:id="293" w:name="_Toc88652990"/>
      <w:r w:rsidRPr="005A058E">
        <w:rPr>
          <w:color w:val="auto"/>
          <w:sz w:val="24"/>
          <w:szCs w:val="24"/>
        </w:rPr>
        <w:t>Zostatková hodnota</w:t>
      </w:r>
      <w:bookmarkEnd w:id="293"/>
    </w:p>
    <w:p w14:paraId="45D41CF6" w14:textId="77777777" w:rsidR="001A24C3" w:rsidRDefault="001A24C3" w:rsidP="001A24C3">
      <w:pPr>
        <w:rPr>
          <w:lang w:eastAsia="sk-SK" w:bidi="sk-SK"/>
        </w:rPr>
      </w:pPr>
      <w:bookmarkStart w:id="294" w:name="_Hlk88423014"/>
      <w:r w:rsidRPr="00643730">
        <w:rPr>
          <w:lang w:eastAsia="sk-SK" w:bidi="sk-SK"/>
        </w:rPr>
        <w:t>Zostatková hodnota bola vo vypočítaná 2 spôsobmi</w:t>
      </w:r>
      <w:r>
        <w:rPr>
          <w:lang w:eastAsia="sk-SK" w:bidi="sk-SK"/>
        </w:rPr>
        <w:t xml:space="preserve"> p</w:t>
      </w:r>
      <w:r w:rsidRPr="00643730">
        <w:rPr>
          <w:lang w:eastAsia="sk-SK" w:bidi="sk-SK"/>
        </w:rPr>
        <w:t xml:space="preserve">omocou cash-flow tokov </w:t>
      </w:r>
      <w:r>
        <w:rPr>
          <w:lang w:eastAsia="sk-SK" w:bidi="sk-SK"/>
        </w:rPr>
        <w:t>a pomocou odpisov. Oba spôsoby boli použité aj pre finančnú aj pre ekonomickú analýzu, pričom vo finančnej analýze bola použitá zostatková hodnote pomocou cash – flow tokov, keďže ide o projekt generujúci príjmy. Vypočítaný výsledok je možné vidieť v nižšie uvedenej tabuľke. Detailnejšie výpočty sa nachádzajú v excelovskej časti.</w:t>
      </w:r>
    </w:p>
    <w:p w14:paraId="7567E873" w14:textId="1BA2A1B5" w:rsidR="001A24C3" w:rsidRDefault="001A24C3" w:rsidP="005A058E">
      <w:pPr>
        <w:pStyle w:val="Popis"/>
        <w:keepNext/>
        <w:jc w:val="both"/>
      </w:pPr>
      <w:bookmarkStart w:id="295" w:name="_Toc83677919"/>
      <w:bookmarkEnd w:id="294"/>
      <w:r>
        <w:t>Tabuľka</w:t>
      </w:r>
      <w:r w:rsidR="005A058E">
        <w:t xml:space="preserve"> </w:t>
      </w:r>
      <w:r w:rsidR="00DA0B84">
        <w:rPr>
          <w:noProof/>
        </w:rPr>
        <w:t>48</w:t>
      </w:r>
      <w:r>
        <w:tab/>
      </w:r>
      <w:r w:rsidRPr="00B47CCC">
        <w:t>Zostatková hodnota – metóda cash flow</w:t>
      </w:r>
      <w:bookmarkEnd w:id="295"/>
    </w:p>
    <w:tbl>
      <w:tblPr>
        <w:tblW w:w="8608" w:type="dxa"/>
        <w:tblCellMar>
          <w:left w:w="70" w:type="dxa"/>
          <w:right w:w="70" w:type="dxa"/>
        </w:tblCellMar>
        <w:tblLook w:val="04A0" w:firstRow="1" w:lastRow="0" w:firstColumn="1" w:lastColumn="0" w:noHBand="0" w:noVBand="1"/>
      </w:tblPr>
      <w:tblGrid>
        <w:gridCol w:w="7120"/>
        <w:gridCol w:w="1488"/>
      </w:tblGrid>
      <w:tr w:rsidR="001A24C3" w:rsidRPr="00E45533" w14:paraId="724301D4" w14:textId="77777777" w:rsidTr="00300963">
        <w:trPr>
          <w:trHeight w:val="216"/>
        </w:trPr>
        <w:tc>
          <w:tcPr>
            <w:tcW w:w="7120" w:type="dxa"/>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2E4D70E0" w14:textId="77777777" w:rsidR="001A24C3" w:rsidRPr="00E45533" w:rsidRDefault="001A24C3" w:rsidP="00300963">
            <w:pP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 xml:space="preserve">Zostatková hodnota na základe finančných peňažných tokoch </w:t>
            </w:r>
          </w:p>
        </w:tc>
        <w:tc>
          <w:tcPr>
            <w:tcW w:w="1488" w:type="dxa"/>
            <w:tcBorders>
              <w:top w:val="single" w:sz="8" w:space="0" w:color="auto"/>
              <w:left w:val="nil"/>
              <w:bottom w:val="single" w:sz="4" w:space="0" w:color="auto"/>
              <w:right w:val="single" w:sz="4" w:space="0" w:color="auto"/>
            </w:tcBorders>
            <w:shd w:val="clear" w:color="000000" w:fill="D9D9D9"/>
            <w:noWrap/>
            <w:vAlign w:val="center"/>
            <w:hideMark/>
          </w:tcPr>
          <w:p w14:paraId="6BF006D5" w14:textId="77777777" w:rsidR="001A24C3" w:rsidRPr="00E45533" w:rsidRDefault="001A24C3" w:rsidP="00300963">
            <w:pPr>
              <w:jc w:val="cente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Celkom</w:t>
            </w:r>
          </w:p>
        </w:tc>
      </w:tr>
      <w:tr w:rsidR="001A24C3" w:rsidRPr="00E45533" w14:paraId="565886E2"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0FAA03F3"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 xml:space="preserve">Peňažný tok - náklady na prevádzku a údržbu </w:t>
            </w:r>
          </w:p>
        </w:tc>
        <w:tc>
          <w:tcPr>
            <w:tcW w:w="1488" w:type="dxa"/>
            <w:tcBorders>
              <w:top w:val="nil"/>
              <w:left w:val="nil"/>
              <w:bottom w:val="single" w:sz="4" w:space="0" w:color="auto"/>
              <w:right w:val="single" w:sz="4" w:space="0" w:color="auto"/>
            </w:tcBorders>
            <w:shd w:val="clear" w:color="000000" w:fill="F2F2F2"/>
            <w:vAlign w:val="center"/>
            <w:hideMark/>
          </w:tcPr>
          <w:p w14:paraId="08664458" w14:textId="77777777" w:rsidR="001A24C3" w:rsidRPr="00E45533" w:rsidRDefault="001A24C3" w:rsidP="00300963">
            <w:pPr>
              <w:jc w:val="cente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0</w:t>
            </w:r>
          </w:p>
        </w:tc>
      </w:tr>
      <w:tr w:rsidR="001A24C3" w:rsidRPr="00E45533" w14:paraId="0E4E0405" w14:textId="77777777" w:rsidTr="00300963">
        <w:trPr>
          <w:trHeight w:val="216"/>
        </w:trPr>
        <w:tc>
          <w:tcPr>
            <w:tcW w:w="7120" w:type="dxa"/>
            <w:tcBorders>
              <w:top w:val="nil"/>
              <w:left w:val="single" w:sz="8" w:space="0" w:color="auto"/>
              <w:bottom w:val="nil"/>
              <w:right w:val="single" w:sz="4" w:space="0" w:color="auto"/>
            </w:tcBorders>
            <w:shd w:val="clear" w:color="auto" w:fill="auto"/>
            <w:noWrap/>
            <w:vAlign w:val="bottom"/>
            <w:hideMark/>
          </w:tcPr>
          <w:p w14:paraId="1D3B7EAB"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 xml:space="preserve">Peňažný tok - príjmy </w:t>
            </w:r>
          </w:p>
        </w:tc>
        <w:tc>
          <w:tcPr>
            <w:tcW w:w="1488" w:type="dxa"/>
            <w:tcBorders>
              <w:top w:val="single" w:sz="4" w:space="0" w:color="auto"/>
              <w:left w:val="single" w:sz="4" w:space="0" w:color="auto"/>
              <w:bottom w:val="nil"/>
              <w:right w:val="single" w:sz="4" w:space="0" w:color="auto"/>
            </w:tcBorders>
            <w:shd w:val="clear" w:color="000000" w:fill="F2F2F2"/>
            <w:vAlign w:val="center"/>
            <w:hideMark/>
          </w:tcPr>
          <w:p w14:paraId="0E77358C" w14:textId="77777777" w:rsidR="001A24C3" w:rsidRPr="00E45533" w:rsidRDefault="001A24C3" w:rsidP="00300963">
            <w:pPr>
              <w:jc w:val="cente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972 462</w:t>
            </w:r>
          </w:p>
        </w:tc>
      </w:tr>
      <w:tr w:rsidR="001A24C3" w:rsidRPr="00E45533" w14:paraId="5AD6903E" w14:textId="77777777" w:rsidTr="00300963">
        <w:trPr>
          <w:trHeight w:val="288"/>
        </w:trPr>
        <w:tc>
          <w:tcPr>
            <w:tcW w:w="712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1FCE438"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Súčasná hodnota čistých príjmov</w:t>
            </w:r>
          </w:p>
        </w:tc>
        <w:tc>
          <w:tcPr>
            <w:tcW w:w="1488" w:type="dxa"/>
            <w:tcBorders>
              <w:top w:val="single" w:sz="8" w:space="0" w:color="auto"/>
              <w:left w:val="nil"/>
              <w:bottom w:val="single" w:sz="8" w:space="0" w:color="auto"/>
              <w:right w:val="single" w:sz="4" w:space="0" w:color="auto"/>
            </w:tcBorders>
            <w:shd w:val="clear" w:color="000000" w:fill="FFFFCC"/>
            <w:vAlign w:val="center"/>
            <w:hideMark/>
          </w:tcPr>
          <w:p w14:paraId="3DCC1F39" w14:textId="77777777" w:rsidR="001A24C3" w:rsidRPr="00E45533" w:rsidRDefault="001A24C3" w:rsidP="00300963">
            <w:pPr>
              <w:jc w:val="center"/>
              <w:rPr>
                <w:rFonts w:ascii="Arial" w:eastAsia="Times New Roman" w:hAnsi="Arial" w:cs="Arial"/>
                <w:b/>
                <w:bCs/>
                <w:lang w:eastAsia="sk-SK"/>
              </w:rPr>
            </w:pPr>
            <w:r w:rsidRPr="00E45533">
              <w:rPr>
                <w:rFonts w:ascii="Arial" w:eastAsia="Times New Roman" w:hAnsi="Arial" w:cs="Arial"/>
                <w:b/>
                <w:bCs/>
                <w:lang w:eastAsia="sk-SK"/>
              </w:rPr>
              <w:t>2 896 891</w:t>
            </w:r>
          </w:p>
        </w:tc>
      </w:tr>
    </w:tbl>
    <w:p w14:paraId="74687FC0" w14:textId="77777777" w:rsidR="001A24C3" w:rsidRDefault="001A24C3" w:rsidP="001A24C3">
      <w:pPr>
        <w:rPr>
          <w:lang w:eastAsia="sk-SK" w:bidi="sk-SK"/>
        </w:rPr>
      </w:pPr>
    </w:p>
    <w:p w14:paraId="67F9D1CC" w14:textId="18001908" w:rsidR="001A24C3" w:rsidRDefault="001A24C3" w:rsidP="005A058E">
      <w:pPr>
        <w:pStyle w:val="Popis"/>
        <w:keepNext/>
        <w:jc w:val="both"/>
      </w:pPr>
      <w:bookmarkStart w:id="296" w:name="_Toc83677920"/>
      <w:r>
        <w:t xml:space="preserve">Tabuľka </w:t>
      </w:r>
      <w:r w:rsidR="00DA0B84">
        <w:rPr>
          <w:noProof/>
        </w:rPr>
        <w:t>49</w:t>
      </w:r>
      <w:r>
        <w:tab/>
      </w:r>
      <w:r w:rsidRPr="00B47CCC">
        <w:t>Zostatková hodnota – odpisová metóda</w:t>
      </w:r>
      <w:bookmarkEnd w:id="296"/>
    </w:p>
    <w:tbl>
      <w:tblPr>
        <w:tblW w:w="9214" w:type="dxa"/>
        <w:tblLayout w:type="fixed"/>
        <w:tblCellMar>
          <w:left w:w="70" w:type="dxa"/>
          <w:right w:w="70" w:type="dxa"/>
        </w:tblCellMar>
        <w:tblLook w:val="04A0" w:firstRow="1" w:lastRow="0" w:firstColumn="1" w:lastColumn="0" w:noHBand="0" w:noVBand="1"/>
      </w:tblPr>
      <w:tblGrid>
        <w:gridCol w:w="3402"/>
        <w:gridCol w:w="1134"/>
        <w:gridCol w:w="993"/>
        <w:gridCol w:w="992"/>
        <w:gridCol w:w="992"/>
        <w:gridCol w:w="709"/>
        <w:gridCol w:w="992"/>
      </w:tblGrid>
      <w:tr w:rsidR="001A24C3" w:rsidRPr="00352C80" w14:paraId="6965C578" w14:textId="77777777" w:rsidTr="00300963">
        <w:trPr>
          <w:trHeight w:val="204"/>
        </w:trPr>
        <w:tc>
          <w:tcPr>
            <w:tcW w:w="4536" w:type="dxa"/>
            <w:gridSpan w:val="2"/>
            <w:tcBorders>
              <w:top w:val="nil"/>
              <w:left w:val="nil"/>
              <w:bottom w:val="nil"/>
              <w:right w:val="nil"/>
            </w:tcBorders>
            <w:shd w:val="clear" w:color="auto" w:fill="auto"/>
            <w:noWrap/>
            <w:vAlign w:val="bottom"/>
            <w:hideMark/>
          </w:tcPr>
          <w:p w14:paraId="75F2726C" w14:textId="4E494D65" w:rsidR="001A24C3" w:rsidRPr="00352C80" w:rsidRDefault="001A24C3" w:rsidP="00300963">
            <w:pPr>
              <w:rPr>
                <w:rFonts w:ascii="Arial" w:eastAsia="Times New Roman" w:hAnsi="Arial" w:cs="Arial"/>
                <w:b/>
                <w:bCs/>
                <w:sz w:val="12"/>
                <w:szCs w:val="12"/>
                <w:lang w:eastAsia="sk-SK"/>
              </w:rPr>
            </w:pPr>
            <w:r w:rsidRPr="00352C80">
              <w:rPr>
                <w:rFonts w:ascii="Arial" w:eastAsia="Times New Roman" w:hAnsi="Arial" w:cs="Arial"/>
                <w:b/>
                <w:bCs/>
                <w:sz w:val="12"/>
                <w:szCs w:val="12"/>
                <w:lang w:eastAsia="sk-SK"/>
              </w:rPr>
              <w:t>2.1 Zostatková hodnota na základe životnosti infraštruktrálnych prvkov (alebo</w:t>
            </w:r>
            <w:r w:rsidR="005A058E">
              <w:rPr>
                <w:rFonts w:ascii="Arial" w:eastAsia="Times New Roman" w:hAnsi="Arial" w:cs="Arial"/>
                <w:b/>
                <w:bCs/>
                <w:sz w:val="12"/>
                <w:szCs w:val="12"/>
                <w:lang w:eastAsia="sk-SK"/>
              </w:rPr>
              <w:t xml:space="preserve"> </w:t>
            </w:r>
            <w:r w:rsidRPr="00352C80">
              <w:rPr>
                <w:rFonts w:ascii="Arial" w:eastAsia="Times New Roman" w:hAnsi="Arial" w:cs="Arial"/>
                <w:b/>
                <w:bCs/>
                <w:sz w:val="12"/>
                <w:szCs w:val="12"/>
                <w:lang w:eastAsia="sk-SK"/>
              </w:rPr>
              <w:t>tzv. účtovné odpisy)</w:t>
            </w:r>
          </w:p>
        </w:tc>
        <w:tc>
          <w:tcPr>
            <w:tcW w:w="993" w:type="dxa"/>
            <w:tcBorders>
              <w:top w:val="nil"/>
              <w:left w:val="nil"/>
              <w:bottom w:val="nil"/>
              <w:right w:val="nil"/>
            </w:tcBorders>
            <w:shd w:val="clear" w:color="auto" w:fill="auto"/>
            <w:noWrap/>
            <w:vAlign w:val="bottom"/>
            <w:hideMark/>
          </w:tcPr>
          <w:p w14:paraId="711C87FA" w14:textId="77777777" w:rsidR="001A24C3" w:rsidRPr="00352C80" w:rsidRDefault="001A24C3" w:rsidP="00300963">
            <w:pPr>
              <w:rPr>
                <w:rFonts w:ascii="Arial" w:eastAsia="Times New Roman" w:hAnsi="Arial" w:cs="Arial"/>
                <w:b/>
                <w:bCs/>
                <w:sz w:val="12"/>
                <w:szCs w:val="12"/>
                <w:lang w:eastAsia="sk-SK"/>
              </w:rPr>
            </w:pPr>
          </w:p>
        </w:tc>
        <w:tc>
          <w:tcPr>
            <w:tcW w:w="992" w:type="dxa"/>
            <w:tcBorders>
              <w:top w:val="nil"/>
              <w:left w:val="nil"/>
              <w:bottom w:val="nil"/>
              <w:right w:val="nil"/>
            </w:tcBorders>
            <w:shd w:val="clear" w:color="auto" w:fill="auto"/>
            <w:noWrap/>
            <w:vAlign w:val="bottom"/>
            <w:hideMark/>
          </w:tcPr>
          <w:p w14:paraId="6E996DA4" w14:textId="77777777" w:rsidR="001A24C3" w:rsidRPr="00352C80" w:rsidRDefault="001A24C3" w:rsidP="00300963">
            <w:pPr>
              <w:rPr>
                <w:rFonts w:ascii="Times New Roman" w:eastAsia="Times New Roman" w:hAnsi="Times New Roman" w:cs="Times New Roman"/>
                <w:sz w:val="12"/>
                <w:szCs w:val="12"/>
                <w:lang w:eastAsia="sk-SK"/>
              </w:rPr>
            </w:pPr>
          </w:p>
        </w:tc>
        <w:tc>
          <w:tcPr>
            <w:tcW w:w="992" w:type="dxa"/>
            <w:tcBorders>
              <w:top w:val="nil"/>
              <w:left w:val="nil"/>
              <w:bottom w:val="nil"/>
              <w:right w:val="nil"/>
            </w:tcBorders>
            <w:shd w:val="clear" w:color="auto" w:fill="auto"/>
            <w:noWrap/>
            <w:vAlign w:val="bottom"/>
            <w:hideMark/>
          </w:tcPr>
          <w:p w14:paraId="0F10151B" w14:textId="77777777" w:rsidR="001A24C3" w:rsidRPr="00352C80" w:rsidRDefault="001A24C3" w:rsidP="00300963">
            <w:pPr>
              <w:rPr>
                <w:rFonts w:ascii="Times New Roman" w:eastAsia="Times New Roman" w:hAnsi="Times New Roman" w:cs="Times New Roman"/>
                <w:sz w:val="12"/>
                <w:szCs w:val="12"/>
                <w:lang w:eastAsia="sk-SK"/>
              </w:rPr>
            </w:pPr>
          </w:p>
        </w:tc>
        <w:tc>
          <w:tcPr>
            <w:tcW w:w="709" w:type="dxa"/>
            <w:tcBorders>
              <w:top w:val="nil"/>
              <w:left w:val="nil"/>
              <w:bottom w:val="nil"/>
              <w:right w:val="nil"/>
            </w:tcBorders>
            <w:shd w:val="clear" w:color="auto" w:fill="auto"/>
            <w:noWrap/>
            <w:vAlign w:val="bottom"/>
            <w:hideMark/>
          </w:tcPr>
          <w:p w14:paraId="77066F44" w14:textId="77777777" w:rsidR="001A24C3" w:rsidRPr="00352C80" w:rsidRDefault="001A24C3" w:rsidP="00300963">
            <w:pPr>
              <w:rPr>
                <w:rFonts w:ascii="Times New Roman" w:eastAsia="Times New Roman" w:hAnsi="Times New Roman" w:cs="Times New Roman"/>
                <w:sz w:val="12"/>
                <w:szCs w:val="12"/>
                <w:lang w:eastAsia="sk-SK"/>
              </w:rPr>
            </w:pPr>
          </w:p>
        </w:tc>
        <w:tc>
          <w:tcPr>
            <w:tcW w:w="992" w:type="dxa"/>
            <w:tcBorders>
              <w:top w:val="single" w:sz="8" w:space="0" w:color="auto"/>
              <w:left w:val="single" w:sz="8" w:space="0" w:color="auto"/>
              <w:bottom w:val="nil"/>
              <w:right w:val="single" w:sz="4" w:space="0" w:color="auto"/>
            </w:tcBorders>
            <w:shd w:val="clear" w:color="auto" w:fill="auto"/>
            <w:noWrap/>
            <w:vAlign w:val="bottom"/>
            <w:hideMark/>
          </w:tcPr>
          <w:p w14:paraId="4CE78853" w14:textId="77777777" w:rsidR="001A24C3" w:rsidRPr="00352C80" w:rsidRDefault="001A24C3" w:rsidP="00300963">
            <w:pPr>
              <w:jc w:val="center"/>
              <w:rPr>
                <w:rFonts w:ascii="Arial" w:eastAsia="Times New Roman" w:hAnsi="Arial" w:cs="Arial"/>
                <w:b/>
                <w:bCs/>
                <w:sz w:val="12"/>
                <w:szCs w:val="12"/>
                <w:lang w:eastAsia="sk-SK"/>
              </w:rPr>
            </w:pPr>
            <w:r w:rsidRPr="00352C80">
              <w:rPr>
                <w:rFonts w:ascii="Arial" w:eastAsia="Times New Roman" w:hAnsi="Arial" w:cs="Arial"/>
                <w:b/>
                <w:bCs/>
                <w:sz w:val="12"/>
                <w:szCs w:val="12"/>
                <w:lang w:eastAsia="sk-SK"/>
              </w:rPr>
              <w:t>finančná</w:t>
            </w:r>
          </w:p>
        </w:tc>
      </w:tr>
      <w:tr w:rsidR="001A24C3" w:rsidRPr="00352C80" w14:paraId="5F76EF73" w14:textId="77777777" w:rsidTr="00300963">
        <w:trPr>
          <w:trHeight w:val="1020"/>
        </w:trPr>
        <w:tc>
          <w:tcPr>
            <w:tcW w:w="3402"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0558D53" w14:textId="77777777" w:rsidR="001A24C3" w:rsidRPr="00352C80" w:rsidRDefault="001A24C3" w:rsidP="00300963">
            <w:pPr>
              <w:rPr>
                <w:rFonts w:ascii="Arial" w:eastAsia="Times New Roman" w:hAnsi="Arial" w:cs="Arial"/>
                <w:b/>
                <w:bCs/>
                <w:sz w:val="10"/>
                <w:szCs w:val="10"/>
                <w:lang w:eastAsia="sk-SK"/>
              </w:rPr>
            </w:pPr>
            <w:r w:rsidRPr="00352C80">
              <w:rPr>
                <w:rFonts w:ascii="Arial" w:eastAsia="Times New Roman" w:hAnsi="Arial" w:cs="Arial"/>
                <w:b/>
                <w:bCs/>
                <w:sz w:val="10"/>
                <w:szCs w:val="10"/>
                <w:lang w:eastAsia="sk-SK"/>
              </w:rPr>
              <w:t>Infraštrukturálny prvok</w:t>
            </w:r>
          </w:p>
        </w:tc>
        <w:tc>
          <w:tcPr>
            <w:tcW w:w="1134" w:type="dxa"/>
            <w:tcBorders>
              <w:top w:val="single" w:sz="4" w:space="0" w:color="auto"/>
              <w:left w:val="nil"/>
              <w:bottom w:val="single" w:sz="4" w:space="0" w:color="auto"/>
              <w:right w:val="single" w:sz="4" w:space="0" w:color="auto"/>
            </w:tcBorders>
            <w:shd w:val="clear" w:color="000000" w:fill="D9D9D9"/>
            <w:vAlign w:val="bottom"/>
            <w:hideMark/>
          </w:tcPr>
          <w:p w14:paraId="6D1B5EE0" w14:textId="77777777" w:rsidR="001A24C3" w:rsidRPr="00352C80" w:rsidRDefault="001A24C3" w:rsidP="00300963">
            <w:pPr>
              <w:jc w:val="center"/>
              <w:rPr>
                <w:rFonts w:ascii="Arial" w:eastAsia="Times New Roman" w:hAnsi="Arial" w:cs="Arial"/>
                <w:b/>
                <w:bCs/>
                <w:sz w:val="10"/>
                <w:szCs w:val="10"/>
                <w:lang w:eastAsia="sk-SK"/>
              </w:rPr>
            </w:pPr>
            <w:r w:rsidRPr="00352C80">
              <w:rPr>
                <w:rFonts w:ascii="Arial" w:eastAsia="Times New Roman" w:hAnsi="Arial" w:cs="Arial"/>
                <w:b/>
                <w:bCs/>
                <w:sz w:val="10"/>
                <w:szCs w:val="10"/>
                <w:lang w:eastAsia="sk-SK"/>
              </w:rPr>
              <w:t>Životnosť v rokoch</w:t>
            </w:r>
          </w:p>
        </w:tc>
        <w:tc>
          <w:tcPr>
            <w:tcW w:w="993" w:type="dxa"/>
            <w:tcBorders>
              <w:top w:val="single" w:sz="4" w:space="0" w:color="auto"/>
              <w:left w:val="nil"/>
              <w:bottom w:val="single" w:sz="4" w:space="0" w:color="auto"/>
              <w:right w:val="single" w:sz="4" w:space="0" w:color="auto"/>
            </w:tcBorders>
            <w:shd w:val="clear" w:color="000000" w:fill="D9D9D9"/>
            <w:vAlign w:val="bottom"/>
            <w:hideMark/>
          </w:tcPr>
          <w:p w14:paraId="4E139A48" w14:textId="77777777" w:rsidR="001A24C3" w:rsidRPr="00352C80" w:rsidRDefault="001A24C3" w:rsidP="00300963">
            <w:pPr>
              <w:jc w:val="center"/>
              <w:rPr>
                <w:rFonts w:ascii="Arial" w:eastAsia="Times New Roman" w:hAnsi="Arial" w:cs="Arial"/>
                <w:b/>
                <w:bCs/>
                <w:sz w:val="10"/>
                <w:szCs w:val="10"/>
                <w:lang w:eastAsia="sk-SK"/>
              </w:rPr>
            </w:pPr>
            <w:r w:rsidRPr="00352C80">
              <w:rPr>
                <w:rFonts w:ascii="Arial" w:eastAsia="Times New Roman" w:hAnsi="Arial" w:cs="Arial"/>
                <w:b/>
                <w:bCs/>
                <w:sz w:val="10"/>
                <w:szCs w:val="10"/>
                <w:lang w:eastAsia="sk-SK"/>
              </w:rPr>
              <w:t>Obdobie prevádzky v rámci referenčného obdobia</w:t>
            </w:r>
          </w:p>
        </w:tc>
        <w:tc>
          <w:tcPr>
            <w:tcW w:w="992" w:type="dxa"/>
            <w:tcBorders>
              <w:top w:val="single" w:sz="4" w:space="0" w:color="auto"/>
              <w:left w:val="nil"/>
              <w:bottom w:val="single" w:sz="4" w:space="0" w:color="auto"/>
              <w:right w:val="single" w:sz="4" w:space="0" w:color="auto"/>
            </w:tcBorders>
            <w:shd w:val="clear" w:color="000000" w:fill="D9D9D9"/>
            <w:vAlign w:val="bottom"/>
            <w:hideMark/>
          </w:tcPr>
          <w:p w14:paraId="61129B63" w14:textId="77777777" w:rsidR="001A24C3" w:rsidRPr="00352C80" w:rsidRDefault="001A24C3" w:rsidP="00300963">
            <w:pPr>
              <w:jc w:val="center"/>
              <w:rPr>
                <w:rFonts w:ascii="Arial" w:eastAsia="Times New Roman" w:hAnsi="Arial" w:cs="Arial"/>
                <w:b/>
                <w:bCs/>
                <w:sz w:val="10"/>
                <w:szCs w:val="10"/>
                <w:lang w:eastAsia="sk-SK"/>
              </w:rPr>
            </w:pPr>
            <w:r w:rsidRPr="00352C80">
              <w:rPr>
                <w:rFonts w:ascii="Arial" w:eastAsia="Times New Roman" w:hAnsi="Arial" w:cs="Arial"/>
                <w:b/>
                <w:bCs/>
                <w:sz w:val="10"/>
                <w:szCs w:val="10"/>
                <w:lang w:eastAsia="sk-SK"/>
              </w:rPr>
              <w:t>Nevyhnutnosť výmeny</w:t>
            </w:r>
          </w:p>
        </w:tc>
        <w:tc>
          <w:tcPr>
            <w:tcW w:w="992" w:type="dxa"/>
            <w:tcBorders>
              <w:top w:val="single" w:sz="4" w:space="0" w:color="auto"/>
              <w:left w:val="nil"/>
              <w:bottom w:val="single" w:sz="4" w:space="0" w:color="auto"/>
              <w:right w:val="single" w:sz="4" w:space="0" w:color="auto"/>
            </w:tcBorders>
            <w:shd w:val="clear" w:color="000000" w:fill="D9D9D9"/>
            <w:vAlign w:val="bottom"/>
            <w:hideMark/>
          </w:tcPr>
          <w:p w14:paraId="21E02000" w14:textId="77777777" w:rsidR="001A24C3" w:rsidRPr="00352C80" w:rsidRDefault="001A24C3" w:rsidP="00300963">
            <w:pPr>
              <w:jc w:val="center"/>
              <w:rPr>
                <w:rFonts w:ascii="Arial" w:eastAsia="Times New Roman" w:hAnsi="Arial" w:cs="Arial"/>
                <w:b/>
                <w:bCs/>
                <w:sz w:val="10"/>
                <w:szCs w:val="10"/>
                <w:lang w:eastAsia="sk-SK"/>
              </w:rPr>
            </w:pPr>
            <w:r w:rsidRPr="00352C80">
              <w:rPr>
                <w:rFonts w:ascii="Arial" w:eastAsia="Times New Roman" w:hAnsi="Arial" w:cs="Arial"/>
                <w:b/>
                <w:bCs/>
                <w:sz w:val="10"/>
                <w:szCs w:val="10"/>
                <w:lang w:eastAsia="sk-SK"/>
              </w:rPr>
              <w:t>Životnosť (vrátane výmeny)</w:t>
            </w:r>
          </w:p>
        </w:tc>
        <w:tc>
          <w:tcPr>
            <w:tcW w:w="709" w:type="dxa"/>
            <w:tcBorders>
              <w:top w:val="single" w:sz="4" w:space="0" w:color="auto"/>
              <w:left w:val="nil"/>
              <w:bottom w:val="single" w:sz="4" w:space="0" w:color="auto"/>
              <w:right w:val="nil"/>
            </w:tcBorders>
            <w:shd w:val="clear" w:color="000000" w:fill="D9D9D9"/>
            <w:vAlign w:val="bottom"/>
            <w:hideMark/>
          </w:tcPr>
          <w:p w14:paraId="2E385D38" w14:textId="77777777" w:rsidR="001A24C3" w:rsidRPr="00352C80" w:rsidRDefault="001A24C3" w:rsidP="00300963">
            <w:pPr>
              <w:jc w:val="center"/>
              <w:rPr>
                <w:rFonts w:ascii="Arial" w:eastAsia="Times New Roman" w:hAnsi="Arial" w:cs="Arial"/>
                <w:b/>
                <w:bCs/>
                <w:sz w:val="10"/>
                <w:szCs w:val="10"/>
                <w:lang w:eastAsia="sk-SK"/>
              </w:rPr>
            </w:pPr>
            <w:r w:rsidRPr="00352C80">
              <w:rPr>
                <w:rFonts w:ascii="Arial" w:eastAsia="Times New Roman" w:hAnsi="Arial" w:cs="Arial"/>
                <w:b/>
                <w:bCs/>
                <w:sz w:val="10"/>
                <w:szCs w:val="10"/>
                <w:lang w:eastAsia="sk-SK"/>
              </w:rPr>
              <w:t>Zostávajúca životnosť v %*</w:t>
            </w:r>
          </w:p>
        </w:tc>
        <w:tc>
          <w:tcPr>
            <w:tcW w:w="992" w:type="dxa"/>
            <w:tcBorders>
              <w:top w:val="single" w:sz="4" w:space="0" w:color="auto"/>
              <w:left w:val="single" w:sz="8" w:space="0" w:color="auto"/>
              <w:bottom w:val="single" w:sz="4" w:space="0" w:color="auto"/>
              <w:right w:val="single" w:sz="4" w:space="0" w:color="auto"/>
            </w:tcBorders>
            <w:shd w:val="clear" w:color="000000" w:fill="D9D9D9"/>
            <w:vAlign w:val="bottom"/>
            <w:hideMark/>
          </w:tcPr>
          <w:p w14:paraId="435CF02E" w14:textId="77777777" w:rsidR="001A24C3" w:rsidRPr="00352C80" w:rsidRDefault="001A24C3" w:rsidP="00300963">
            <w:pPr>
              <w:jc w:val="center"/>
              <w:rPr>
                <w:rFonts w:ascii="Arial" w:eastAsia="Times New Roman" w:hAnsi="Arial" w:cs="Arial"/>
                <w:b/>
                <w:bCs/>
                <w:sz w:val="10"/>
                <w:szCs w:val="10"/>
                <w:lang w:eastAsia="sk-SK"/>
              </w:rPr>
            </w:pPr>
            <w:r w:rsidRPr="00352C80">
              <w:rPr>
                <w:rFonts w:ascii="Arial" w:eastAsia="Times New Roman" w:hAnsi="Arial" w:cs="Arial"/>
                <w:b/>
                <w:bCs/>
                <w:sz w:val="10"/>
                <w:szCs w:val="10"/>
                <w:lang w:eastAsia="sk-SK"/>
              </w:rPr>
              <w:t>Zostatková hodnota</w:t>
            </w:r>
          </w:p>
        </w:tc>
      </w:tr>
      <w:tr w:rsidR="001A24C3" w:rsidRPr="00352C80" w14:paraId="49D0F327"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0CCE757"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Pozemky</w:t>
            </w:r>
          </w:p>
        </w:tc>
        <w:tc>
          <w:tcPr>
            <w:tcW w:w="1134" w:type="dxa"/>
            <w:tcBorders>
              <w:top w:val="nil"/>
              <w:left w:val="nil"/>
              <w:bottom w:val="single" w:sz="4" w:space="0" w:color="auto"/>
              <w:right w:val="single" w:sz="4" w:space="0" w:color="auto"/>
            </w:tcBorders>
            <w:shd w:val="clear" w:color="auto" w:fill="auto"/>
            <w:vAlign w:val="bottom"/>
            <w:hideMark/>
          </w:tcPr>
          <w:p w14:paraId="7FD3E944"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nekonečná</w:t>
            </w:r>
          </w:p>
        </w:tc>
        <w:tc>
          <w:tcPr>
            <w:tcW w:w="993" w:type="dxa"/>
            <w:tcBorders>
              <w:top w:val="nil"/>
              <w:left w:val="nil"/>
              <w:bottom w:val="single" w:sz="4" w:space="0" w:color="auto"/>
              <w:right w:val="single" w:sz="4" w:space="0" w:color="auto"/>
            </w:tcBorders>
            <w:shd w:val="clear" w:color="auto" w:fill="auto"/>
            <w:vAlign w:val="center"/>
            <w:hideMark/>
          </w:tcPr>
          <w:p w14:paraId="7FA8CEDC"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0A14C330"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vAlign w:val="bottom"/>
            <w:hideMark/>
          </w:tcPr>
          <w:p w14:paraId="5990C64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nekonečná</w:t>
            </w:r>
          </w:p>
        </w:tc>
        <w:tc>
          <w:tcPr>
            <w:tcW w:w="709" w:type="dxa"/>
            <w:tcBorders>
              <w:top w:val="nil"/>
              <w:left w:val="nil"/>
              <w:bottom w:val="single" w:sz="4" w:space="0" w:color="auto"/>
              <w:right w:val="nil"/>
            </w:tcBorders>
            <w:shd w:val="clear" w:color="auto" w:fill="auto"/>
            <w:noWrap/>
            <w:vAlign w:val="bottom"/>
            <w:hideMark/>
          </w:tcPr>
          <w:p w14:paraId="22127FD6"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nekonečná</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3ABEEE83"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1 590 900,00</w:t>
            </w:r>
          </w:p>
        </w:tc>
      </w:tr>
      <w:tr w:rsidR="001A24C3" w:rsidRPr="00352C80" w14:paraId="1E56B05D"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00CF7A8"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Mosty železobetónové</w:t>
            </w:r>
          </w:p>
        </w:tc>
        <w:tc>
          <w:tcPr>
            <w:tcW w:w="1134" w:type="dxa"/>
            <w:tcBorders>
              <w:top w:val="nil"/>
              <w:left w:val="nil"/>
              <w:bottom w:val="single" w:sz="4" w:space="0" w:color="auto"/>
              <w:right w:val="single" w:sz="4" w:space="0" w:color="auto"/>
            </w:tcBorders>
            <w:shd w:val="clear" w:color="auto" w:fill="auto"/>
            <w:noWrap/>
            <w:vAlign w:val="bottom"/>
            <w:hideMark/>
          </w:tcPr>
          <w:p w14:paraId="3C85D5BA"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100</w:t>
            </w:r>
          </w:p>
        </w:tc>
        <w:tc>
          <w:tcPr>
            <w:tcW w:w="993" w:type="dxa"/>
            <w:tcBorders>
              <w:top w:val="nil"/>
              <w:left w:val="nil"/>
              <w:bottom w:val="single" w:sz="4" w:space="0" w:color="auto"/>
              <w:right w:val="single" w:sz="4" w:space="0" w:color="auto"/>
            </w:tcBorders>
            <w:shd w:val="clear" w:color="auto" w:fill="auto"/>
            <w:vAlign w:val="center"/>
            <w:hideMark/>
          </w:tcPr>
          <w:p w14:paraId="7565176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424004FD"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2D0C42D7"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100</w:t>
            </w:r>
          </w:p>
        </w:tc>
        <w:tc>
          <w:tcPr>
            <w:tcW w:w="709" w:type="dxa"/>
            <w:tcBorders>
              <w:top w:val="nil"/>
              <w:left w:val="nil"/>
              <w:bottom w:val="single" w:sz="4" w:space="0" w:color="auto"/>
              <w:right w:val="nil"/>
            </w:tcBorders>
            <w:shd w:val="clear" w:color="auto" w:fill="auto"/>
            <w:noWrap/>
            <w:vAlign w:val="bottom"/>
            <w:hideMark/>
          </w:tcPr>
          <w:p w14:paraId="4A6CFF48"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72%</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528A4A71"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0,00</w:t>
            </w:r>
          </w:p>
        </w:tc>
      </w:tr>
      <w:tr w:rsidR="001A24C3" w:rsidRPr="00352C80" w14:paraId="2B4AAADF"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EB8950E"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Mosty oceľové a priepusty</w:t>
            </w:r>
          </w:p>
        </w:tc>
        <w:tc>
          <w:tcPr>
            <w:tcW w:w="1134" w:type="dxa"/>
            <w:tcBorders>
              <w:top w:val="nil"/>
              <w:left w:val="nil"/>
              <w:bottom w:val="single" w:sz="4" w:space="0" w:color="auto"/>
              <w:right w:val="single" w:sz="4" w:space="0" w:color="auto"/>
            </w:tcBorders>
            <w:shd w:val="clear" w:color="auto" w:fill="auto"/>
            <w:noWrap/>
            <w:vAlign w:val="bottom"/>
            <w:hideMark/>
          </w:tcPr>
          <w:p w14:paraId="0A3B3FE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80</w:t>
            </w:r>
          </w:p>
        </w:tc>
        <w:tc>
          <w:tcPr>
            <w:tcW w:w="993" w:type="dxa"/>
            <w:tcBorders>
              <w:top w:val="nil"/>
              <w:left w:val="nil"/>
              <w:bottom w:val="single" w:sz="4" w:space="0" w:color="auto"/>
              <w:right w:val="single" w:sz="4" w:space="0" w:color="auto"/>
            </w:tcBorders>
            <w:shd w:val="clear" w:color="auto" w:fill="auto"/>
            <w:vAlign w:val="center"/>
            <w:hideMark/>
          </w:tcPr>
          <w:p w14:paraId="1E0F910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563AB884"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25C5820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80</w:t>
            </w:r>
          </w:p>
        </w:tc>
        <w:tc>
          <w:tcPr>
            <w:tcW w:w="709" w:type="dxa"/>
            <w:tcBorders>
              <w:top w:val="nil"/>
              <w:left w:val="nil"/>
              <w:bottom w:val="single" w:sz="4" w:space="0" w:color="auto"/>
              <w:right w:val="nil"/>
            </w:tcBorders>
            <w:shd w:val="clear" w:color="auto" w:fill="auto"/>
            <w:noWrap/>
            <w:vAlign w:val="bottom"/>
            <w:hideMark/>
          </w:tcPr>
          <w:p w14:paraId="251A643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65%</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00828C3D"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16 498 185,65</w:t>
            </w:r>
          </w:p>
        </w:tc>
      </w:tr>
      <w:tr w:rsidR="001A24C3" w:rsidRPr="00352C80" w14:paraId="668B55D8"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6A89F504"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Tunely</w:t>
            </w:r>
          </w:p>
        </w:tc>
        <w:tc>
          <w:tcPr>
            <w:tcW w:w="1134" w:type="dxa"/>
            <w:tcBorders>
              <w:top w:val="nil"/>
              <w:left w:val="nil"/>
              <w:bottom w:val="single" w:sz="4" w:space="0" w:color="auto"/>
              <w:right w:val="single" w:sz="4" w:space="0" w:color="auto"/>
            </w:tcBorders>
            <w:shd w:val="clear" w:color="auto" w:fill="auto"/>
            <w:noWrap/>
            <w:vAlign w:val="bottom"/>
            <w:hideMark/>
          </w:tcPr>
          <w:p w14:paraId="49899526"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80</w:t>
            </w:r>
          </w:p>
        </w:tc>
        <w:tc>
          <w:tcPr>
            <w:tcW w:w="993" w:type="dxa"/>
            <w:tcBorders>
              <w:top w:val="nil"/>
              <w:left w:val="nil"/>
              <w:bottom w:val="single" w:sz="4" w:space="0" w:color="auto"/>
              <w:right w:val="single" w:sz="4" w:space="0" w:color="auto"/>
            </w:tcBorders>
            <w:shd w:val="clear" w:color="auto" w:fill="auto"/>
            <w:vAlign w:val="center"/>
            <w:hideMark/>
          </w:tcPr>
          <w:p w14:paraId="3E2BAA2C"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2C2C2BE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359C450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80</w:t>
            </w:r>
          </w:p>
        </w:tc>
        <w:tc>
          <w:tcPr>
            <w:tcW w:w="709" w:type="dxa"/>
            <w:tcBorders>
              <w:top w:val="nil"/>
              <w:left w:val="nil"/>
              <w:bottom w:val="single" w:sz="4" w:space="0" w:color="auto"/>
              <w:right w:val="nil"/>
            </w:tcBorders>
            <w:shd w:val="clear" w:color="auto" w:fill="auto"/>
            <w:noWrap/>
            <w:vAlign w:val="bottom"/>
            <w:hideMark/>
          </w:tcPr>
          <w:p w14:paraId="47112C2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65%</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78D6E13A"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0,00</w:t>
            </w:r>
          </w:p>
        </w:tc>
      </w:tr>
      <w:tr w:rsidR="001A24C3" w:rsidRPr="00352C80" w14:paraId="0D61CA1B"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A692F57"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Budovy</w:t>
            </w:r>
          </w:p>
        </w:tc>
        <w:tc>
          <w:tcPr>
            <w:tcW w:w="1134" w:type="dxa"/>
            <w:tcBorders>
              <w:top w:val="nil"/>
              <w:left w:val="nil"/>
              <w:bottom w:val="single" w:sz="4" w:space="0" w:color="auto"/>
              <w:right w:val="single" w:sz="4" w:space="0" w:color="auto"/>
            </w:tcBorders>
            <w:shd w:val="clear" w:color="auto" w:fill="auto"/>
            <w:noWrap/>
            <w:vAlign w:val="bottom"/>
            <w:hideMark/>
          </w:tcPr>
          <w:p w14:paraId="0049D75A"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60</w:t>
            </w:r>
          </w:p>
        </w:tc>
        <w:tc>
          <w:tcPr>
            <w:tcW w:w="993" w:type="dxa"/>
            <w:tcBorders>
              <w:top w:val="nil"/>
              <w:left w:val="nil"/>
              <w:bottom w:val="single" w:sz="4" w:space="0" w:color="auto"/>
              <w:right w:val="single" w:sz="4" w:space="0" w:color="auto"/>
            </w:tcBorders>
            <w:shd w:val="clear" w:color="auto" w:fill="auto"/>
            <w:vAlign w:val="center"/>
            <w:hideMark/>
          </w:tcPr>
          <w:p w14:paraId="2BD75AC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7FC18DC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3F68261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60</w:t>
            </w:r>
          </w:p>
        </w:tc>
        <w:tc>
          <w:tcPr>
            <w:tcW w:w="709" w:type="dxa"/>
            <w:tcBorders>
              <w:top w:val="nil"/>
              <w:left w:val="nil"/>
              <w:bottom w:val="single" w:sz="4" w:space="0" w:color="auto"/>
              <w:right w:val="nil"/>
            </w:tcBorders>
            <w:shd w:val="clear" w:color="auto" w:fill="auto"/>
            <w:noWrap/>
            <w:vAlign w:val="bottom"/>
            <w:hideMark/>
          </w:tcPr>
          <w:p w14:paraId="198924E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53%</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3D58A940"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10 128,19</w:t>
            </w:r>
          </w:p>
        </w:tc>
      </w:tr>
      <w:tr w:rsidR="001A24C3" w:rsidRPr="00352C80" w14:paraId="12A0BD6B"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B9316B7"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Nástupištia</w:t>
            </w:r>
          </w:p>
        </w:tc>
        <w:tc>
          <w:tcPr>
            <w:tcW w:w="1134" w:type="dxa"/>
            <w:tcBorders>
              <w:top w:val="nil"/>
              <w:left w:val="nil"/>
              <w:bottom w:val="single" w:sz="4" w:space="0" w:color="auto"/>
              <w:right w:val="single" w:sz="4" w:space="0" w:color="auto"/>
            </w:tcBorders>
            <w:shd w:val="clear" w:color="auto" w:fill="auto"/>
            <w:noWrap/>
            <w:vAlign w:val="bottom"/>
            <w:hideMark/>
          </w:tcPr>
          <w:p w14:paraId="54DB716D"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40</w:t>
            </w:r>
          </w:p>
        </w:tc>
        <w:tc>
          <w:tcPr>
            <w:tcW w:w="993" w:type="dxa"/>
            <w:tcBorders>
              <w:top w:val="nil"/>
              <w:left w:val="nil"/>
              <w:bottom w:val="single" w:sz="4" w:space="0" w:color="auto"/>
              <w:right w:val="single" w:sz="4" w:space="0" w:color="auto"/>
            </w:tcBorders>
            <w:shd w:val="clear" w:color="auto" w:fill="auto"/>
            <w:vAlign w:val="center"/>
            <w:hideMark/>
          </w:tcPr>
          <w:p w14:paraId="019B41B0"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3C339D4F"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2326A52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40</w:t>
            </w:r>
          </w:p>
        </w:tc>
        <w:tc>
          <w:tcPr>
            <w:tcW w:w="709" w:type="dxa"/>
            <w:tcBorders>
              <w:top w:val="nil"/>
              <w:left w:val="nil"/>
              <w:bottom w:val="single" w:sz="4" w:space="0" w:color="auto"/>
              <w:right w:val="nil"/>
            </w:tcBorders>
            <w:shd w:val="clear" w:color="auto" w:fill="auto"/>
            <w:noWrap/>
            <w:vAlign w:val="bottom"/>
            <w:hideMark/>
          </w:tcPr>
          <w:p w14:paraId="1C9AE373"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7D14662D"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682 797,41</w:t>
            </w:r>
          </w:p>
        </w:tc>
      </w:tr>
      <w:tr w:rsidR="001A24C3" w:rsidRPr="00352C80" w14:paraId="1389BAF1"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3B8F6918"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Cestné komunikácie</w:t>
            </w:r>
          </w:p>
        </w:tc>
        <w:tc>
          <w:tcPr>
            <w:tcW w:w="1134" w:type="dxa"/>
            <w:tcBorders>
              <w:top w:val="nil"/>
              <w:left w:val="nil"/>
              <w:bottom w:val="single" w:sz="4" w:space="0" w:color="auto"/>
              <w:right w:val="single" w:sz="4" w:space="0" w:color="auto"/>
            </w:tcBorders>
            <w:shd w:val="clear" w:color="auto" w:fill="auto"/>
            <w:noWrap/>
            <w:vAlign w:val="bottom"/>
            <w:hideMark/>
          </w:tcPr>
          <w:p w14:paraId="07BF928B"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50</w:t>
            </w:r>
          </w:p>
        </w:tc>
        <w:tc>
          <w:tcPr>
            <w:tcW w:w="993" w:type="dxa"/>
            <w:tcBorders>
              <w:top w:val="nil"/>
              <w:left w:val="nil"/>
              <w:bottom w:val="single" w:sz="4" w:space="0" w:color="auto"/>
              <w:right w:val="single" w:sz="4" w:space="0" w:color="auto"/>
            </w:tcBorders>
            <w:shd w:val="clear" w:color="auto" w:fill="auto"/>
            <w:vAlign w:val="center"/>
            <w:hideMark/>
          </w:tcPr>
          <w:p w14:paraId="5B65834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606A687A"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6D36EBCE"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50</w:t>
            </w:r>
          </w:p>
        </w:tc>
        <w:tc>
          <w:tcPr>
            <w:tcW w:w="709" w:type="dxa"/>
            <w:tcBorders>
              <w:top w:val="nil"/>
              <w:left w:val="nil"/>
              <w:bottom w:val="single" w:sz="4" w:space="0" w:color="auto"/>
              <w:right w:val="nil"/>
            </w:tcBorders>
            <w:shd w:val="clear" w:color="auto" w:fill="auto"/>
            <w:noWrap/>
            <w:vAlign w:val="bottom"/>
            <w:hideMark/>
          </w:tcPr>
          <w:p w14:paraId="6F0135B8"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44%</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1C76C5AA"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675 665,76</w:t>
            </w:r>
          </w:p>
        </w:tc>
      </w:tr>
      <w:tr w:rsidR="001A24C3" w:rsidRPr="00352C80" w14:paraId="2712890E"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25D55B29"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xml:space="preserve">Trať – železničný spodok </w:t>
            </w:r>
          </w:p>
        </w:tc>
        <w:tc>
          <w:tcPr>
            <w:tcW w:w="1134" w:type="dxa"/>
            <w:tcBorders>
              <w:top w:val="nil"/>
              <w:left w:val="nil"/>
              <w:bottom w:val="single" w:sz="4" w:space="0" w:color="auto"/>
              <w:right w:val="single" w:sz="4" w:space="0" w:color="auto"/>
            </w:tcBorders>
            <w:shd w:val="clear" w:color="auto" w:fill="auto"/>
            <w:noWrap/>
            <w:vAlign w:val="bottom"/>
            <w:hideMark/>
          </w:tcPr>
          <w:p w14:paraId="051702CC"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50</w:t>
            </w:r>
          </w:p>
        </w:tc>
        <w:tc>
          <w:tcPr>
            <w:tcW w:w="993" w:type="dxa"/>
            <w:tcBorders>
              <w:top w:val="nil"/>
              <w:left w:val="nil"/>
              <w:bottom w:val="single" w:sz="4" w:space="0" w:color="auto"/>
              <w:right w:val="single" w:sz="4" w:space="0" w:color="auto"/>
            </w:tcBorders>
            <w:shd w:val="clear" w:color="auto" w:fill="auto"/>
            <w:vAlign w:val="center"/>
            <w:hideMark/>
          </w:tcPr>
          <w:p w14:paraId="5ED309D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612DBD7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32C9A2AB"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50</w:t>
            </w:r>
          </w:p>
        </w:tc>
        <w:tc>
          <w:tcPr>
            <w:tcW w:w="709" w:type="dxa"/>
            <w:tcBorders>
              <w:top w:val="nil"/>
              <w:left w:val="nil"/>
              <w:bottom w:val="single" w:sz="4" w:space="0" w:color="auto"/>
              <w:right w:val="nil"/>
            </w:tcBorders>
            <w:shd w:val="clear" w:color="auto" w:fill="auto"/>
            <w:noWrap/>
            <w:vAlign w:val="bottom"/>
            <w:hideMark/>
          </w:tcPr>
          <w:p w14:paraId="7C72554E"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44%</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493F93B6"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7 033 173,43</w:t>
            </w:r>
          </w:p>
        </w:tc>
      </w:tr>
      <w:tr w:rsidR="001A24C3" w:rsidRPr="00352C80" w14:paraId="62E95EB7"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D20B30F"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xml:space="preserve">Trať – železničný zvršok </w:t>
            </w:r>
          </w:p>
        </w:tc>
        <w:tc>
          <w:tcPr>
            <w:tcW w:w="1134" w:type="dxa"/>
            <w:tcBorders>
              <w:top w:val="nil"/>
              <w:left w:val="nil"/>
              <w:bottom w:val="single" w:sz="4" w:space="0" w:color="auto"/>
              <w:right w:val="single" w:sz="4" w:space="0" w:color="auto"/>
            </w:tcBorders>
            <w:shd w:val="clear" w:color="auto" w:fill="auto"/>
            <w:noWrap/>
            <w:vAlign w:val="bottom"/>
            <w:hideMark/>
          </w:tcPr>
          <w:p w14:paraId="3A81F92D"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993" w:type="dxa"/>
            <w:tcBorders>
              <w:top w:val="nil"/>
              <w:left w:val="nil"/>
              <w:bottom w:val="single" w:sz="4" w:space="0" w:color="auto"/>
              <w:right w:val="single" w:sz="4" w:space="0" w:color="auto"/>
            </w:tcBorders>
            <w:shd w:val="clear" w:color="auto" w:fill="auto"/>
            <w:vAlign w:val="center"/>
            <w:hideMark/>
          </w:tcPr>
          <w:p w14:paraId="27410C1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05789E0E"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7F542333"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709" w:type="dxa"/>
            <w:tcBorders>
              <w:top w:val="nil"/>
              <w:left w:val="nil"/>
              <w:bottom w:val="single" w:sz="4" w:space="0" w:color="auto"/>
              <w:right w:val="nil"/>
            </w:tcBorders>
            <w:shd w:val="clear" w:color="auto" w:fill="auto"/>
            <w:noWrap/>
            <w:vAlign w:val="bottom"/>
            <w:hideMark/>
          </w:tcPr>
          <w:p w14:paraId="59D74A7F"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7%</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3351C46D"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2 064 605,04</w:t>
            </w:r>
          </w:p>
        </w:tc>
      </w:tr>
      <w:tr w:rsidR="001A24C3" w:rsidRPr="00352C80" w14:paraId="31CC409A"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2DE37982"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Podporné a oporné múry, spevnenie svahu</w:t>
            </w:r>
          </w:p>
        </w:tc>
        <w:tc>
          <w:tcPr>
            <w:tcW w:w="1134" w:type="dxa"/>
            <w:tcBorders>
              <w:top w:val="nil"/>
              <w:left w:val="nil"/>
              <w:bottom w:val="single" w:sz="4" w:space="0" w:color="auto"/>
              <w:right w:val="single" w:sz="4" w:space="0" w:color="auto"/>
            </w:tcBorders>
            <w:shd w:val="clear" w:color="auto" w:fill="auto"/>
            <w:noWrap/>
            <w:vAlign w:val="bottom"/>
            <w:hideMark/>
          </w:tcPr>
          <w:p w14:paraId="0AB940B4"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50</w:t>
            </w:r>
          </w:p>
        </w:tc>
        <w:tc>
          <w:tcPr>
            <w:tcW w:w="993" w:type="dxa"/>
            <w:tcBorders>
              <w:top w:val="nil"/>
              <w:left w:val="nil"/>
              <w:bottom w:val="single" w:sz="4" w:space="0" w:color="auto"/>
              <w:right w:val="single" w:sz="4" w:space="0" w:color="auto"/>
            </w:tcBorders>
            <w:shd w:val="clear" w:color="auto" w:fill="auto"/>
            <w:vAlign w:val="center"/>
            <w:hideMark/>
          </w:tcPr>
          <w:p w14:paraId="7FF3F003"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4C4B8CE3"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0968CC97"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50</w:t>
            </w:r>
          </w:p>
        </w:tc>
        <w:tc>
          <w:tcPr>
            <w:tcW w:w="709" w:type="dxa"/>
            <w:tcBorders>
              <w:top w:val="nil"/>
              <w:left w:val="nil"/>
              <w:bottom w:val="single" w:sz="4" w:space="0" w:color="auto"/>
              <w:right w:val="nil"/>
            </w:tcBorders>
            <w:shd w:val="clear" w:color="auto" w:fill="auto"/>
            <w:noWrap/>
            <w:vAlign w:val="bottom"/>
            <w:hideMark/>
          </w:tcPr>
          <w:p w14:paraId="147D7475"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44%</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2BE95770"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2 270 905,66</w:t>
            </w:r>
          </w:p>
        </w:tc>
      </w:tr>
      <w:tr w:rsidR="001A24C3" w:rsidRPr="00352C80" w14:paraId="4124539C"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3D7106B"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Elektrifikácia – trakčné napájacie stanice, trakčné vedenia</w:t>
            </w:r>
          </w:p>
        </w:tc>
        <w:tc>
          <w:tcPr>
            <w:tcW w:w="1134" w:type="dxa"/>
            <w:tcBorders>
              <w:top w:val="nil"/>
              <w:left w:val="nil"/>
              <w:bottom w:val="single" w:sz="4" w:space="0" w:color="auto"/>
              <w:right w:val="single" w:sz="4" w:space="0" w:color="auto"/>
            </w:tcBorders>
            <w:shd w:val="clear" w:color="auto" w:fill="auto"/>
            <w:noWrap/>
            <w:vAlign w:val="bottom"/>
            <w:hideMark/>
          </w:tcPr>
          <w:p w14:paraId="6C9D7C6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993" w:type="dxa"/>
            <w:tcBorders>
              <w:top w:val="nil"/>
              <w:left w:val="nil"/>
              <w:bottom w:val="single" w:sz="4" w:space="0" w:color="auto"/>
              <w:right w:val="single" w:sz="4" w:space="0" w:color="auto"/>
            </w:tcBorders>
            <w:shd w:val="clear" w:color="auto" w:fill="auto"/>
            <w:vAlign w:val="center"/>
            <w:hideMark/>
          </w:tcPr>
          <w:p w14:paraId="70B9BF8C"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20F6591E"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25C5A61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709" w:type="dxa"/>
            <w:tcBorders>
              <w:top w:val="nil"/>
              <w:left w:val="nil"/>
              <w:bottom w:val="single" w:sz="4" w:space="0" w:color="auto"/>
              <w:right w:val="nil"/>
            </w:tcBorders>
            <w:shd w:val="clear" w:color="auto" w:fill="auto"/>
            <w:noWrap/>
            <w:vAlign w:val="bottom"/>
            <w:hideMark/>
          </w:tcPr>
          <w:p w14:paraId="2A81CA86"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7%</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50434E6C"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1 738 181,99</w:t>
            </w:r>
          </w:p>
        </w:tc>
      </w:tr>
      <w:tr w:rsidR="001A24C3" w:rsidRPr="00352C80" w14:paraId="6138404E"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29A8615D"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Oznamovacie a telekomunikačné zariadenia</w:t>
            </w:r>
          </w:p>
        </w:tc>
        <w:tc>
          <w:tcPr>
            <w:tcW w:w="1134" w:type="dxa"/>
            <w:tcBorders>
              <w:top w:val="nil"/>
              <w:left w:val="nil"/>
              <w:bottom w:val="single" w:sz="4" w:space="0" w:color="auto"/>
              <w:right w:val="single" w:sz="4" w:space="0" w:color="auto"/>
            </w:tcBorders>
            <w:shd w:val="clear" w:color="auto" w:fill="auto"/>
            <w:noWrap/>
            <w:vAlign w:val="bottom"/>
            <w:hideMark/>
          </w:tcPr>
          <w:p w14:paraId="3BABF085"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20</w:t>
            </w:r>
          </w:p>
        </w:tc>
        <w:tc>
          <w:tcPr>
            <w:tcW w:w="993" w:type="dxa"/>
            <w:tcBorders>
              <w:top w:val="nil"/>
              <w:left w:val="nil"/>
              <w:bottom w:val="single" w:sz="4" w:space="0" w:color="auto"/>
              <w:right w:val="single" w:sz="4" w:space="0" w:color="auto"/>
            </w:tcBorders>
            <w:shd w:val="clear" w:color="auto" w:fill="auto"/>
            <w:vAlign w:val="center"/>
            <w:hideMark/>
          </w:tcPr>
          <w:p w14:paraId="4E36FFF3"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2F05DAC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1</w:t>
            </w:r>
          </w:p>
        </w:tc>
        <w:tc>
          <w:tcPr>
            <w:tcW w:w="992" w:type="dxa"/>
            <w:tcBorders>
              <w:top w:val="nil"/>
              <w:left w:val="nil"/>
              <w:bottom w:val="single" w:sz="4" w:space="0" w:color="auto"/>
              <w:right w:val="single" w:sz="4" w:space="0" w:color="auto"/>
            </w:tcBorders>
            <w:shd w:val="clear" w:color="auto" w:fill="auto"/>
            <w:noWrap/>
            <w:vAlign w:val="bottom"/>
            <w:hideMark/>
          </w:tcPr>
          <w:p w14:paraId="0EA5F0EA"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40</w:t>
            </w:r>
          </w:p>
        </w:tc>
        <w:tc>
          <w:tcPr>
            <w:tcW w:w="709" w:type="dxa"/>
            <w:tcBorders>
              <w:top w:val="nil"/>
              <w:left w:val="nil"/>
              <w:bottom w:val="single" w:sz="4" w:space="0" w:color="auto"/>
              <w:right w:val="nil"/>
            </w:tcBorders>
            <w:shd w:val="clear" w:color="auto" w:fill="auto"/>
            <w:noWrap/>
            <w:vAlign w:val="bottom"/>
            <w:hideMark/>
          </w:tcPr>
          <w:p w14:paraId="0F17E97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60%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23647DBB"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1 288 740,43</w:t>
            </w:r>
          </w:p>
        </w:tc>
      </w:tr>
      <w:tr w:rsidR="001A24C3" w:rsidRPr="00352C80" w14:paraId="15AC29CC"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4607D437"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Signalizačné a zabezpečovacie zariadenia</w:t>
            </w:r>
          </w:p>
        </w:tc>
        <w:tc>
          <w:tcPr>
            <w:tcW w:w="1134" w:type="dxa"/>
            <w:tcBorders>
              <w:top w:val="nil"/>
              <w:left w:val="nil"/>
              <w:bottom w:val="single" w:sz="4" w:space="0" w:color="auto"/>
              <w:right w:val="single" w:sz="4" w:space="0" w:color="auto"/>
            </w:tcBorders>
            <w:shd w:val="clear" w:color="auto" w:fill="auto"/>
            <w:noWrap/>
            <w:vAlign w:val="bottom"/>
            <w:hideMark/>
          </w:tcPr>
          <w:p w14:paraId="356520B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20</w:t>
            </w:r>
          </w:p>
        </w:tc>
        <w:tc>
          <w:tcPr>
            <w:tcW w:w="993" w:type="dxa"/>
            <w:tcBorders>
              <w:top w:val="nil"/>
              <w:left w:val="nil"/>
              <w:bottom w:val="single" w:sz="4" w:space="0" w:color="auto"/>
              <w:right w:val="single" w:sz="4" w:space="0" w:color="auto"/>
            </w:tcBorders>
            <w:shd w:val="clear" w:color="auto" w:fill="auto"/>
            <w:vAlign w:val="center"/>
            <w:hideMark/>
          </w:tcPr>
          <w:p w14:paraId="03A3F08F"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435051A6"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1</w:t>
            </w:r>
          </w:p>
        </w:tc>
        <w:tc>
          <w:tcPr>
            <w:tcW w:w="992" w:type="dxa"/>
            <w:tcBorders>
              <w:top w:val="nil"/>
              <w:left w:val="nil"/>
              <w:bottom w:val="single" w:sz="4" w:space="0" w:color="auto"/>
              <w:right w:val="single" w:sz="4" w:space="0" w:color="auto"/>
            </w:tcBorders>
            <w:shd w:val="clear" w:color="auto" w:fill="auto"/>
            <w:noWrap/>
            <w:vAlign w:val="bottom"/>
            <w:hideMark/>
          </w:tcPr>
          <w:p w14:paraId="7B5933E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40</w:t>
            </w:r>
          </w:p>
        </w:tc>
        <w:tc>
          <w:tcPr>
            <w:tcW w:w="709" w:type="dxa"/>
            <w:tcBorders>
              <w:top w:val="nil"/>
              <w:left w:val="nil"/>
              <w:bottom w:val="single" w:sz="4" w:space="0" w:color="auto"/>
              <w:right w:val="nil"/>
            </w:tcBorders>
            <w:shd w:val="clear" w:color="auto" w:fill="auto"/>
            <w:noWrap/>
            <w:vAlign w:val="bottom"/>
            <w:hideMark/>
          </w:tcPr>
          <w:p w14:paraId="2828322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60%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2917EB57"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3 539 186,57</w:t>
            </w:r>
          </w:p>
        </w:tc>
      </w:tr>
      <w:tr w:rsidR="001A24C3" w:rsidRPr="00352C80" w14:paraId="7FAF6AB5"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8CC2BA3"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Zariadenia energetiky a elektrotechniky</w:t>
            </w:r>
          </w:p>
        </w:tc>
        <w:tc>
          <w:tcPr>
            <w:tcW w:w="1134" w:type="dxa"/>
            <w:tcBorders>
              <w:top w:val="nil"/>
              <w:left w:val="nil"/>
              <w:bottom w:val="single" w:sz="4" w:space="0" w:color="auto"/>
              <w:right w:val="single" w:sz="4" w:space="0" w:color="auto"/>
            </w:tcBorders>
            <w:shd w:val="clear" w:color="auto" w:fill="auto"/>
            <w:noWrap/>
            <w:vAlign w:val="bottom"/>
            <w:hideMark/>
          </w:tcPr>
          <w:p w14:paraId="1BB2CC5B"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993" w:type="dxa"/>
            <w:tcBorders>
              <w:top w:val="nil"/>
              <w:left w:val="nil"/>
              <w:bottom w:val="single" w:sz="4" w:space="0" w:color="auto"/>
              <w:right w:val="single" w:sz="4" w:space="0" w:color="auto"/>
            </w:tcBorders>
            <w:shd w:val="clear" w:color="auto" w:fill="auto"/>
            <w:vAlign w:val="center"/>
            <w:hideMark/>
          </w:tcPr>
          <w:p w14:paraId="3556851E"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533DA35E"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7EB13452"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709" w:type="dxa"/>
            <w:tcBorders>
              <w:top w:val="nil"/>
              <w:left w:val="nil"/>
              <w:bottom w:val="single" w:sz="4" w:space="0" w:color="auto"/>
              <w:right w:val="nil"/>
            </w:tcBorders>
            <w:shd w:val="clear" w:color="auto" w:fill="auto"/>
            <w:noWrap/>
            <w:vAlign w:val="bottom"/>
            <w:hideMark/>
          </w:tcPr>
          <w:p w14:paraId="6F31328F"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7%</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4D6D930E"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0,00</w:t>
            </w:r>
          </w:p>
        </w:tc>
      </w:tr>
      <w:tr w:rsidR="001A24C3" w:rsidRPr="00352C80" w14:paraId="720F3BF4"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79D8DCE"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xml:space="preserve">Stroje a zariadenia </w:t>
            </w:r>
          </w:p>
        </w:tc>
        <w:tc>
          <w:tcPr>
            <w:tcW w:w="1134" w:type="dxa"/>
            <w:tcBorders>
              <w:top w:val="nil"/>
              <w:left w:val="nil"/>
              <w:bottom w:val="single" w:sz="4" w:space="0" w:color="auto"/>
              <w:right w:val="single" w:sz="4" w:space="0" w:color="auto"/>
            </w:tcBorders>
            <w:shd w:val="clear" w:color="auto" w:fill="auto"/>
            <w:noWrap/>
            <w:vAlign w:val="bottom"/>
            <w:hideMark/>
          </w:tcPr>
          <w:p w14:paraId="4255C89D"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993" w:type="dxa"/>
            <w:tcBorders>
              <w:top w:val="nil"/>
              <w:left w:val="nil"/>
              <w:bottom w:val="single" w:sz="4" w:space="0" w:color="auto"/>
              <w:right w:val="single" w:sz="4" w:space="0" w:color="auto"/>
            </w:tcBorders>
            <w:shd w:val="clear" w:color="auto" w:fill="auto"/>
            <w:vAlign w:val="center"/>
            <w:hideMark/>
          </w:tcPr>
          <w:p w14:paraId="6FFE1263"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01145AA0"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04E56CF1"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709" w:type="dxa"/>
            <w:tcBorders>
              <w:top w:val="nil"/>
              <w:left w:val="nil"/>
              <w:bottom w:val="single" w:sz="4" w:space="0" w:color="auto"/>
              <w:right w:val="nil"/>
            </w:tcBorders>
            <w:shd w:val="clear" w:color="auto" w:fill="auto"/>
            <w:noWrap/>
            <w:vAlign w:val="bottom"/>
            <w:hideMark/>
          </w:tcPr>
          <w:p w14:paraId="70911198"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7%</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085CFAD4"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0,00</w:t>
            </w:r>
          </w:p>
        </w:tc>
      </w:tr>
      <w:tr w:rsidR="001A24C3" w:rsidRPr="00352C80" w14:paraId="41EDA8C2" w14:textId="77777777" w:rsidTr="00300963">
        <w:trPr>
          <w:trHeight w:val="216"/>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4D7BEE89"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lastRenderedPageBreak/>
              <w:t>Protihlukové a iné prvky ochrany životného prostredia</w:t>
            </w:r>
          </w:p>
        </w:tc>
        <w:tc>
          <w:tcPr>
            <w:tcW w:w="1134" w:type="dxa"/>
            <w:tcBorders>
              <w:top w:val="nil"/>
              <w:left w:val="nil"/>
              <w:bottom w:val="single" w:sz="4" w:space="0" w:color="auto"/>
              <w:right w:val="single" w:sz="4" w:space="0" w:color="auto"/>
            </w:tcBorders>
            <w:shd w:val="clear" w:color="auto" w:fill="auto"/>
            <w:noWrap/>
            <w:vAlign w:val="bottom"/>
            <w:hideMark/>
          </w:tcPr>
          <w:p w14:paraId="267AD104"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993" w:type="dxa"/>
            <w:tcBorders>
              <w:top w:val="nil"/>
              <w:left w:val="nil"/>
              <w:bottom w:val="single" w:sz="4" w:space="0" w:color="auto"/>
              <w:right w:val="single" w:sz="4" w:space="0" w:color="auto"/>
            </w:tcBorders>
            <w:shd w:val="clear" w:color="auto" w:fill="auto"/>
            <w:vAlign w:val="center"/>
            <w:hideMark/>
          </w:tcPr>
          <w:p w14:paraId="50B158B9"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28</w:t>
            </w:r>
          </w:p>
        </w:tc>
        <w:tc>
          <w:tcPr>
            <w:tcW w:w="992" w:type="dxa"/>
            <w:tcBorders>
              <w:top w:val="nil"/>
              <w:left w:val="nil"/>
              <w:bottom w:val="single" w:sz="4" w:space="0" w:color="auto"/>
              <w:right w:val="single" w:sz="4" w:space="0" w:color="auto"/>
            </w:tcBorders>
            <w:shd w:val="clear" w:color="auto" w:fill="auto"/>
            <w:vAlign w:val="bottom"/>
            <w:hideMark/>
          </w:tcPr>
          <w:p w14:paraId="3EA59BFB"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0</w:t>
            </w:r>
          </w:p>
        </w:tc>
        <w:tc>
          <w:tcPr>
            <w:tcW w:w="992" w:type="dxa"/>
            <w:tcBorders>
              <w:top w:val="nil"/>
              <w:left w:val="nil"/>
              <w:bottom w:val="single" w:sz="4" w:space="0" w:color="auto"/>
              <w:right w:val="single" w:sz="4" w:space="0" w:color="auto"/>
            </w:tcBorders>
            <w:shd w:val="clear" w:color="auto" w:fill="auto"/>
            <w:noWrap/>
            <w:vAlign w:val="bottom"/>
            <w:hideMark/>
          </w:tcPr>
          <w:p w14:paraId="725DBFCD"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30</w:t>
            </w:r>
          </w:p>
        </w:tc>
        <w:tc>
          <w:tcPr>
            <w:tcW w:w="709" w:type="dxa"/>
            <w:tcBorders>
              <w:top w:val="nil"/>
              <w:left w:val="nil"/>
              <w:bottom w:val="single" w:sz="4" w:space="0" w:color="auto"/>
              <w:right w:val="nil"/>
            </w:tcBorders>
            <w:shd w:val="clear" w:color="auto" w:fill="auto"/>
            <w:noWrap/>
            <w:vAlign w:val="bottom"/>
            <w:hideMark/>
          </w:tcPr>
          <w:p w14:paraId="11941097" w14:textId="77777777" w:rsidR="001A24C3" w:rsidRPr="00352C80" w:rsidRDefault="001A24C3" w:rsidP="00300963">
            <w:pPr>
              <w:jc w:val="center"/>
              <w:rPr>
                <w:rFonts w:ascii="Arial" w:eastAsia="Times New Roman" w:hAnsi="Arial" w:cs="Arial"/>
                <w:sz w:val="12"/>
                <w:szCs w:val="12"/>
                <w:lang w:eastAsia="sk-SK"/>
              </w:rPr>
            </w:pPr>
            <w:r w:rsidRPr="00352C80">
              <w:rPr>
                <w:rFonts w:ascii="Arial" w:eastAsia="Times New Roman" w:hAnsi="Arial" w:cs="Arial"/>
                <w:sz w:val="12"/>
                <w:szCs w:val="12"/>
                <w:lang w:eastAsia="sk-SK"/>
              </w:rPr>
              <w:t>7%</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784D20BB" w14:textId="77777777" w:rsidR="001A24C3" w:rsidRPr="00352C80" w:rsidRDefault="001A24C3" w:rsidP="00300963">
            <w:pPr>
              <w:jc w:val="right"/>
              <w:rPr>
                <w:rFonts w:ascii="Arial" w:eastAsia="Times New Roman" w:hAnsi="Arial" w:cs="Arial"/>
                <w:sz w:val="12"/>
                <w:szCs w:val="12"/>
                <w:lang w:eastAsia="sk-SK"/>
              </w:rPr>
            </w:pPr>
            <w:r w:rsidRPr="00352C80">
              <w:rPr>
                <w:rFonts w:ascii="Arial" w:eastAsia="Times New Roman" w:hAnsi="Arial" w:cs="Arial"/>
                <w:sz w:val="12"/>
                <w:szCs w:val="12"/>
                <w:lang w:eastAsia="sk-SK"/>
              </w:rPr>
              <w:t>100 770,67</w:t>
            </w:r>
          </w:p>
        </w:tc>
      </w:tr>
      <w:tr w:rsidR="001A24C3" w:rsidRPr="00352C80" w14:paraId="52AB8D35" w14:textId="77777777" w:rsidTr="00300963">
        <w:trPr>
          <w:trHeight w:val="216"/>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556FFA02" w14:textId="77777777" w:rsidR="001A24C3" w:rsidRPr="00352C80" w:rsidRDefault="001A24C3" w:rsidP="00300963">
            <w:pPr>
              <w:rPr>
                <w:rFonts w:ascii="Arial" w:eastAsia="Times New Roman" w:hAnsi="Arial" w:cs="Arial"/>
                <w:b/>
                <w:bCs/>
                <w:sz w:val="12"/>
                <w:szCs w:val="12"/>
                <w:lang w:eastAsia="sk-SK"/>
              </w:rPr>
            </w:pPr>
            <w:r w:rsidRPr="00352C80">
              <w:rPr>
                <w:rFonts w:ascii="Arial" w:eastAsia="Times New Roman" w:hAnsi="Arial" w:cs="Arial"/>
                <w:b/>
                <w:bCs/>
                <w:sz w:val="12"/>
                <w:szCs w:val="12"/>
                <w:lang w:eastAsia="sk-SK"/>
              </w:rPr>
              <w:t>Zostatková hodnota</w:t>
            </w:r>
          </w:p>
        </w:tc>
        <w:tc>
          <w:tcPr>
            <w:tcW w:w="1134" w:type="dxa"/>
            <w:tcBorders>
              <w:top w:val="nil"/>
              <w:left w:val="nil"/>
              <w:bottom w:val="single" w:sz="4" w:space="0" w:color="auto"/>
              <w:right w:val="single" w:sz="4" w:space="0" w:color="auto"/>
            </w:tcBorders>
            <w:shd w:val="clear" w:color="auto" w:fill="auto"/>
            <w:noWrap/>
            <w:vAlign w:val="bottom"/>
            <w:hideMark/>
          </w:tcPr>
          <w:p w14:paraId="43D70F45"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14:paraId="2C719D2A"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14:paraId="1DA71898"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14:paraId="2E674BDF"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w:t>
            </w:r>
          </w:p>
        </w:tc>
        <w:tc>
          <w:tcPr>
            <w:tcW w:w="709" w:type="dxa"/>
            <w:tcBorders>
              <w:top w:val="nil"/>
              <w:left w:val="nil"/>
              <w:bottom w:val="single" w:sz="4" w:space="0" w:color="auto"/>
              <w:right w:val="nil"/>
            </w:tcBorders>
            <w:shd w:val="clear" w:color="auto" w:fill="auto"/>
            <w:noWrap/>
            <w:vAlign w:val="bottom"/>
            <w:hideMark/>
          </w:tcPr>
          <w:p w14:paraId="4BD67CE2" w14:textId="77777777" w:rsidR="001A24C3" w:rsidRPr="00352C80" w:rsidRDefault="001A24C3" w:rsidP="00300963">
            <w:pPr>
              <w:rPr>
                <w:rFonts w:ascii="Arial" w:eastAsia="Times New Roman" w:hAnsi="Arial" w:cs="Arial"/>
                <w:sz w:val="12"/>
                <w:szCs w:val="12"/>
                <w:lang w:eastAsia="sk-SK"/>
              </w:rPr>
            </w:pPr>
            <w:r w:rsidRPr="00352C80">
              <w:rPr>
                <w:rFonts w:ascii="Arial" w:eastAsia="Times New Roman" w:hAnsi="Arial" w:cs="Arial"/>
                <w:sz w:val="12"/>
                <w:szCs w:val="12"/>
                <w:lang w:eastAsia="sk-SK"/>
              </w:rPr>
              <w:t> </w:t>
            </w:r>
          </w:p>
        </w:tc>
        <w:tc>
          <w:tcPr>
            <w:tcW w:w="992" w:type="dxa"/>
            <w:tcBorders>
              <w:top w:val="single" w:sz="8" w:space="0" w:color="auto"/>
              <w:left w:val="single" w:sz="8" w:space="0" w:color="auto"/>
              <w:bottom w:val="single" w:sz="8" w:space="0" w:color="auto"/>
              <w:right w:val="single" w:sz="8" w:space="0" w:color="auto"/>
            </w:tcBorders>
            <w:shd w:val="clear" w:color="000000" w:fill="FFFFCC"/>
            <w:noWrap/>
            <w:vAlign w:val="bottom"/>
            <w:hideMark/>
          </w:tcPr>
          <w:p w14:paraId="7E81BFE4" w14:textId="77777777" w:rsidR="001A24C3" w:rsidRPr="00352C80" w:rsidRDefault="001A24C3" w:rsidP="00300963">
            <w:pPr>
              <w:jc w:val="right"/>
              <w:rPr>
                <w:rFonts w:ascii="Arial" w:eastAsia="Times New Roman" w:hAnsi="Arial" w:cs="Arial"/>
                <w:b/>
                <w:bCs/>
                <w:sz w:val="12"/>
                <w:szCs w:val="12"/>
                <w:lang w:eastAsia="sk-SK"/>
              </w:rPr>
            </w:pPr>
            <w:r w:rsidRPr="00352C80">
              <w:rPr>
                <w:rFonts w:ascii="Arial" w:eastAsia="Times New Roman" w:hAnsi="Arial" w:cs="Arial"/>
                <w:b/>
                <w:bCs/>
                <w:sz w:val="12"/>
                <w:szCs w:val="12"/>
                <w:lang w:eastAsia="sk-SK"/>
              </w:rPr>
              <w:t>37 493 240,78</w:t>
            </w:r>
          </w:p>
        </w:tc>
      </w:tr>
    </w:tbl>
    <w:p w14:paraId="1A54FC01" w14:textId="77777777" w:rsidR="001A24C3" w:rsidRDefault="001A24C3" w:rsidP="001A24C3">
      <w:pPr>
        <w:rPr>
          <w:lang w:eastAsia="sk-SK" w:bidi="sk-SK"/>
        </w:rPr>
      </w:pPr>
    </w:p>
    <w:p w14:paraId="49546C5C" w14:textId="77777777" w:rsidR="001A24C3" w:rsidRPr="005A058E" w:rsidRDefault="001A24C3" w:rsidP="001A24C3">
      <w:pPr>
        <w:rPr>
          <w:szCs w:val="24"/>
          <w:lang w:eastAsia="sk-SK" w:bidi="sk-SK"/>
        </w:rPr>
      </w:pPr>
    </w:p>
    <w:p w14:paraId="46CDCF87" w14:textId="77777777" w:rsidR="001A24C3" w:rsidRPr="005A058E" w:rsidRDefault="001A24C3" w:rsidP="005A058E">
      <w:pPr>
        <w:pStyle w:val="Nadpis41"/>
        <w:ind w:left="709" w:hanging="709"/>
        <w:rPr>
          <w:color w:val="auto"/>
          <w:sz w:val="24"/>
          <w:szCs w:val="24"/>
        </w:rPr>
      </w:pPr>
      <w:bookmarkStart w:id="297" w:name="_Toc88652991"/>
      <w:r w:rsidRPr="005A058E">
        <w:rPr>
          <w:color w:val="auto"/>
          <w:sz w:val="24"/>
          <w:szCs w:val="24"/>
        </w:rPr>
        <w:t>Výstupy finančnej analýzy</w:t>
      </w:r>
      <w:bookmarkEnd w:id="297"/>
    </w:p>
    <w:p w14:paraId="609F3A2B" w14:textId="77777777" w:rsidR="001A24C3" w:rsidRDefault="001A24C3" w:rsidP="001A24C3">
      <w:pPr>
        <w:pStyle w:val="Koice4"/>
        <w:spacing w:after="240"/>
        <w:ind w:left="0"/>
      </w:pPr>
      <w:bookmarkStart w:id="298" w:name="_Toc88652992"/>
      <w:r w:rsidRPr="003207EB">
        <w:t>Vnútorné výnosové percento vs. diskontná sadzba</w:t>
      </w:r>
      <w:bookmarkEnd w:id="298"/>
    </w:p>
    <w:p w14:paraId="57877270" w14:textId="77777777" w:rsidR="001A24C3" w:rsidRDefault="001A24C3" w:rsidP="001A24C3">
      <w:pPr>
        <w:pStyle w:val="TEXTkOICE"/>
        <w:ind w:left="0"/>
      </w:pPr>
      <w:bookmarkStart w:id="299" w:name="_Hlk88423189"/>
      <w:r>
        <w:t>Na začiatku kapitoly o CBA sm</w:t>
      </w:r>
      <w:r w:rsidRPr="000E1FFA">
        <w:t>e spomínali, že finančná analýza sa vykonáva v stálych cenách bez zarátania inflácie</w:t>
      </w:r>
      <w:r>
        <w:t xml:space="preserve"> (to znamená, že náklady a príjmy sú modelované počas referenčného obdobia bez inflácie, avšak stavebné náklady počas výstavby môžu byť upravované cez položku „valorizácia“) a prípadné zvyšovanie nákladov alebo príjmov (počas referenčného obdobia) je spôsobené nárastom výkonov z hľadiska objemu prác a nie dopytom ťahanou infláciou</w:t>
      </w:r>
      <w:r w:rsidRPr="000E1FFA">
        <w:t xml:space="preserve">. </w:t>
      </w:r>
    </w:p>
    <w:p w14:paraId="023E2555" w14:textId="77777777" w:rsidR="001A24C3" w:rsidRDefault="001A24C3" w:rsidP="001A24C3">
      <w:pPr>
        <w:pStyle w:val="TEXTkOICE"/>
        <w:ind w:left="0"/>
      </w:pPr>
    </w:p>
    <w:p w14:paraId="252ADDE9" w14:textId="77777777" w:rsidR="001A24C3" w:rsidRDefault="001A24C3" w:rsidP="001A24C3">
      <w:pPr>
        <w:pStyle w:val="TEXTkOICE"/>
        <w:ind w:left="0"/>
      </w:pPr>
      <w:r w:rsidRPr="000E1FFA">
        <w:t xml:space="preserve">Napriek tomu je potrebné posúdiť výnosnosť alternatívnej investície, do ktorej by sme mohli prostriedky na realizáciu projektu investovať, ak by sme ich neinvestovali do projektu. </w:t>
      </w:r>
    </w:p>
    <w:p w14:paraId="788FF7AE" w14:textId="77777777" w:rsidR="001A24C3" w:rsidRDefault="001A24C3" w:rsidP="001A24C3">
      <w:pPr>
        <w:pStyle w:val="TEXTkOICE"/>
        <w:ind w:left="0"/>
      </w:pPr>
    </w:p>
    <w:p w14:paraId="461DBC5B" w14:textId="77777777" w:rsidR="001A24C3" w:rsidRDefault="001A24C3" w:rsidP="001A24C3">
      <w:pPr>
        <w:pStyle w:val="TEXTkOICE"/>
        <w:ind w:left="0"/>
      </w:pPr>
      <w:r w:rsidRPr="000E1FFA">
        <w:t>Na tento účel</w:t>
      </w:r>
      <w:r>
        <w:t>,</w:t>
      </w:r>
      <w:r w:rsidRPr="000E1FFA">
        <w:t xml:space="preserve"> resp. vyjadrenie hodnoty alternatívneho výnosu, ktorý je zároveň aj nákladom obetovaných príležitostí, je</w:t>
      </w:r>
      <w:r>
        <w:t xml:space="preserve"> využívaná</w:t>
      </w:r>
      <w:r w:rsidRPr="000E1FFA">
        <w:t xml:space="preserve"> diskontná sadzba.</w:t>
      </w:r>
    </w:p>
    <w:p w14:paraId="7DCFC97E" w14:textId="77777777" w:rsidR="001A24C3" w:rsidRDefault="001A24C3" w:rsidP="001A24C3">
      <w:pPr>
        <w:pStyle w:val="TEXTkOICE"/>
        <w:ind w:left="0"/>
      </w:pPr>
    </w:p>
    <w:p w14:paraId="2771F032" w14:textId="77777777" w:rsidR="001A24C3" w:rsidRDefault="001A24C3" w:rsidP="001A24C3">
      <w:pPr>
        <w:pStyle w:val="TEXTkOICE"/>
        <w:ind w:left="0"/>
      </w:pPr>
      <w:r w:rsidRPr="000E1FFA">
        <w:t xml:space="preserve">V prípade, že chceme projekt považovať za vhodný, musí pri zohľadnení časovej hodnoty peňazí projekt vygenerovať väčšie výnosové </w:t>
      </w:r>
      <w:r>
        <w:t>percento</w:t>
      </w:r>
      <w:r w:rsidRPr="000E1FFA">
        <w:t xml:space="preserve"> ako je diskontná sadzba. </w:t>
      </w:r>
      <w:r>
        <w:t>V prípade,</w:t>
      </w:r>
      <w:r w:rsidRPr="000E1FFA">
        <w:t xml:space="preserve"> ak má byť projekt financovaný z nenávratného finančného príspevku, tak vnútorné výnosové </w:t>
      </w:r>
      <w:r>
        <w:t>percento</w:t>
      </w:r>
      <w:r w:rsidRPr="000E1FFA">
        <w:t xml:space="preserve"> (FRR) musí byť menšie ako diskontná sadzba,</w:t>
      </w:r>
      <w:r>
        <w:t xml:space="preserve"> resp. ho ani MS Excel nedokáže vypočítať,</w:t>
      </w:r>
      <w:r w:rsidRPr="000E1FFA">
        <w:t xml:space="preserve"> aby tým vznikla potreba jeho dofinancovania</w:t>
      </w:r>
      <w:r>
        <w:t>. S</w:t>
      </w:r>
      <w:r w:rsidRPr="000E1FFA">
        <w:t xml:space="preserve">amozrejme to platí iba v prípade, že projekt je spoločenský prínosný. Nižšie uvedený výsledok potvrdil </w:t>
      </w:r>
      <w:r>
        <w:t xml:space="preserve">nutnosť financovania </w:t>
      </w:r>
      <w:r w:rsidRPr="000E1FFA">
        <w:t>realizácie projektu z </w:t>
      </w:r>
      <w:r>
        <w:t>n</w:t>
      </w:r>
      <w:r w:rsidRPr="000E1FFA">
        <w:t>enávratného finančného príspevk</w:t>
      </w:r>
      <w:r>
        <w:t>u.</w:t>
      </w:r>
    </w:p>
    <w:bookmarkEnd w:id="299"/>
    <w:p w14:paraId="591866BC" w14:textId="77777777" w:rsidR="001A24C3" w:rsidRPr="00D67317" w:rsidRDefault="001A24C3" w:rsidP="001A24C3">
      <w:pPr>
        <w:pStyle w:val="TEXTkOICE"/>
      </w:pPr>
    </w:p>
    <w:p w14:paraId="182A1975" w14:textId="7BBB23E9" w:rsidR="001A24C3" w:rsidRDefault="001A24C3" w:rsidP="00271AEE">
      <w:pPr>
        <w:pStyle w:val="Popis"/>
        <w:keepNext/>
        <w:jc w:val="both"/>
      </w:pPr>
      <w:bookmarkStart w:id="300" w:name="_Toc83677921"/>
      <w:r>
        <w:t xml:space="preserve">Tabuľka </w:t>
      </w:r>
      <w:r w:rsidR="00DA0B84">
        <w:rPr>
          <w:noProof/>
        </w:rPr>
        <w:t>50</w:t>
      </w:r>
      <w:r>
        <w:tab/>
      </w:r>
      <w:r w:rsidRPr="00B47CCC">
        <w:t>Výstupy finančnej analýzy (FRR)</w:t>
      </w:r>
      <w:bookmarkEnd w:id="300"/>
    </w:p>
    <w:tbl>
      <w:tblPr>
        <w:tblW w:w="6300" w:type="dxa"/>
        <w:tblCellMar>
          <w:left w:w="70" w:type="dxa"/>
          <w:right w:w="70" w:type="dxa"/>
        </w:tblCellMar>
        <w:tblLook w:val="04A0" w:firstRow="1" w:lastRow="0" w:firstColumn="1" w:lastColumn="0" w:noHBand="0" w:noVBand="1"/>
      </w:tblPr>
      <w:tblGrid>
        <w:gridCol w:w="4820"/>
        <w:gridCol w:w="1480"/>
      </w:tblGrid>
      <w:tr w:rsidR="001A24C3" w:rsidRPr="00E45533" w14:paraId="55BE36AE" w14:textId="77777777" w:rsidTr="00300963">
        <w:trPr>
          <w:trHeight w:val="204"/>
        </w:trPr>
        <w:tc>
          <w:tcPr>
            <w:tcW w:w="4820" w:type="dxa"/>
            <w:tcBorders>
              <w:top w:val="single" w:sz="4" w:space="0" w:color="auto"/>
              <w:left w:val="single" w:sz="4" w:space="0" w:color="auto"/>
              <w:bottom w:val="single" w:sz="4" w:space="0" w:color="auto"/>
              <w:right w:val="nil"/>
            </w:tcBorders>
            <w:shd w:val="clear" w:color="auto" w:fill="auto"/>
            <w:noWrap/>
            <w:vAlign w:val="bottom"/>
            <w:hideMark/>
          </w:tcPr>
          <w:p w14:paraId="221F6B35"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Finančné vnútorné výnosové percento investície  (FIRR_C)</w:t>
            </w:r>
          </w:p>
        </w:tc>
        <w:tc>
          <w:tcPr>
            <w:tcW w:w="148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2A609198" w14:textId="77777777" w:rsidR="001A24C3" w:rsidRPr="00E45533" w:rsidRDefault="001A24C3" w:rsidP="00300963">
            <w:pPr>
              <w:jc w:val="right"/>
              <w:rPr>
                <w:rFonts w:ascii="Arial" w:eastAsia="Times New Roman" w:hAnsi="Arial" w:cs="Arial"/>
                <w:sz w:val="16"/>
                <w:szCs w:val="16"/>
                <w:lang w:eastAsia="sk-SK"/>
              </w:rPr>
            </w:pPr>
            <w:r w:rsidRPr="00E45533">
              <w:rPr>
                <w:rFonts w:ascii="Arial" w:eastAsia="Times New Roman" w:hAnsi="Arial" w:cs="Arial"/>
                <w:sz w:val="16"/>
                <w:szCs w:val="16"/>
                <w:lang w:eastAsia="sk-SK"/>
              </w:rPr>
              <w:t>-9,38%</w:t>
            </w:r>
          </w:p>
        </w:tc>
      </w:tr>
    </w:tbl>
    <w:p w14:paraId="7D448F78" w14:textId="77777777" w:rsidR="001A24C3" w:rsidRDefault="001A24C3" w:rsidP="001A24C3"/>
    <w:p w14:paraId="4A40DBC4" w14:textId="77777777" w:rsidR="001A24C3" w:rsidRDefault="001A24C3" w:rsidP="001A24C3">
      <w:pPr>
        <w:pStyle w:val="Koice4"/>
        <w:spacing w:after="240"/>
        <w:ind w:left="0"/>
      </w:pPr>
      <w:bookmarkStart w:id="301" w:name="_Toc24576832"/>
      <w:bookmarkStart w:id="302" w:name="_Toc88652993"/>
      <w:r w:rsidRPr="00D67317">
        <w:t>Čistá súčasná hodnota</w:t>
      </w:r>
      <w:bookmarkEnd w:id="301"/>
      <w:bookmarkEnd w:id="302"/>
    </w:p>
    <w:p w14:paraId="353BBAB5" w14:textId="77777777" w:rsidR="001A24C3" w:rsidRDefault="001A24C3" w:rsidP="001A24C3">
      <w:pPr>
        <w:pStyle w:val="TEXTkOICE"/>
        <w:spacing w:after="240"/>
        <w:ind w:left="0"/>
      </w:pPr>
      <w:r w:rsidRPr="000E1FFA">
        <w:t xml:space="preserve">Čistá súčasná hodnota </w:t>
      </w:r>
      <w:r>
        <w:t xml:space="preserve">investície </w:t>
      </w:r>
      <w:r w:rsidRPr="000E1FFA">
        <w:t xml:space="preserve">je iným vyjadrením výsledku finančnej analýzy. Kým vnútorné výnosové % vyjadruje vhodnosť projektu v %, čistá </w:t>
      </w:r>
      <w:r>
        <w:t>súčasná hodnota ho vyjadruje v EUR</w:t>
      </w:r>
      <w:r w:rsidRPr="000E1FFA">
        <w:t xml:space="preserve">. </w:t>
      </w:r>
    </w:p>
    <w:p w14:paraId="4F7676B0" w14:textId="77777777" w:rsidR="001A24C3" w:rsidRDefault="001A24C3" w:rsidP="001A24C3">
      <w:pPr>
        <w:pStyle w:val="TEXTkOICE"/>
        <w:ind w:left="0"/>
      </w:pPr>
      <w:r w:rsidRPr="000E1FFA">
        <w:t>Platí súvzťažnosť, že ak je FRR = diskontnej sadzbe, tak čistá súčasná hodnota FNPV je rovná 0. Ak je vnútorné výnosové % menšie ako diskontná sadzba, tak aj čistá súčasná hodnota je záporná a ak je vnútorné výnosové % väčšie ako diskontná sadzba, č</w:t>
      </w:r>
      <w:r>
        <w:t>istá súčasná hodnota je kladná.</w:t>
      </w:r>
    </w:p>
    <w:p w14:paraId="0EB41BFA" w14:textId="77777777" w:rsidR="001A24C3" w:rsidRPr="00B47CCC" w:rsidRDefault="001A24C3" w:rsidP="001A24C3">
      <w:pPr>
        <w:pStyle w:val="TEXTkOICE"/>
        <w:ind w:left="0"/>
        <w:rPr>
          <w:rFonts w:asciiTheme="minorHAnsi" w:eastAsiaTheme="minorHAnsi" w:hAnsiTheme="minorHAnsi" w:cstheme="minorBidi"/>
          <w:b/>
          <w:iCs/>
          <w:color w:val="C00000"/>
          <w:sz w:val="20"/>
          <w:szCs w:val="18"/>
          <w:lang w:eastAsia="en-US" w:bidi="ar-SA"/>
        </w:rPr>
      </w:pPr>
    </w:p>
    <w:p w14:paraId="2EA1F7B9" w14:textId="71BE870D" w:rsidR="001A24C3" w:rsidRDefault="001A24C3" w:rsidP="00271AEE">
      <w:pPr>
        <w:pStyle w:val="Popis"/>
        <w:keepNext/>
        <w:jc w:val="both"/>
      </w:pPr>
      <w:bookmarkStart w:id="303" w:name="_Toc83677922"/>
      <w:r>
        <w:t xml:space="preserve">Tabuľka </w:t>
      </w:r>
      <w:r w:rsidR="00DA0B84">
        <w:rPr>
          <w:noProof/>
        </w:rPr>
        <w:t>51</w:t>
      </w:r>
      <w:r>
        <w:tab/>
      </w:r>
      <w:r w:rsidRPr="00B47CCC">
        <w:t>Výstupy finančnej analýzy (FNPV)</w:t>
      </w:r>
      <w:bookmarkEnd w:id="303"/>
    </w:p>
    <w:tbl>
      <w:tblPr>
        <w:tblW w:w="6300" w:type="dxa"/>
        <w:tblCellMar>
          <w:left w:w="70" w:type="dxa"/>
          <w:right w:w="70" w:type="dxa"/>
        </w:tblCellMar>
        <w:tblLook w:val="04A0" w:firstRow="1" w:lastRow="0" w:firstColumn="1" w:lastColumn="0" w:noHBand="0" w:noVBand="1"/>
      </w:tblPr>
      <w:tblGrid>
        <w:gridCol w:w="4820"/>
        <w:gridCol w:w="1480"/>
      </w:tblGrid>
      <w:tr w:rsidR="001A24C3" w:rsidRPr="00E45533" w14:paraId="0E7BE5D4" w14:textId="77777777" w:rsidTr="00300963">
        <w:trPr>
          <w:trHeight w:val="204"/>
        </w:trPr>
        <w:tc>
          <w:tcPr>
            <w:tcW w:w="4820" w:type="dxa"/>
            <w:tcBorders>
              <w:top w:val="single" w:sz="4" w:space="0" w:color="auto"/>
              <w:left w:val="single" w:sz="4" w:space="0" w:color="auto"/>
              <w:bottom w:val="single" w:sz="4" w:space="0" w:color="auto"/>
              <w:right w:val="nil"/>
            </w:tcBorders>
            <w:shd w:val="clear" w:color="auto" w:fill="auto"/>
            <w:noWrap/>
            <w:vAlign w:val="bottom"/>
            <w:hideMark/>
          </w:tcPr>
          <w:p w14:paraId="16A94D00"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Finančná čistá súčasná hodnota investície (FRR_C)</w:t>
            </w:r>
          </w:p>
        </w:tc>
        <w:tc>
          <w:tcPr>
            <w:tcW w:w="148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77FBB5D7" w14:textId="77777777" w:rsidR="001A24C3" w:rsidRPr="00E45533" w:rsidRDefault="001A24C3" w:rsidP="00300963">
            <w:pPr>
              <w:jc w:val="right"/>
              <w:rPr>
                <w:rFonts w:ascii="Arial" w:eastAsia="Times New Roman" w:hAnsi="Arial" w:cs="Arial"/>
                <w:sz w:val="16"/>
                <w:szCs w:val="16"/>
                <w:lang w:eastAsia="sk-SK"/>
              </w:rPr>
            </w:pPr>
            <w:r w:rsidRPr="00E45533">
              <w:rPr>
                <w:rFonts w:ascii="Arial" w:eastAsia="Times New Roman" w:hAnsi="Arial" w:cs="Arial"/>
                <w:color w:val="FF0000"/>
                <w:sz w:val="16"/>
                <w:szCs w:val="16"/>
                <w:lang w:eastAsia="sk-SK"/>
              </w:rPr>
              <w:t xml:space="preserve">-80 669 372 </w:t>
            </w:r>
          </w:p>
        </w:tc>
      </w:tr>
    </w:tbl>
    <w:p w14:paraId="422CBF12" w14:textId="7168816D" w:rsidR="001A24C3" w:rsidRDefault="001A24C3" w:rsidP="001A24C3">
      <w:pPr>
        <w:rPr>
          <w:rFonts w:ascii="Times New Roman" w:hAnsi="Times New Roman"/>
          <w:sz w:val="28"/>
          <w:szCs w:val="28"/>
        </w:rPr>
      </w:pPr>
    </w:p>
    <w:p w14:paraId="513A25FD" w14:textId="77777777" w:rsidR="00271AEE" w:rsidRDefault="00271AEE" w:rsidP="001A24C3">
      <w:pPr>
        <w:rPr>
          <w:rFonts w:ascii="Times New Roman" w:hAnsi="Times New Roman"/>
          <w:sz w:val="28"/>
          <w:szCs w:val="28"/>
        </w:rPr>
      </w:pPr>
    </w:p>
    <w:p w14:paraId="49AAF333" w14:textId="79AE18EE" w:rsidR="001A24C3" w:rsidRPr="00271AEE" w:rsidRDefault="001A24C3" w:rsidP="00271AEE">
      <w:pPr>
        <w:pStyle w:val="Nadpis31"/>
        <w:ind w:left="709" w:hanging="709"/>
        <w:rPr>
          <w:color w:val="auto"/>
        </w:rPr>
      </w:pPr>
      <w:bookmarkStart w:id="304" w:name="_Toc88652994"/>
      <w:r w:rsidRPr="00271AEE">
        <w:rPr>
          <w:color w:val="auto"/>
        </w:rPr>
        <w:lastRenderedPageBreak/>
        <w:t xml:space="preserve">Variant </w:t>
      </w:r>
      <w:r w:rsidR="00271AEE">
        <w:rPr>
          <w:color w:val="auto"/>
        </w:rPr>
        <w:t xml:space="preserve">B </w:t>
      </w:r>
      <w:r w:rsidRPr="00271AEE">
        <w:rPr>
          <w:color w:val="auto"/>
        </w:rPr>
        <w:t>„</w:t>
      </w:r>
      <w:r w:rsidR="00271AEE">
        <w:rPr>
          <w:color w:val="auto"/>
        </w:rPr>
        <w:t xml:space="preserve">MODERNIZÁCIA </w:t>
      </w:r>
      <w:r w:rsidR="00B00FA8">
        <w:rPr>
          <w:color w:val="auto"/>
        </w:rPr>
        <w:t xml:space="preserve">žel. trate na rýchlosť </w:t>
      </w:r>
      <w:r w:rsidR="00271AEE">
        <w:rPr>
          <w:color w:val="auto"/>
        </w:rPr>
        <w:t xml:space="preserve">na </w:t>
      </w:r>
      <w:r w:rsidR="00B00FA8">
        <w:rPr>
          <w:color w:val="auto"/>
        </w:rPr>
        <w:t>120 – 160 km/hod</w:t>
      </w:r>
      <w:r w:rsidRPr="00271AEE">
        <w:rPr>
          <w:color w:val="auto"/>
        </w:rPr>
        <w:t>“</w:t>
      </w:r>
      <w:bookmarkEnd w:id="304"/>
    </w:p>
    <w:p w14:paraId="3E40C751" w14:textId="77777777" w:rsidR="001A24C3" w:rsidRPr="00271AEE" w:rsidRDefault="001A24C3" w:rsidP="00271AEE">
      <w:pPr>
        <w:pStyle w:val="Nadpis41"/>
        <w:ind w:left="709" w:hanging="709"/>
        <w:rPr>
          <w:color w:val="auto"/>
          <w:sz w:val="24"/>
          <w:szCs w:val="24"/>
        </w:rPr>
      </w:pPr>
      <w:bookmarkStart w:id="305" w:name="_Toc88652995"/>
      <w:r w:rsidRPr="00271AEE">
        <w:rPr>
          <w:color w:val="auto"/>
          <w:sz w:val="24"/>
          <w:szCs w:val="24"/>
        </w:rPr>
        <w:t>Investičné náklady</w:t>
      </w:r>
      <w:bookmarkEnd w:id="305"/>
    </w:p>
    <w:p w14:paraId="562B3575" w14:textId="3D337EBE" w:rsidR="001A24C3" w:rsidRDefault="001A24C3" w:rsidP="001A24C3">
      <w:bookmarkStart w:id="306" w:name="_Hlk88426332"/>
      <w:r w:rsidRPr="000E1FFA">
        <w:t>Investičné náklady sú náklady vynaložené za účelom realizácie projektu. V prípade projektov financovaných z fondov Európskej únie a</w:t>
      </w:r>
      <w:r>
        <w:t xml:space="preserve"> v </w:t>
      </w:r>
      <w:r w:rsidRPr="000E1FFA">
        <w:t xml:space="preserve">nadväznosti na metodiku spracovávania CBA </w:t>
      </w:r>
      <w:r>
        <w:t>sem</w:t>
      </w:r>
      <w:r w:rsidRPr="000E1FFA">
        <w:t xml:space="preserve"> patria </w:t>
      </w:r>
      <w:r>
        <w:t>náklady vzniknuté modernizáciu železničnej trate v úseku Krásno nad Kysucou (mimo) – Čadca – štátna hranica SR/ČR v rozsahu modernizácia a výrazného zvyšovania parametrov trate vo všetkých 3 úsekoch (1. Krásno nad Kysucou (mimo) – Čadca (mimo) vrátane nového prestupného terminálu autobus/vlak. V Krásne na Kysucou by sa realizoval tunel, ktorým by sa zvýšila cestovná rýchlosť, 2. Stanica Čadca v ktorej by sme sa zmenila konfigurácia koľajiska, 3. Čadca – štátna hranica SR/ČR by sa modernizovala v smerovo nezmenenej polohe), náklady na riadenie projektu, publicitu a pod. v súlade s cieľmi projektu.</w:t>
      </w:r>
    </w:p>
    <w:p w14:paraId="7B921603" w14:textId="77777777" w:rsidR="00271AEE" w:rsidRPr="00271AEE" w:rsidRDefault="00271AEE" w:rsidP="001A24C3">
      <w:pPr>
        <w:rPr>
          <w:szCs w:val="24"/>
        </w:rPr>
      </w:pPr>
    </w:p>
    <w:p w14:paraId="52AEAAD6" w14:textId="224738D1" w:rsidR="001A24C3" w:rsidRPr="00271AEE" w:rsidRDefault="00271AEE" w:rsidP="00271AEE">
      <w:pPr>
        <w:pStyle w:val="Nadpis41"/>
        <w:ind w:left="709" w:hanging="709"/>
        <w:rPr>
          <w:color w:val="auto"/>
          <w:sz w:val="24"/>
          <w:szCs w:val="24"/>
        </w:rPr>
      </w:pPr>
      <w:r>
        <w:rPr>
          <w:color w:val="auto"/>
          <w:sz w:val="24"/>
          <w:szCs w:val="24"/>
        </w:rPr>
        <w:t xml:space="preserve">   </w:t>
      </w:r>
      <w:bookmarkStart w:id="307" w:name="_Toc88652996"/>
      <w:r w:rsidR="001A24C3" w:rsidRPr="00271AEE">
        <w:rPr>
          <w:color w:val="auto"/>
          <w:sz w:val="24"/>
          <w:szCs w:val="24"/>
        </w:rPr>
        <w:t>Rezerva na nepredvídateľné výdavky</w:t>
      </w:r>
      <w:bookmarkEnd w:id="307"/>
    </w:p>
    <w:p w14:paraId="11DCABB6" w14:textId="77777777" w:rsidR="001A24C3" w:rsidRDefault="001A24C3" w:rsidP="001A24C3">
      <w:pPr>
        <w:pStyle w:val="TEXTkOICE"/>
        <w:ind w:left="0"/>
      </w:pPr>
      <w:r w:rsidRPr="000E1FFA">
        <w:t xml:space="preserve">V uvedenom projekte </w:t>
      </w:r>
      <w:r>
        <w:t xml:space="preserve">je použitá rezerva na nepredvídateľné výdavky, nakoľko ide o stavbu (modernizáciu) železničnej infraštruktúry je použitá štandardná rezerva vo výške 10 %. Ktorá nie je započítaná v súlade s metodikou pre spracovanie CBA do výpočtu finančnej medzery, avšak je obsiahnutá v predpokladaných oprávnených nákladoch. </w:t>
      </w:r>
    </w:p>
    <w:p w14:paraId="59B42208" w14:textId="77777777" w:rsidR="001A24C3" w:rsidRDefault="001A24C3" w:rsidP="001A24C3">
      <w:pPr>
        <w:pStyle w:val="TEXTkOICE"/>
        <w:ind w:left="0"/>
      </w:pPr>
    </w:p>
    <w:p w14:paraId="6E8A8098" w14:textId="77777777" w:rsidR="001A24C3" w:rsidRPr="00271AEE" w:rsidRDefault="001A24C3" w:rsidP="00271AEE">
      <w:pPr>
        <w:pStyle w:val="Nadpis41"/>
        <w:ind w:left="709" w:hanging="709"/>
        <w:rPr>
          <w:color w:val="auto"/>
          <w:sz w:val="24"/>
          <w:szCs w:val="24"/>
        </w:rPr>
      </w:pPr>
      <w:r w:rsidRPr="00271AEE">
        <w:rPr>
          <w:color w:val="auto"/>
          <w:sz w:val="24"/>
          <w:szCs w:val="24"/>
        </w:rPr>
        <w:t xml:space="preserve">  </w:t>
      </w:r>
      <w:bookmarkStart w:id="308" w:name="_Toc88652997"/>
      <w:r w:rsidRPr="00271AEE">
        <w:rPr>
          <w:color w:val="auto"/>
          <w:sz w:val="24"/>
          <w:szCs w:val="24"/>
        </w:rPr>
        <w:t>Valorizácia nákladov</w:t>
      </w:r>
      <w:bookmarkEnd w:id="308"/>
    </w:p>
    <w:p w14:paraId="52743271" w14:textId="77777777" w:rsidR="001A24C3" w:rsidRPr="005C5ECA" w:rsidRDefault="001A24C3" w:rsidP="001A24C3">
      <w:r>
        <w:t xml:space="preserve">Uvedená alternatíva projektu má dobu realizácie presahujúcu 2 roky. V tomto prípade je použitie valorizácie povinné. </w:t>
      </w:r>
    </w:p>
    <w:p w14:paraId="4EBFF031" w14:textId="77777777" w:rsidR="001A24C3" w:rsidRPr="000E1FFA" w:rsidRDefault="001A24C3" w:rsidP="001A24C3">
      <w:pPr>
        <w:pStyle w:val="TEXTkOICE"/>
        <w:ind w:left="0"/>
      </w:pPr>
    </w:p>
    <w:p w14:paraId="346E6B28" w14:textId="77777777" w:rsidR="001A24C3" w:rsidRPr="00B00FA8" w:rsidRDefault="001A24C3" w:rsidP="00B00FA8">
      <w:pPr>
        <w:pStyle w:val="Nadpis41"/>
        <w:ind w:left="851" w:hanging="851"/>
        <w:rPr>
          <w:color w:val="auto"/>
          <w:sz w:val="24"/>
          <w:szCs w:val="24"/>
        </w:rPr>
      </w:pPr>
      <w:bookmarkStart w:id="309" w:name="_Toc88652998"/>
      <w:r w:rsidRPr="00B00FA8">
        <w:rPr>
          <w:color w:val="auto"/>
          <w:sz w:val="24"/>
          <w:szCs w:val="24"/>
        </w:rPr>
        <w:t>Použitie DPH</w:t>
      </w:r>
      <w:bookmarkEnd w:id="309"/>
    </w:p>
    <w:p w14:paraId="0B11B1D4" w14:textId="77777777" w:rsidR="001A24C3" w:rsidRDefault="001A24C3" w:rsidP="001A24C3">
      <w:pPr>
        <w:pStyle w:val="TEXTkOICE"/>
        <w:ind w:left="0"/>
      </w:pPr>
      <w:r>
        <w:t>Žiadateľ</w:t>
      </w:r>
      <w:r w:rsidRPr="000E1FFA">
        <w:t xml:space="preserve">, v rámci uvedeného projektu, </w:t>
      </w:r>
      <w:r>
        <w:t>je</w:t>
      </w:r>
      <w:r w:rsidRPr="000E1FFA">
        <w:t xml:space="preserve"> platcom DPH v zmysle zákona a</w:t>
      </w:r>
      <w:r>
        <w:t xml:space="preserve"> keďže </w:t>
      </w:r>
      <w:r w:rsidRPr="000E1FFA">
        <w:t>si</w:t>
      </w:r>
      <w:r>
        <w:t xml:space="preserve"> môže</w:t>
      </w:r>
      <w:r w:rsidRPr="000E1FFA">
        <w:t xml:space="preserve"> uplatniť jej odpočet, DPH </w:t>
      </w:r>
      <w:r>
        <w:t>je ne</w:t>
      </w:r>
      <w:r w:rsidRPr="000E1FFA">
        <w:t xml:space="preserve">oprávneným nákladom. </w:t>
      </w:r>
      <w:r>
        <w:t>Preto</w:t>
      </w:r>
      <w:r w:rsidRPr="000E1FFA">
        <w:t xml:space="preserve"> jednotlivé položky sú v CBA uvedené bez DPH a samotná DPH je vyčíslená samostatne</w:t>
      </w:r>
      <w:r>
        <w:t xml:space="preserve"> ako neoprávnený náklad</w:t>
      </w:r>
      <w:r w:rsidRPr="000E1FFA">
        <w:t xml:space="preserve">. </w:t>
      </w:r>
    </w:p>
    <w:bookmarkEnd w:id="306"/>
    <w:p w14:paraId="40DFD2C1" w14:textId="77777777" w:rsidR="001A24C3" w:rsidRDefault="001A24C3" w:rsidP="001A24C3">
      <w:pPr>
        <w:pStyle w:val="TEXTkOICE"/>
        <w:ind w:left="0"/>
      </w:pPr>
    </w:p>
    <w:p w14:paraId="65A50D8D" w14:textId="77777777" w:rsidR="001A24C3" w:rsidRPr="00B00FA8" w:rsidRDefault="001A24C3" w:rsidP="00B00FA8">
      <w:pPr>
        <w:pStyle w:val="Nadpis41"/>
        <w:ind w:left="851" w:hanging="851"/>
        <w:rPr>
          <w:color w:val="auto"/>
          <w:sz w:val="24"/>
          <w:szCs w:val="24"/>
        </w:rPr>
      </w:pPr>
      <w:bookmarkStart w:id="310" w:name="_Toc88652999"/>
      <w:r w:rsidRPr="00B00FA8">
        <w:rPr>
          <w:color w:val="auto"/>
          <w:sz w:val="24"/>
          <w:szCs w:val="24"/>
        </w:rPr>
        <w:t>Prevádzkové výdavky</w:t>
      </w:r>
      <w:bookmarkEnd w:id="310"/>
    </w:p>
    <w:p w14:paraId="6373FAF3" w14:textId="6E978508" w:rsidR="001A24C3" w:rsidRDefault="001A24C3" w:rsidP="00DF4A11">
      <w:pPr>
        <w:pStyle w:val="TEXTkOICE"/>
        <w:ind w:left="0"/>
      </w:pPr>
      <w:r w:rsidRPr="000E1FFA">
        <w:t xml:space="preserve">Predstavujú </w:t>
      </w:r>
      <w:r>
        <w:t>výdavky</w:t>
      </w:r>
      <w:r w:rsidRPr="000E1FFA">
        <w:t>,</w:t>
      </w:r>
      <w:r>
        <w:t xml:space="preserve"> ktoré sú rozčlenené na bežné prevádzkové výdavky a výmeny časti infraštruktúry po skončení doby životnosti (ak skončí skôr ako uplynie referenčné obdobie, ktoré je pri tomto type projektov 30 rokov). </w:t>
      </w:r>
    </w:p>
    <w:p w14:paraId="736F24E0" w14:textId="56D7A8E4" w:rsidR="001A24C3" w:rsidRDefault="001A24C3" w:rsidP="00B00FA8">
      <w:pPr>
        <w:pStyle w:val="Popis"/>
        <w:keepNext/>
        <w:jc w:val="both"/>
      </w:pPr>
      <w:bookmarkStart w:id="311" w:name="_Toc83677923"/>
      <w:r>
        <w:t xml:space="preserve">Tabuľka </w:t>
      </w:r>
      <w:r w:rsidR="00DA0B84">
        <w:rPr>
          <w:noProof/>
        </w:rPr>
        <w:t>52</w:t>
      </w:r>
      <w:r>
        <w:tab/>
        <w:t>P</w:t>
      </w:r>
      <w:r w:rsidRPr="00EB57A3">
        <w:t>revádzkové náklady – prírastkové</w:t>
      </w:r>
      <w:bookmarkEnd w:id="311"/>
    </w:p>
    <w:tbl>
      <w:tblPr>
        <w:tblW w:w="5900" w:type="dxa"/>
        <w:tblCellMar>
          <w:left w:w="70" w:type="dxa"/>
          <w:right w:w="70" w:type="dxa"/>
        </w:tblCellMar>
        <w:tblLook w:val="04A0" w:firstRow="1" w:lastRow="0" w:firstColumn="1" w:lastColumn="0" w:noHBand="0" w:noVBand="1"/>
      </w:tblPr>
      <w:tblGrid>
        <w:gridCol w:w="4060"/>
        <w:gridCol w:w="1840"/>
      </w:tblGrid>
      <w:tr w:rsidR="001A24C3" w:rsidRPr="00D9382F" w14:paraId="0D16B201"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9E69519"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3.3  Prevádzkové výdavky</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6DF28CF6"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 </w:t>
            </w:r>
          </w:p>
        </w:tc>
      </w:tr>
      <w:tr w:rsidR="001A24C3" w:rsidRPr="00D9382F" w14:paraId="33601AC1"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FFFFCC"/>
            <w:noWrap/>
            <w:vAlign w:val="bottom"/>
            <w:hideMark/>
          </w:tcPr>
          <w:p w14:paraId="3AB794EC"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Inkrementálne (PRÍRASTKOVÉ)</w:t>
            </w:r>
          </w:p>
        </w:tc>
        <w:tc>
          <w:tcPr>
            <w:tcW w:w="1840" w:type="dxa"/>
            <w:tcBorders>
              <w:top w:val="nil"/>
              <w:left w:val="nil"/>
              <w:bottom w:val="single" w:sz="4" w:space="0" w:color="auto"/>
              <w:right w:val="single" w:sz="4" w:space="0" w:color="auto"/>
            </w:tcBorders>
            <w:shd w:val="clear" w:color="000000" w:fill="FFFFCC"/>
            <w:noWrap/>
            <w:vAlign w:val="bottom"/>
            <w:hideMark/>
          </w:tcPr>
          <w:p w14:paraId="2FD9034B"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Celkom</w:t>
            </w:r>
          </w:p>
        </w:tc>
      </w:tr>
      <w:tr w:rsidR="001A24C3" w:rsidRPr="00D9382F" w14:paraId="2C487DB8"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8EF3509"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5BD2425B" w14:textId="77777777" w:rsidR="001A24C3" w:rsidRPr="00D9382F" w:rsidRDefault="001A24C3" w:rsidP="00300963">
            <w:pPr>
              <w:jc w:val="right"/>
              <w:rPr>
                <w:rFonts w:ascii="Arial" w:eastAsia="Times New Roman" w:hAnsi="Arial" w:cs="Arial"/>
                <w:sz w:val="16"/>
                <w:szCs w:val="16"/>
                <w:lang w:eastAsia="sk-SK"/>
              </w:rPr>
            </w:pPr>
            <w:r w:rsidRPr="00D9382F">
              <w:rPr>
                <w:rFonts w:ascii="Arial" w:eastAsia="Times New Roman" w:hAnsi="Arial" w:cs="Arial"/>
                <w:sz w:val="16"/>
                <w:szCs w:val="16"/>
                <w:lang w:eastAsia="sk-SK"/>
              </w:rPr>
              <w:t>0,00</w:t>
            </w:r>
          </w:p>
        </w:tc>
      </w:tr>
      <w:tr w:rsidR="001A24C3" w:rsidRPr="00D9382F" w14:paraId="442DC08B"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740BBB74"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Výmeny</w:t>
            </w:r>
          </w:p>
        </w:tc>
        <w:tc>
          <w:tcPr>
            <w:tcW w:w="1840" w:type="dxa"/>
            <w:tcBorders>
              <w:top w:val="nil"/>
              <w:left w:val="nil"/>
              <w:bottom w:val="single" w:sz="4" w:space="0" w:color="auto"/>
              <w:right w:val="single" w:sz="4" w:space="0" w:color="auto"/>
            </w:tcBorders>
            <w:shd w:val="clear" w:color="auto" w:fill="auto"/>
            <w:noWrap/>
            <w:vAlign w:val="bottom"/>
            <w:hideMark/>
          </w:tcPr>
          <w:p w14:paraId="01235984" w14:textId="77777777" w:rsidR="001A24C3" w:rsidRPr="00D9382F" w:rsidRDefault="001A24C3" w:rsidP="00300963">
            <w:pPr>
              <w:jc w:val="right"/>
              <w:rPr>
                <w:rFonts w:ascii="Arial" w:eastAsia="Times New Roman" w:hAnsi="Arial" w:cs="Arial"/>
                <w:sz w:val="16"/>
                <w:szCs w:val="16"/>
                <w:lang w:eastAsia="sk-SK"/>
              </w:rPr>
            </w:pPr>
            <w:r w:rsidRPr="00D9382F">
              <w:rPr>
                <w:rFonts w:ascii="Arial" w:eastAsia="Times New Roman" w:hAnsi="Arial" w:cs="Arial"/>
                <w:sz w:val="16"/>
                <w:szCs w:val="16"/>
                <w:lang w:eastAsia="sk-SK"/>
              </w:rPr>
              <w:t>-61 950 002,86</w:t>
            </w:r>
          </w:p>
        </w:tc>
      </w:tr>
      <w:tr w:rsidR="001A24C3" w:rsidRPr="00D9382F" w14:paraId="2F179EFA"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A40790D"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Celkové prevádzkové výdavky na údržbu</w:t>
            </w:r>
          </w:p>
        </w:tc>
        <w:tc>
          <w:tcPr>
            <w:tcW w:w="1840" w:type="dxa"/>
            <w:tcBorders>
              <w:top w:val="nil"/>
              <w:left w:val="nil"/>
              <w:bottom w:val="single" w:sz="4" w:space="0" w:color="auto"/>
              <w:right w:val="single" w:sz="4" w:space="0" w:color="auto"/>
            </w:tcBorders>
            <w:shd w:val="clear" w:color="auto" w:fill="auto"/>
            <w:noWrap/>
            <w:vAlign w:val="bottom"/>
            <w:hideMark/>
          </w:tcPr>
          <w:p w14:paraId="0670C3E3" w14:textId="77777777" w:rsidR="001A24C3" w:rsidRPr="00D9382F" w:rsidRDefault="001A24C3" w:rsidP="00300963">
            <w:pPr>
              <w:jc w:val="right"/>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-61 950 002,86</w:t>
            </w:r>
          </w:p>
        </w:tc>
      </w:tr>
      <w:tr w:rsidR="001A24C3" w:rsidRPr="00D9382F" w14:paraId="07BD59B4"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83AA98C"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Iné špecifické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3D8739B3" w14:textId="77777777" w:rsidR="001A24C3" w:rsidRPr="00D9382F" w:rsidRDefault="001A24C3" w:rsidP="00300963">
            <w:pPr>
              <w:jc w:val="right"/>
              <w:rPr>
                <w:rFonts w:ascii="Arial" w:eastAsia="Times New Roman" w:hAnsi="Arial" w:cs="Arial"/>
                <w:sz w:val="16"/>
                <w:szCs w:val="16"/>
                <w:lang w:eastAsia="sk-SK"/>
              </w:rPr>
            </w:pPr>
            <w:r w:rsidRPr="00D9382F">
              <w:rPr>
                <w:rFonts w:ascii="Arial" w:eastAsia="Times New Roman" w:hAnsi="Arial" w:cs="Arial"/>
                <w:sz w:val="16"/>
                <w:szCs w:val="16"/>
                <w:lang w:eastAsia="sk-SK"/>
              </w:rPr>
              <w:t>0,00</w:t>
            </w:r>
          </w:p>
        </w:tc>
      </w:tr>
      <w:tr w:rsidR="001A24C3" w:rsidRPr="00D9382F" w14:paraId="1BD16ED6"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0627016C"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Celkové iné špecifické prevádzkové výdavky</w:t>
            </w:r>
          </w:p>
        </w:tc>
        <w:tc>
          <w:tcPr>
            <w:tcW w:w="1840" w:type="dxa"/>
            <w:tcBorders>
              <w:top w:val="nil"/>
              <w:left w:val="nil"/>
              <w:bottom w:val="double" w:sz="6" w:space="0" w:color="auto"/>
              <w:right w:val="single" w:sz="4" w:space="0" w:color="auto"/>
            </w:tcBorders>
            <w:shd w:val="clear" w:color="auto" w:fill="auto"/>
            <w:noWrap/>
            <w:vAlign w:val="bottom"/>
            <w:hideMark/>
          </w:tcPr>
          <w:p w14:paraId="216E3419" w14:textId="77777777" w:rsidR="001A24C3" w:rsidRPr="00D9382F" w:rsidRDefault="001A24C3" w:rsidP="00300963">
            <w:pPr>
              <w:jc w:val="right"/>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0,00</w:t>
            </w:r>
          </w:p>
        </w:tc>
      </w:tr>
      <w:tr w:rsidR="001A24C3" w:rsidRPr="00D9382F" w14:paraId="25562617"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C95D3B8"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Celkové prevádzkové výdavky</w:t>
            </w:r>
          </w:p>
        </w:tc>
        <w:tc>
          <w:tcPr>
            <w:tcW w:w="1840" w:type="dxa"/>
            <w:tcBorders>
              <w:top w:val="nil"/>
              <w:left w:val="nil"/>
              <w:bottom w:val="single" w:sz="4" w:space="0" w:color="auto"/>
              <w:right w:val="single" w:sz="4" w:space="0" w:color="auto"/>
            </w:tcBorders>
            <w:shd w:val="clear" w:color="auto" w:fill="auto"/>
            <w:noWrap/>
            <w:vAlign w:val="bottom"/>
            <w:hideMark/>
          </w:tcPr>
          <w:p w14:paraId="2AE81ABA" w14:textId="77777777" w:rsidR="001A24C3" w:rsidRPr="00D9382F" w:rsidRDefault="001A24C3" w:rsidP="00300963">
            <w:pPr>
              <w:jc w:val="right"/>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-61 950 002,86</w:t>
            </w:r>
          </w:p>
        </w:tc>
      </w:tr>
    </w:tbl>
    <w:p w14:paraId="1A02116E" w14:textId="77777777" w:rsidR="00DF4A11" w:rsidRPr="00B00FA8" w:rsidRDefault="00DF4A11" w:rsidP="001A24C3"/>
    <w:p w14:paraId="1F58C915" w14:textId="77777777" w:rsidR="001A24C3" w:rsidRPr="00DF4A11" w:rsidRDefault="001A24C3" w:rsidP="00B00FA8">
      <w:pPr>
        <w:pStyle w:val="Nadpis41"/>
        <w:ind w:left="0" w:firstLine="0"/>
        <w:rPr>
          <w:color w:val="auto"/>
          <w:sz w:val="24"/>
          <w:szCs w:val="24"/>
        </w:rPr>
      </w:pPr>
      <w:bookmarkStart w:id="312" w:name="_Toc88653000"/>
      <w:r w:rsidRPr="00DF4A11">
        <w:rPr>
          <w:color w:val="auto"/>
          <w:sz w:val="24"/>
          <w:szCs w:val="24"/>
        </w:rPr>
        <w:lastRenderedPageBreak/>
        <w:t>Prevádzkové príjmy</w:t>
      </w:r>
      <w:bookmarkEnd w:id="312"/>
    </w:p>
    <w:p w14:paraId="6A2F02F6" w14:textId="1B823E2A" w:rsidR="001A24C3" w:rsidRDefault="001A24C3" w:rsidP="001A24C3">
      <w:pPr>
        <w:pStyle w:val="TEXTkOICE"/>
        <w:ind w:left="0"/>
      </w:pPr>
      <w:bookmarkStart w:id="313" w:name="_Toc83677924"/>
      <w:r>
        <w:t xml:space="preserve">Ako už bolo spomenuté v predchádzajúcej kapitole, ide o projekt generujúci príjmy, pričom sú tvorené poplatkami za dopravnú cestu v osobnej ako aj nákladnej doprave. </w:t>
      </w:r>
    </w:p>
    <w:p w14:paraId="289186A3" w14:textId="3E65ACDC" w:rsidR="001A24C3" w:rsidRDefault="001A24C3" w:rsidP="00B00FA8">
      <w:pPr>
        <w:pStyle w:val="Popis"/>
        <w:keepNext/>
        <w:jc w:val="both"/>
      </w:pPr>
      <w:r>
        <w:t xml:space="preserve">Tabuľka </w:t>
      </w:r>
      <w:r w:rsidR="00DA0B84">
        <w:t>53</w:t>
      </w:r>
      <w:r>
        <w:tab/>
      </w:r>
      <w:r w:rsidRPr="00EB57A3">
        <w:t>Prevádzkové príjmy – prírastkové</w:t>
      </w:r>
      <w:bookmarkEnd w:id="313"/>
    </w:p>
    <w:tbl>
      <w:tblPr>
        <w:tblW w:w="4320" w:type="dxa"/>
        <w:tblCellMar>
          <w:left w:w="70" w:type="dxa"/>
          <w:right w:w="70" w:type="dxa"/>
        </w:tblCellMar>
        <w:tblLook w:val="04A0" w:firstRow="1" w:lastRow="0" w:firstColumn="1" w:lastColumn="0" w:noHBand="0" w:noVBand="1"/>
      </w:tblPr>
      <w:tblGrid>
        <w:gridCol w:w="2980"/>
        <w:gridCol w:w="1340"/>
      </w:tblGrid>
      <w:tr w:rsidR="001A24C3" w:rsidRPr="00D9382F" w14:paraId="3B6673B4" w14:textId="77777777" w:rsidTr="00300963">
        <w:trPr>
          <w:trHeight w:val="204"/>
        </w:trPr>
        <w:tc>
          <w:tcPr>
            <w:tcW w:w="29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E6EAF0"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4.3 Príjmy</w:t>
            </w:r>
          </w:p>
        </w:tc>
        <w:tc>
          <w:tcPr>
            <w:tcW w:w="1340" w:type="dxa"/>
            <w:tcBorders>
              <w:top w:val="single" w:sz="4" w:space="0" w:color="auto"/>
              <w:left w:val="nil"/>
              <w:bottom w:val="single" w:sz="4" w:space="0" w:color="auto"/>
              <w:right w:val="single" w:sz="4" w:space="0" w:color="auto"/>
            </w:tcBorders>
            <w:shd w:val="clear" w:color="auto" w:fill="auto"/>
            <w:noWrap/>
            <w:vAlign w:val="bottom"/>
            <w:hideMark/>
          </w:tcPr>
          <w:p w14:paraId="42CFDD38"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 </w:t>
            </w:r>
          </w:p>
        </w:tc>
      </w:tr>
      <w:tr w:rsidR="001A24C3" w:rsidRPr="00D9382F" w14:paraId="5F0622CC" w14:textId="77777777" w:rsidTr="00300963">
        <w:trPr>
          <w:trHeight w:val="204"/>
        </w:trPr>
        <w:tc>
          <w:tcPr>
            <w:tcW w:w="2980" w:type="dxa"/>
            <w:tcBorders>
              <w:top w:val="nil"/>
              <w:left w:val="single" w:sz="4" w:space="0" w:color="auto"/>
              <w:bottom w:val="single" w:sz="4" w:space="0" w:color="auto"/>
              <w:right w:val="single" w:sz="4" w:space="0" w:color="auto"/>
            </w:tcBorders>
            <w:shd w:val="clear" w:color="000000" w:fill="FFFFCC"/>
            <w:noWrap/>
            <w:vAlign w:val="bottom"/>
            <w:hideMark/>
          </w:tcPr>
          <w:p w14:paraId="6471895E"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PRÍRASTKOVÉ</w:t>
            </w:r>
          </w:p>
        </w:tc>
        <w:tc>
          <w:tcPr>
            <w:tcW w:w="1340" w:type="dxa"/>
            <w:tcBorders>
              <w:top w:val="nil"/>
              <w:left w:val="nil"/>
              <w:bottom w:val="single" w:sz="4" w:space="0" w:color="auto"/>
              <w:right w:val="single" w:sz="4" w:space="0" w:color="auto"/>
            </w:tcBorders>
            <w:shd w:val="clear" w:color="000000" w:fill="FFFFCC"/>
            <w:noWrap/>
            <w:vAlign w:val="bottom"/>
            <w:hideMark/>
          </w:tcPr>
          <w:p w14:paraId="72AFD833"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Celkom</w:t>
            </w:r>
          </w:p>
        </w:tc>
      </w:tr>
      <w:tr w:rsidR="001A24C3" w:rsidRPr="00D9382F" w14:paraId="750443AC"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971D922"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Tržby za DC - osobná doprava</w:t>
            </w:r>
          </w:p>
        </w:tc>
        <w:tc>
          <w:tcPr>
            <w:tcW w:w="1340" w:type="dxa"/>
            <w:tcBorders>
              <w:top w:val="nil"/>
              <w:left w:val="nil"/>
              <w:bottom w:val="single" w:sz="4" w:space="0" w:color="auto"/>
              <w:right w:val="single" w:sz="4" w:space="0" w:color="auto"/>
            </w:tcBorders>
            <w:shd w:val="clear" w:color="auto" w:fill="auto"/>
            <w:noWrap/>
            <w:vAlign w:val="bottom"/>
            <w:hideMark/>
          </w:tcPr>
          <w:p w14:paraId="6FA3ABD7" w14:textId="77777777" w:rsidR="001A24C3" w:rsidRPr="00D9382F" w:rsidRDefault="001A24C3" w:rsidP="00300963">
            <w:pPr>
              <w:jc w:val="right"/>
              <w:rPr>
                <w:rFonts w:ascii="Arial" w:eastAsia="Times New Roman" w:hAnsi="Arial" w:cs="Arial"/>
                <w:sz w:val="16"/>
                <w:szCs w:val="16"/>
                <w:lang w:eastAsia="sk-SK"/>
              </w:rPr>
            </w:pPr>
            <w:r w:rsidRPr="00D9382F">
              <w:rPr>
                <w:rFonts w:ascii="Arial" w:eastAsia="Times New Roman" w:hAnsi="Arial" w:cs="Arial"/>
                <w:sz w:val="16"/>
                <w:szCs w:val="16"/>
                <w:lang w:eastAsia="sk-SK"/>
              </w:rPr>
              <w:t>7 132 450,95</w:t>
            </w:r>
          </w:p>
        </w:tc>
      </w:tr>
      <w:tr w:rsidR="001A24C3" w:rsidRPr="00D9382F" w14:paraId="3BC4DCC8"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3FA52554"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Tržby za DC - nákladná doprava</w:t>
            </w:r>
          </w:p>
        </w:tc>
        <w:tc>
          <w:tcPr>
            <w:tcW w:w="1340" w:type="dxa"/>
            <w:tcBorders>
              <w:top w:val="nil"/>
              <w:left w:val="nil"/>
              <w:bottom w:val="single" w:sz="4" w:space="0" w:color="auto"/>
              <w:right w:val="single" w:sz="4" w:space="0" w:color="auto"/>
            </w:tcBorders>
            <w:shd w:val="clear" w:color="auto" w:fill="auto"/>
            <w:noWrap/>
            <w:vAlign w:val="bottom"/>
            <w:hideMark/>
          </w:tcPr>
          <w:p w14:paraId="3D95ED7E" w14:textId="77777777" w:rsidR="001A24C3" w:rsidRPr="00D9382F" w:rsidRDefault="001A24C3" w:rsidP="00300963">
            <w:pPr>
              <w:jc w:val="right"/>
              <w:rPr>
                <w:rFonts w:ascii="Arial" w:eastAsia="Times New Roman" w:hAnsi="Arial" w:cs="Arial"/>
                <w:sz w:val="16"/>
                <w:szCs w:val="16"/>
                <w:lang w:eastAsia="sk-SK"/>
              </w:rPr>
            </w:pPr>
            <w:r w:rsidRPr="00D9382F">
              <w:rPr>
                <w:rFonts w:ascii="Arial" w:eastAsia="Times New Roman" w:hAnsi="Arial" w:cs="Arial"/>
                <w:sz w:val="16"/>
                <w:szCs w:val="16"/>
                <w:lang w:eastAsia="sk-SK"/>
              </w:rPr>
              <w:t>751 858,96</w:t>
            </w:r>
          </w:p>
        </w:tc>
      </w:tr>
      <w:tr w:rsidR="001A24C3" w:rsidRPr="00D9382F" w14:paraId="480530C5" w14:textId="77777777" w:rsidTr="00300963">
        <w:trPr>
          <w:trHeight w:val="204"/>
        </w:trPr>
        <w:tc>
          <w:tcPr>
            <w:tcW w:w="2980" w:type="dxa"/>
            <w:tcBorders>
              <w:top w:val="nil"/>
              <w:left w:val="single" w:sz="4" w:space="0" w:color="auto"/>
              <w:bottom w:val="single" w:sz="4" w:space="0" w:color="auto"/>
              <w:right w:val="single" w:sz="4" w:space="0" w:color="auto"/>
            </w:tcBorders>
            <w:shd w:val="clear" w:color="auto" w:fill="auto"/>
            <w:noWrap/>
            <w:vAlign w:val="bottom"/>
            <w:hideMark/>
          </w:tcPr>
          <w:p w14:paraId="0A56AE9D"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Celkové príjmy</w:t>
            </w:r>
          </w:p>
        </w:tc>
        <w:tc>
          <w:tcPr>
            <w:tcW w:w="1340" w:type="dxa"/>
            <w:tcBorders>
              <w:top w:val="nil"/>
              <w:left w:val="nil"/>
              <w:bottom w:val="single" w:sz="4" w:space="0" w:color="auto"/>
              <w:right w:val="single" w:sz="4" w:space="0" w:color="auto"/>
            </w:tcBorders>
            <w:shd w:val="clear" w:color="auto" w:fill="auto"/>
            <w:noWrap/>
            <w:vAlign w:val="bottom"/>
            <w:hideMark/>
          </w:tcPr>
          <w:p w14:paraId="3A757B3A" w14:textId="77777777" w:rsidR="001A24C3" w:rsidRPr="00D9382F" w:rsidRDefault="001A24C3" w:rsidP="00300963">
            <w:pPr>
              <w:jc w:val="right"/>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7 884 309,90</w:t>
            </w:r>
          </w:p>
        </w:tc>
      </w:tr>
    </w:tbl>
    <w:p w14:paraId="71F89327" w14:textId="77777777" w:rsidR="001A24C3" w:rsidRPr="00DF4A11" w:rsidRDefault="001A24C3" w:rsidP="00B00FA8">
      <w:pPr>
        <w:pStyle w:val="Nadpis41"/>
        <w:ind w:left="851" w:hanging="851"/>
        <w:rPr>
          <w:color w:val="auto"/>
          <w:sz w:val="24"/>
          <w:szCs w:val="24"/>
        </w:rPr>
      </w:pPr>
      <w:bookmarkStart w:id="314" w:name="_Toc88653001"/>
      <w:r w:rsidRPr="00DF4A11">
        <w:rPr>
          <w:color w:val="auto"/>
          <w:sz w:val="24"/>
          <w:szCs w:val="24"/>
        </w:rPr>
        <w:t>Zostatková hodnota</w:t>
      </w:r>
      <w:bookmarkEnd w:id="314"/>
    </w:p>
    <w:p w14:paraId="68322C69" w14:textId="77777777" w:rsidR="001A24C3" w:rsidRDefault="001A24C3" w:rsidP="001A24C3">
      <w:pPr>
        <w:rPr>
          <w:lang w:eastAsia="sk-SK" w:bidi="sk-SK"/>
        </w:rPr>
      </w:pPr>
      <w:bookmarkStart w:id="315" w:name="_Hlk88423724"/>
      <w:bookmarkStart w:id="316" w:name="_Toc83677925"/>
      <w:r w:rsidRPr="00643730">
        <w:rPr>
          <w:lang w:eastAsia="sk-SK" w:bidi="sk-SK"/>
        </w:rPr>
        <w:t>Zostatková hodnota bola vo vypočítaná 2 spôsobmi</w:t>
      </w:r>
      <w:r>
        <w:rPr>
          <w:lang w:eastAsia="sk-SK" w:bidi="sk-SK"/>
        </w:rPr>
        <w:t xml:space="preserve"> p</w:t>
      </w:r>
      <w:r w:rsidRPr="00643730">
        <w:rPr>
          <w:lang w:eastAsia="sk-SK" w:bidi="sk-SK"/>
        </w:rPr>
        <w:t xml:space="preserve">omocou cash-flow tokov </w:t>
      </w:r>
      <w:r>
        <w:rPr>
          <w:lang w:eastAsia="sk-SK" w:bidi="sk-SK"/>
        </w:rPr>
        <w:t>a pomocou odpisov. Oba spôsoby boli použité aj pre finančnú aj pre ekonomickú analýzu, pričom vo finančnej analýze bola použitá zostatková hodnote pomocou cash – flow tokov, keďže ide o projekt generujúci príjmy. Vypočítaný výsledok je možné vidieť v nižšie uvedenej tabuľke. Detailnejšie výpočty sa nachádzajú v excelovskej časti.</w:t>
      </w:r>
    </w:p>
    <w:bookmarkEnd w:id="315"/>
    <w:p w14:paraId="67DEB20D" w14:textId="05DF5926" w:rsidR="001A24C3" w:rsidRDefault="001A24C3" w:rsidP="00006CFE">
      <w:pPr>
        <w:pStyle w:val="Popis"/>
        <w:keepNext/>
        <w:jc w:val="both"/>
      </w:pPr>
      <w:r>
        <w:t>Tabuľka</w:t>
      </w:r>
      <w:r w:rsidR="00DA0B84">
        <w:t xml:space="preserve"> </w:t>
      </w:r>
      <w:r w:rsidR="00DA0B84">
        <w:rPr>
          <w:noProof/>
        </w:rPr>
        <w:t>54</w:t>
      </w:r>
      <w:r>
        <w:tab/>
      </w:r>
      <w:r w:rsidRPr="00E85C59">
        <w:t>Zostatková hodnota – metóda cash flow</w:t>
      </w:r>
      <w:bookmarkEnd w:id="316"/>
    </w:p>
    <w:tbl>
      <w:tblPr>
        <w:tblW w:w="9068" w:type="dxa"/>
        <w:tblCellMar>
          <w:left w:w="70" w:type="dxa"/>
          <w:right w:w="70" w:type="dxa"/>
        </w:tblCellMar>
        <w:tblLook w:val="04A0" w:firstRow="1" w:lastRow="0" w:firstColumn="1" w:lastColumn="0" w:noHBand="0" w:noVBand="1"/>
      </w:tblPr>
      <w:tblGrid>
        <w:gridCol w:w="7180"/>
        <w:gridCol w:w="1888"/>
      </w:tblGrid>
      <w:tr w:rsidR="001A24C3" w:rsidRPr="00D9382F" w14:paraId="65DD0C4E" w14:textId="77777777" w:rsidTr="00300963">
        <w:trPr>
          <w:trHeight w:val="216"/>
        </w:trPr>
        <w:tc>
          <w:tcPr>
            <w:tcW w:w="7180" w:type="dxa"/>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65618ADE" w14:textId="77777777" w:rsidR="001A24C3" w:rsidRPr="00D9382F" w:rsidRDefault="001A24C3" w:rsidP="00300963">
            <w:pP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 xml:space="preserve">Zostatková hodnota na základe finančných peňažných tokoch </w:t>
            </w:r>
          </w:p>
        </w:tc>
        <w:tc>
          <w:tcPr>
            <w:tcW w:w="1888" w:type="dxa"/>
            <w:tcBorders>
              <w:top w:val="single" w:sz="8" w:space="0" w:color="auto"/>
              <w:left w:val="nil"/>
              <w:bottom w:val="single" w:sz="4" w:space="0" w:color="auto"/>
              <w:right w:val="single" w:sz="4" w:space="0" w:color="auto"/>
            </w:tcBorders>
            <w:shd w:val="clear" w:color="000000" w:fill="D9D9D9"/>
            <w:noWrap/>
            <w:vAlign w:val="center"/>
            <w:hideMark/>
          </w:tcPr>
          <w:p w14:paraId="6A1940EF" w14:textId="77777777" w:rsidR="001A24C3" w:rsidRPr="00D9382F" w:rsidRDefault="001A24C3" w:rsidP="00300963">
            <w:pPr>
              <w:jc w:val="cente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Celkom</w:t>
            </w:r>
          </w:p>
        </w:tc>
      </w:tr>
      <w:tr w:rsidR="001A24C3" w:rsidRPr="00D9382F" w14:paraId="15C94C1E"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6C2DF35C"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 xml:space="preserve">Peňažný tok - náklady na prevádzku a údržbu </w:t>
            </w:r>
          </w:p>
        </w:tc>
        <w:tc>
          <w:tcPr>
            <w:tcW w:w="1888" w:type="dxa"/>
            <w:tcBorders>
              <w:top w:val="nil"/>
              <w:left w:val="nil"/>
              <w:bottom w:val="single" w:sz="4" w:space="0" w:color="auto"/>
              <w:right w:val="single" w:sz="4" w:space="0" w:color="auto"/>
            </w:tcBorders>
            <w:shd w:val="clear" w:color="000000" w:fill="F2F2F2"/>
            <w:vAlign w:val="center"/>
            <w:hideMark/>
          </w:tcPr>
          <w:p w14:paraId="39DE0742" w14:textId="77777777" w:rsidR="001A24C3" w:rsidRPr="00D9382F" w:rsidRDefault="001A24C3" w:rsidP="00300963">
            <w:pPr>
              <w:jc w:val="cente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0</w:t>
            </w:r>
          </w:p>
        </w:tc>
      </w:tr>
      <w:tr w:rsidR="001A24C3" w:rsidRPr="00D9382F" w14:paraId="655FB89A" w14:textId="77777777" w:rsidTr="00300963">
        <w:trPr>
          <w:trHeight w:val="216"/>
        </w:trPr>
        <w:tc>
          <w:tcPr>
            <w:tcW w:w="7180" w:type="dxa"/>
            <w:tcBorders>
              <w:top w:val="nil"/>
              <w:left w:val="single" w:sz="8" w:space="0" w:color="auto"/>
              <w:bottom w:val="nil"/>
              <w:right w:val="single" w:sz="4" w:space="0" w:color="auto"/>
            </w:tcBorders>
            <w:shd w:val="clear" w:color="auto" w:fill="auto"/>
            <w:noWrap/>
            <w:vAlign w:val="bottom"/>
            <w:hideMark/>
          </w:tcPr>
          <w:p w14:paraId="6679C5E8"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 xml:space="preserve">Peňažný tok - príjmy </w:t>
            </w:r>
          </w:p>
        </w:tc>
        <w:tc>
          <w:tcPr>
            <w:tcW w:w="1888" w:type="dxa"/>
            <w:tcBorders>
              <w:top w:val="single" w:sz="4" w:space="0" w:color="auto"/>
              <w:left w:val="single" w:sz="4" w:space="0" w:color="auto"/>
              <w:bottom w:val="nil"/>
              <w:right w:val="single" w:sz="4" w:space="0" w:color="auto"/>
            </w:tcBorders>
            <w:shd w:val="clear" w:color="000000" w:fill="F2F2F2"/>
            <w:vAlign w:val="center"/>
            <w:hideMark/>
          </w:tcPr>
          <w:p w14:paraId="68AA3929" w14:textId="77777777" w:rsidR="001A24C3" w:rsidRPr="00D9382F" w:rsidRDefault="001A24C3" w:rsidP="00300963">
            <w:pPr>
              <w:jc w:val="center"/>
              <w:rPr>
                <w:rFonts w:ascii="Arial" w:eastAsia="Times New Roman" w:hAnsi="Arial" w:cs="Arial"/>
                <w:b/>
                <w:bCs/>
                <w:sz w:val="16"/>
                <w:szCs w:val="16"/>
                <w:lang w:eastAsia="sk-SK"/>
              </w:rPr>
            </w:pPr>
            <w:r w:rsidRPr="00D9382F">
              <w:rPr>
                <w:rFonts w:ascii="Arial" w:eastAsia="Times New Roman" w:hAnsi="Arial" w:cs="Arial"/>
                <w:b/>
                <w:bCs/>
                <w:sz w:val="16"/>
                <w:szCs w:val="16"/>
                <w:lang w:eastAsia="sk-SK"/>
              </w:rPr>
              <w:t>2 021 354</w:t>
            </w:r>
          </w:p>
        </w:tc>
      </w:tr>
      <w:tr w:rsidR="001A24C3" w:rsidRPr="00D9382F" w14:paraId="5FCAFB73" w14:textId="77777777" w:rsidTr="00300963">
        <w:trPr>
          <w:trHeight w:val="288"/>
        </w:trPr>
        <w:tc>
          <w:tcPr>
            <w:tcW w:w="71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2439DC91" w14:textId="77777777" w:rsidR="001A24C3" w:rsidRPr="00D9382F" w:rsidRDefault="001A24C3" w:rsidP="00300963">
            <w:pPr>
              <w:rPr>
                <w:rFonts w:ascii="Arial" w:eastAsia="Times New Roman" w:hAnsi="Arial" w:cs="Arial"/>
                <w:sz w:val="16"/>
                <w:szCs w:val="16"/>
                <w:lang w:eastAsia="sk-SK"/>
              </w:rPr>
            </w:pPr>
            <w:r w:rsidRPr="00D9382F">
              <w:rPr>
                <w:rFonts w:ascii="Arial" w:eastAsia="Times New Roman" w:hAnsi="Arial" w:cs="Arial"/>
                <w:sz w:val="16"/>
                <w:szCs w:val="16"/>
                <w:lang w:eastAsia="sk-SK"/>
              </w:rPr>
              <w:t>Súčasná hodnota čistých príjmov</w:t>
            </w:r>
          </w:p>
        </w:tc>
        <w:tc>
          <w:tcPr>
            <w:tcW w:w="1888" w:type="dxa"/>
            <w:tcBorders>
              <w:top w:val="single" w:sz="8" w:space="0" w:color="auto"/>
              <w:left w:val="nil"/>
              <w:bottom w:val="single" w:sz="8" w:space="0" w:color="auto"/>
              <w:right w:val="single" w:sz="4" w:space="0" w:color="auto"/>
            </w:tcBorders>
            <w:shd w:val="clear" w:color="000000" w:fill="FFFFCC"/>
            <w:vAlign w:val="center"/>
            <w:hideMark/>
          </w:tcPr>
          <w:p w14:paraId="5ACF5A60" w14:textId="77777777" w:rsidR="001A24C3" w:rsidRPr="00D9382F" w:rsidRDefault="001A24C3" w:rsidP="00300963">
            <w:pPr>
              <w:jc w:val="center"/>
              <w:rPr>
                <w:rFonts w:ascii="Arial" w:eastAsia="Times New Roman" w:hAnsi="Arial" w:cs="Arial"/>
                <w:b/>
                <w:bCs/>
                <w:lang w:eastAsia="sk-SK"/>
              </w:rPr>
            </w:pPr>
            <w:r w:rsidRPr="00D9382F">
              <w:rPr>
                <w:rFonts w:ascii="Arial" w:eastAsia="Times New Roman" w:hAnsi="Arial" w:cs="Arial"/>
                <w:b/>
                <w:bCs/>
                <w:lang w:eastAsia="sk-SK"/>
              </w:rPr>
              <w:t>6 922 748</w:t>
            </w:r>
          </w:p>
        </w:tc>
      </w:tr>
    </w:tbl>
    <w:p w14:paraId="45251FA5" w14:textId="2CE3FB65" w:rsidR="001A24C3" w:rsidRDefault="001A24C3" w:rsidP="00006CFE">
      <w:pPr>
        <w:pStyle w:val="Popis"/>
        <w:keepNext/>
        <w:jc w:val="both"/>
      </w:pPr>
      <w:bookmarkStart w:id="317" w:name="_Toc83677926"/>
      <w:r>
        <w:t>Tabuľka</w:t>
      </w:r>
      <w:r w:rsidR="00DA0B84">
        <w:rPr>
          <w:noProof/>
        </w:rPr>
        <w:t xml:space="preserve"> 55</w:t>
      </w:r>
      <w:r>
        <w:tab/>
      </w:r>
      <w:r w:rsidRPr="00E85C59">
        <w:t>Zostatková hodnota – odpisová metóda</w:t>
      </w:r>
      <w:bookmarkEnd w:id="317"/>
    </w:p>
    <w:tbl>
      <w:tblPr>
        <w:tblW w:w="9923" w:type="dxa"/>
        <w:tblLayout w:type="fixed"/>
        <w:tblCellMar>
          <w:left w:w="70" w:type="dxa"/>
          <w:right w:w="70" w:type="dxa"/>
        </w:tblCellMar>
        <w:tblLook w:val="04A0" w:firstRow="1" w:lastRow="0" w:firstColumn="1" w:lastColumn="0" w:noHBand="0" w:noVBand="1"/>
      </w:tblPr>
      <w:tblGrid>
        <w:gridCol w:w="3402"/>
        <w:gridCol w:w="1134"/>
        <w:gridCol w:w="1276"/>
        <w:gridCol w:w="992"/>
        <w:gridCol w:w="993"/>
        <w:gridCol w:w="992"/>
        <w:gridCol w:w="1134"/>
      </w:tblGrid>
      <w:tr w:rsidR="001A24C3" w:rsidRPr="00D9382F" w14:paraId="39C4D7B9" w14:textId="77777777" w:rsidTr="00300963">
        <w:trPr>
          <w:trHeight w:val="204"/>
        </w:trPr>
        <w:tc>
          <w:tcPr>
            <w:tcW w:w="4536" w:type="dxa"/>
            <w:gridSpan w:val="2"/>
            <w:tcBorders>
              <w:top w:val="nil"/>
              <w:left w:val="nil"/>
              <w:bottom w:val="nil"/>
              <w:right w:val="nil"/>
            </w:tcBorders>
            <w:shd w:val="clear" w:color="auto" w:fill="auto"/>
            <w:noWrap/>
            <w:vAlign w:val="bottom"/>
            <w:hideMark/>
          </w:tcPr>
          <w:p w14:paraId="3C3BD7D4" w14:textId="77777777" w:rsidR="001A24C3" w:rsidRPr="00D9382F" w:rsidRDefault="001A24C3" w:rsidP="00300963">
            <w:pP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2.1 Zostatková hodnota na základe životnosti infraštruktrálnych prvkov (alebo tzv. účtovné odpisy)</w:t>
            </w:r>
          </w:p>
        </w:tc>
        <w:tc>
          <w:tcPr>
            <w:tcW w:w="1276" w:type="dxa"/>
            <w:tcBorders>
              <w:top w:val="nil"/>
              <w:left w:val="nil"/>
              <w:bottom w:val="nil"/>
              <w:right w:val="nil"/>
            </w:tcBorders>
            <w:shd w:val="clear" w:color="auto" w:fill="auto"/>
            <w:noWrap/>
            <w:vAlign w:val="bottom"/>
            <w:hideMark/>
          </w:tcPr>
          <w:p w14:paraId="5ED3C684" w14:textId="77777777" w:rsidR="001A24C3" w:rsidRPr="00D9382F" w:rsidRDefault="001A24C3" w:rsidP="00300963">
            <w:pPr>
              <w:rPr>
                <w:rFonts w:ascii="Arial" w:eastAsia="Times New Roman" w:hAnsi="Arial" w:cs="Arial"/>
                <w:b/>
                <w:bCs/>
                <w:sz w:val="12"/>
                <w:szCs w:val="12"/>
                <w:lang w:eastAsia="sk-SK"/>
              </w:rPr>
            </w:pPr>
          </w:p>
        </w:tc>
        <w:tc>
          <w:tcPr>
            <w:tcW w:w="992" w:type="dxa"/>
            <w:tcBorders>
              <w:top w:val="nil"/>
              <w:left w:val="nil"/>
              <w:bottom w:val="nil"/>
              <w:right w:val="nil"/>
            </w:tcBorders>
            <w:shd w:val="clear" w:color="auto" w:fill="auto"/>
            <w:noWrap/>
            <w:vAlign w:val="bottom"/>
            <w:hideMark/>
          </w:tcPr>
          <w:p w14:paraId="7D73A25F" w14:textId="77777777" w:rsidR="001A24C3" w:rsidRPr="00D9382F" w:rsidRDefault="001A24C3" w:rsidP="00300963">
            <w:pPr>
              <w:rPr>
                <w:rFonts w:ascii="Times New Roman" w:eastAsia="Times New Roman" w:hAnsi="Times New Roman" w:cs="Times New Roman"/>
                <w:sz w:val="12"/>
                <w:szCs w:val="12"/>
                <w:lang w:eastAsia="sk-SK"/>
              </w:rPr>
            </w:pPr>
          </w:p>
        </w:tc>
        <w:tc>
          <w:tcPr>
            <w:tcW w:w="993" w:type="dxa"/>
            <w:tcBorders>
              <w:top w:val="nil"/>
              <w:left w:val="nil"/>
              <w:bottom w:val="nil"/>
              <w:right w:val="nil"/>
            </w:tcBorders>
            <w:shd w:val="clear" w:color="auto" w:fill="auto"/>
            <w:noWrap/>
            <w:vAlign w:val="bottom"/>
            <w:hideMark/>
          </w:tcPr>
          <w:p w14:paraId="58291058" w14:textId="77777777" w:rsidR="001A24C3" w:rsidRPr="00D9382F" w:rsidRDefault="001A24C3" w:rsidP="00300963">
            <w:pPr>
              <w:rPr>
                <w:rFonts w:ascii="Times New Roman" w:eastAsia="Times New Roman" w:hAnsi="Times New Roman" w:cs="Times New Roman"/>
                <w:sz w:val="12"/>
                <w:szCs w:val="12"/>
                <w:lang w:eastAsia="sk-SK"/>
              </w:rPr>
            </w:pPr>
          </w:p>
        </w:tc>
        <w:tc>
          <w:tcPr>
            <w:tcW w:w="992" w:type="dxa"/>
            <w:tcBorders>
              <w:top w:val="nil"/>
              <w:left w:val="nil"/>
              <w:bottom w:val="nil"/>
              <w:right w:val="nil"/>
            </w:tcBorders>
            <w:shd w:val="clear" w:color="auto" w:fill="auto"/>
            <w:noWrap/>
            <w:vAlign w:val="bottom"/>
            <w:hideMark/>
          </w:tcPr>
          <w:p w14:paraId="3A64E74C" w14:textId="77777777" w:rsidR="001A24C3" w:rsidRPr="00D9382F" w:rsidRDefault="001A24C3" w:rsidP="00300963">
            <w:pPr>
              <w:rPr>
                <w:rFonts w:ascii="Times New Roman" w:eastAsia="Times New Roman" w:hAnsi="Times New Roman" w:cs="Times New Roman"/>
                <w:sz w:val="12"/>
                <w:szCs w:val="12"/>
                <w:lang w:eastAsia="sk-SK"/>
              </w:rPr>
            </w:pPr>
          </w:p>
        </w:tc>
        <w:tc>
          <w:tcPr>
            <w:tcW w:w="1134" w:type="dxa"/>
            <w:tcBorders>
              <w:top w:val="single" w:sz="8" w:space="0" w:color="auto"/>
              <w:left w:val="single" w:sz="8" w:space="0" w:color="auto"/>
              <w:bottom w:val="nil"/>
              <w:right w:val="single" w:sz="4" w:space="0" w:color="auto"/>
            </w:tcBorders>
            <w:shd w:val="clear" w:color="auto" w:fill="auto"/>
            <w:noWrap/>
            <w:vAlign w:val="bottom"/>
            <w:hideMark/>
          </w:tcPr>
          <w:p w14:paraId="4C0A1498" w14:textId="77777777" w:rsidR="001A24C3" w:rsidRPr="00D9382F" w:rsidRDefault="001A24C3" w:rsidP="00300963">
            <w:pPr>
              <w:jc w:val="cente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finančná</w:t>
            </w:r>
          </w:p>
        </w:tc>
      </w:tr>
      <w:tr w:rsidR="001A24C3" w:rsidRPr="00D9382F" w14:paraId="58556CF0" w14:textId="77777777" w:rsidTr="00300963">
        <w:trPr>
          <w:trHeight w:val="1020"/>
        </w:trPr>
        <w:tc>
          <w:tcPr>
            <w:tcW w:w="3402"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F949924" w14:textId="77777777" w:rsidR="001A24C3" w:rsidRPr="00D9382F" w:rsidRDefault="001A24C3" w:rsidP="00300963">
            <w:pP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Infraštrukturálny prvok</w:t>
            </w:r>
          </w:p>
        </w:tc>
        <w:tc>
          <w:tcPr>
            <w:tcW w:w="1134" w:type="dxa"/>
            <w:tcBorders>
              <w:top w:val="single" w:sz="4" w:space="0" w:color="auto"/>
              <w:left w:val="nil"/>
              <w:bottom w:val="single" w:sz="4" w:space="0" w:color="auto"/>
              <w:right w:val="single" w:sz="4" w:space="0" w:color="auto"/>
            </w:tcBorders>
            <w:shd w:val="clear" w:color="000000" w:fill="D9D9D9"/>
            <w:vAlign w:val="bottom"/>
            <w:hideMark/>
          </w:tcPr>
          <w:p w14:paraId="12C3D81E" w14:textId="77777777" w:rsidR="001A24C3" w:rsidRPr="00D9382F" w:rsidRDefault="001A24C3" w:rsidP="00300963">
            <w:pPr>
              <w:jc w:val="cente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Životnosť v rokoch</w:t>
            </w:r>
          </w:p>
        </w:tc>
        <w:tc>
          <w:tcPr>
            <w:tcW w:w="1276" w:type="dxa"/>
            <w:tcBorders>
              <w:top w:val="single" w:sz="4" w:space="0" w:color="auto"/>
              <w:left w:val="nil"/>
              <w:bottom w:val="single" w:sz="4" w:space="0" w:color="auto"/>
              <w:right w:val="single" w:sz="4" w:space="0" w:color="auto"/>
            </w:tcBorders>
            <w:shd w:val="clear" w:color="000000" w:fill="D9D9D9"/>
            <w:vAlign w:val="bottom"/>
            <w:hideMark/>
          </w:tcPr>
          <w:p w14:paraId="7E46A8CC" w14:textId="77777777" w:rsidR="001A24C3" w:rsidRPr="00D9382F" w:rsidRDefault="001A24C3" w:rsidP="00300963">
            <w:pPr>
              <w:jc w:val="cente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Obdobie prevádzky v rámci referenčného obdobia</w:t>
            </w:r>
          </w:p>
        </w:tc>
        <w:tc>
          <w:tcPr>
            <w:tcW w:w="992" w:type="dxa"/>
            <w:tcBorders>
              <w:top w:val="single" w:sz="4" w:space="0" w:color="auto"/>
              <w:left w:val="nil"/>
              <w:bottom w:val="single" w:sz="4" w:space="0" w:color="auto"/>
              <w:right w:val="single" w:sz="4" w:space="0" w:color="auto"/>
            </w:tcBorders>
            <w:shd w:val="clear" w:color="000000" w:fill="D9D9D9"/>
            <w:vAlign w:val="bottom"/>
            <w:hideMark/>
          </w:tcPr>
          <w:p w14:paraId="77C69942" w14:textId="77777777" w:rsidR="001A24C3" w:rsidRPr="00D9382F" w:rsidRDefault="001A24C3" w:rsidP="00300963">
            <w:pPr>
              <w:jc w:val="cente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Nevyhnutnosť výmeny</w:t>
            </w:r>
          </w:p>
        </w:tc>
        <w:tc>
          <w:tcPr>
            <w:tcW w:w="993" w:type="dxa"/>
            <w:tcBorders>
              <w:top w:val="single" w:sz="4" w:space="0" w:color="auto"/>
              <w:left w:val="nil"/>
              <w:bottom w:val="single" w:sz="4" w:space="0" w:color="auto"/>
              <w:right w:val="single" w:sz="4" w:space="0" w:color="auto"/>
            </w:tcBorders>
            <w:shd w:val="clear" w:color="000000" w:fill="D9D9D9"/>
            <w:vAlign w:val="bottom"/>
            <w:hideMark/>
          </w:tcPr>
          <w:p w14:paraId="18F2829F" w14:textId="77777777" w:rsidR="001A24C3" w:rsidRPr="00D9382F" w:rsidRDefault="001A24C3" w:rsidP="00300963">
            <w:pPr>
              <w:jc w:val="cente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Životnosť (vrátane výmeny)</w:t>
            </w:r>
          </w:p>
        </w:tc>
        <w:tc>
          <w:tcPr>
            <w:tcW w:w="992" w:type="dxa"/>
            <w:tcBorders>
              <w:top w:val="single" w:sz="4" w:space="0" w:color="auto"/>
              <w:left w:val="nil"/>
              <w:bottom w:val="single" w:sz="4" w:space="0" w:color="auto"/>
              <w:right w:val="nil"/>
            </w:tcBorders>
            <w:shd w:val="clear" w:color="000000" w:fill="D9D9D9"/>
            <w:vAlign w:val="bottom"/>
            <w:hideMark/>
          </w:tcPr>
          <w:p w14:paraId="2A89DB2A" w14:textId="77777777" w:rsidR="001A24C3" w:rsidRPr="00D9382F" w:rsidRDefault="001A24C3" w:rsidP="00300963">
            <w:pPr>
              <w:jc w:val="cente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Zostávajúca životnosť v %*</w:t>
            </w:r>
          </w:p>
        </w:tc>
        <w:tc>
          <w:tcPr>
            <w:tcW w:w="1134" w:type="dxa"/>
            <w:tcBorders>
              <w:top w:val="single" w:sz="4" w:space="0" w:color="auto"/>
              <w:left w:val="single" w:sz="8" w:space="0" w:color="auto"/>
              <w:bottom w:val="single" w:sz="4" w:space="0" w:color="auto"/>
              <w:right w:val="single" w:sz="4" w:space="0" w:color="auto"/>
            </w:tcBorders>
            <w:shd w:val="clear" w:color="000000" w:fill="D9D9D9"/>
            <w:vAlign w:val="bottom"/>
            <w:hideMark/>
          </w:tcPr>
          <w:p w14:paraId="05A9A617" w14:textId="77777777" w:rsidR="001A24C3" w:rsidRPr="00D9382F" w:rsidRDefault="001A24C3" w:rsidP="00300963">
            <w:pPr>
              <w:jc w:val="cente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Zostatková hodnota</w:t>
            </w:r>
          </w:p>
        </w:tc>
      </w:tr>
      <w:tr w:rsidR="001A24C3" w:rsidRPr="00D9382F" w14:paraId="642EBFFB"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60410FF2"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Pozemky</w:t>
            </w:r>
          </w:p>
        </w:tc>
        <w:tc>
          <w:tcPr>
            <w:tcW w:w="1134" w:type="dxa"/>
            <w:tcBorders>
              <w:top w:val="nil"/>
              <w:left w:val="nil"/>
              <w:bottom w:val="single" w:sz="4" w:space="0" w:color="auto"/>
              <w:right w:val="single" w:sz="4" w:space="0" w:color="auto"/>
            </w:tcBorders>
            <w:shd w:val="clear" w:color="auto" w:fill="auto"/>
            <w:vAlign w:val="bottom"/>
            <w:hideMark/>
          </w:tcPr>
          <w:p w14:paraId="3B0DB22C"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nekonečná</w:t>
            </w:r>
          </w:p>
        </w:tc>
        <w:tc>
          <w:tcPr>
            <w:tcW w:w="1276" w:type="dxa"/>
            <w:tcBorders>
              <w:top w:val="nil"/>
              <w:left w:val="nil"/>
              <w:bottom w:val="single" w:sz="4" w:space="0" w:color="auto"/>
              <w:right w:val="single" w:sz="4" w:space="0" w:color="auto"/>
            </w:tcBorders>
            <w:shd w:val="clear" w:color="auto" w:fill="auto"/>
            <w:vAlign w:val="center"/>
            <w:hideMark/>
          </w:tcPr>
          <w:p w14:paraId="1779141C"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1B052CA6"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vAlign w:val="bottom"/>
            <w:hideMark/>
          </w:tcPr>
          <w:p w14:paraId="308E91CE"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nekonečná</w:t>
            </w:r>
          </w:p>
        </w:tc>
        <w:tc>
          <w:tcPr>
            <w:tcW w:w="992" w:type="dxa"/>
            <w:tcBorders>
              <w:top w:val="nil"/>
              <w:left w:val="nil"/>
              <w:bottom w:val="single" w:sz="4" w:space="0" w:color="auto"/>
              <w:right w:val="nil"/>
            </w:tcBorders>
            <w:shd w:val="clear" w:color="auto" w:fill="auto"/>
            <w:noWrap/>
            <w:vAlign w:val="bottom"/>
            <w:hideMark/>
          </w:tcPr>
          <w:p w14:paraId="687C59D6"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nekonečná</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058F43F5"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1 590 900,00</w:t>
            </w:r>
          </w:p>
        </w:tc>
      </w:tr>
      <w:tr w:rsidR="001A24C3" w:rsidRPr="00D9382F" w14:paraId="6C9F4978"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087DFF0"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Mosty železobetónové</w:t>
            </w:r>
          </w:p>
        </w:tc>
        <w:tc>
          <w:tcPr>
            <w:tcW w:w="1134" w:type="dxa"/>
            <w:tcBorders>
              <w:top w:val="nil"/>
              <w:left w:val="nil"/>
              <w:bottom w:val="single" w:sz="4" w:space="0" w:color="auto"/>
              <w:right w:val="single" w:sz="4" w:space="0" w:color="auto"/>
            </w:tcBorders>
            <w:shd w:val="clear" w:color="auto" w:fill="auto"/>
            <w:noWrap/>
            <w:vAlign w:val="bottom"/>
            <w:hideMark/>
          </w:tcPr>
          <w:p w14:paraId="27A6FFA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100</w:t>
            </w:r>
          </w:p>
        </w:tc>
        <w:tc>
          <w:tcPr>
            <w:tcW w:w="1276" w:type="dxa"/>
            <w:tcBorders>
              <w:top w:val="nil"/>
              <w:left w:val="nil"/>
              <w:bottom w:val="single" w:sz="4" w:space="0" w:color="auto"/>
              <w:right w:val="single" w:sz="4" w:space="0" w:color="auto"/>
            </w:tcBorders>
            <w:shd w:val="clear" w:color="auto" w:fill="auto"/>
            <w:vAlign w:val="center"/>
            <w:hideMark/>
          </w:tcPr>
          <w:p w14:paraId="4CA9D706"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2AAACD9C"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759E97A2"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100</w:t>
            </w:r>
          </w:p>
        </w:tc>
        <w:tc>
          <w:tcPr>
            <w:tcW w:w="992" w:type="dxa"/>
            <w:tcBorders>
              <w:top w:val="nil"/>
              <w:left w:val="nil"/>
              <w:bottom w:val="single" w:sz="4" w:space="0" w:color="auto"/>
              <w:right w:val="nil"/>
            </w:tcBorders>
            <w:shd w:val="clear" w:color="auto" w:fill="auto"/>
            <w:noWrap/>
            <w:vAlign w:val="bottom"/>
            <w:hideMark/>
          </w:tcPr>
          <w:p w14:paraId="602C2A5F"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74%</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1962568E"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0,00</w:t>
            </w:r>
          </w:p>
        </w:tc>
      </w:tr>
      <w:tr w:rsidR="001A24C3" w:rsidRPr="00D9382F" w14:paraId="32BCCD92"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35D2702A"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Mosty oceľové a priepusty</w:t>
            </w:r>
          </w:p>
        </w:tc>
        <w:tc>
          <w:tcPr>
            <w:tcW w:w="1134" w:type="dxa"/>
            <w:tcBorders>
              <w:top w:val="nil"/>
              <w:left w:val="nil"/>
              <w:bottom w:val="single" w:sz="4" w:space="0" w:color="auto"/>
              <w:right w:val="single" w:sz="4" w:space="0" w:color="auto"/>
            </w:tcBorders>
            <w:shd w:val="clear" w:color="auto" w:fill="auto"/>
            <w:noWrap/>
            <w:vAlign w:val="bottom"/>
            <w:hideMark/>
          </w:tcPr>
          <w:p w14:paraId="6525C091"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80</w:t>
            </w:r>
          </w:p>
        </w:tc>
        <w:tc>
          <w:tcPr>
            <w:tcW w:w="1276" w:type="dxa"/>
            <w:tcBorders>
              <w:top w:val="nil"/>
              <w:left w:val="nil"/>
              <w:bottom w:val="single" w:sz="4" w:space="0" w:color="auto"/>
              <w:right w:val="single" w:sz="4" w:space="0" w:color="auto"/>
            </w:tcBorders>
            <w:shd w:val="clear" w:color="auto" w:fill="auto"/>
            <w:vAlign w:val="center"/>
            <w:hideMark/>
          </w:tcPr>
          <w:p w14:paraId="74595530"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2225FC77"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2653159B"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80</w:t>
            </w:r>
          </w:p>
        </w:tc>
        <w:tc>
          <w:tcPr>
            <w:tcW w:w="992" w:type="dxa"/>
            <w:tcBorders>
              <w:top w:val="nil"/>
              <w:left w:val="nil"/>
              <w:bottom w:val="single" w:sz="4" w:space="0" w:color="auto"/>
              <w:right w:val="nil"/>
            </w:tcBorders>
            <w:shd w:val="clear" w:color="auto" w:fill="auto"/>
            <w:noWrap/>
            <w:vAlign w:val="bottom"/>
            <w:hideMark/>
          </w:tcPr>
          <w:p w14:paraId="5C70B3DF"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68%</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6AB166AC"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19 716 657,66</w:t>
            </w:r>
          </w:p>
        </w:tc>
      </w:tr>
      <w:tr w:rsidR="001A24C3" w:rsidRPr="00D9382F" w14:paraId="4F3E2A35"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02721E6"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Tunely</w:t>
            </w:r>
          </w:p>
        </w:tc>
        <w:tc>
          <w:tcPr>
            <w:tcW w:w="1134" w:type="dxa"/>
            <w:tcBorders>
              <w:top w:val="nil"/>
              <w:left w:val="nil"/>
              <w:bottom w:val="single" w:sz="4" w:space="0" w:color="auto"/>
              <w:right w:val="single" w:sz="4" w:space="0" w:color="auto"/>
            </w:tcBorders>
            <w:shd w:val="clear" w:color="auto" w:fill="auto"/>
            <w:noWrap/>
            <w:vAlign w:val="bottom"/>
            <w:hideMark/>
          </w:tcPr>
          <w:p w14:paraId="484C2F7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80</w:t>
            </w:r>
          </w:p>
        </w:tc>
        <w:tc>
          <w:tcPr>
            <w:tcW w:w="1276" w:type="dxa"/>
            <w:tcBorders>
              <w:top w:val="nil"/>
              <w:left w:val="nil"/>
              <w:bottom w:val="single" w:sz="4" w:space="0" w:color="auto"/>
              <w:right w:val="single" w:sz="4" w:space="0" w:color="auto"/>
            </w:tcBorders>
            <w:shd w:val="clear" w:color="auto" w:fill="auto"/>
            <w:vAlign w:val="center"/>
            <w:hideMark/>
          </w:tcPr>
          <w:p w14:paraId="2DC51FC7"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7E60D654"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640B47D4"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80</w:t>
            </w:r>
          </w:p>
        </w:tc>
        <w:tc>
          <w:tcPr>
            <w:tcW w:w="992" w:type="dxa"/>
            <w:tcBorders>
              <w:top w:val="nil"/>
              <w:left w:val="nil"/>
              <w:bottom w:val="single" w:sz="4" w:space="0" w:color="auto"/>
              <w:right w:val="nil"/>
            </w:tcBorders>
            <w:shd w:val="clear" w:color="auto" w:fill="auto"/>
            <w:noWrap/>
            <w:vAlign w:val="bottom"/>
            <w:hideMark/>
          </w:tcPr>
          <w:p w14:paraId="1FCF7ED6"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68%</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7641A404"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118 627 017,21</w:t>
            </w:r>
          </w:p>
        </w:tc>
      </w:tr>
      <w:tr w:rsidR="001A24C3" w:rsidRPr="00D9382F" w14:paraId="3F9F4874"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EE61DBB"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Budovy</w:t>
            </w:r>
          </w:p>
        </w:tc>
        <w:tc>
          <w:tcPr>
            <w:tcW w:w="1134" w:type="dxa"/>
            <w:tcBorders>
              <w:top w:val="nil"/>
              <w:left w:val="nil"/>
              <w:bottom w:val="single" w:sz="4" w:space="0" w:color="auto"/>
              <w:right w:val="single" w:sz="4" w:space="0" w:color="auto"/>
            </w:tcBorders>
            <w:shd w:val="clear" w:color="auto" w:fill="auto"/>
            <w:noWrap/>
            <w:vAlign w:val="bottom"/>
            <w:hideMark/>
          </w:tcPr>
          <w:p w14:paraId="7D0F46AD"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60</w:t>
            </w:r>
          </w:p>
        </w:tc>
        <w:tc>
          <w:tcPr>
            <w:tcW w:w="1276" w:type="dxa"/>
            <w:tcBorders>
              <w:top w:val="nil"/>
              <w:left w:val="nil"/>
              <w:bottom w:val="single" w:sz="4" w:space="0" w:color="auto"/>
              <w:right w:val="single" w:sz="4" w:space="0" w:color="auto"/>
            </w:tcBorders>
            <w:shd w:val="clear" w:color="auto" w:fill="auto"/>
            <w:vAlign w:val="center"/>
            <w:hideMark/>
          </w:tcPr>
          <w:p w14:paraId="4E176072"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71DBCA28"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17E74B15"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60</w:t>
            </w:r>
          </w:p>
        </w:tc>
        <w:tc>
          <w:tcPr>
            <w:tcW w:w="992" w:type="dxa"/>
            <w:tcBorders>
              <w:top w:val="nil"/>
              <w:left w:val="nil"/>
              <w:bottom w:val="single" w:sz="4" w:space="0" w:color="auto"/>
              <w:right w:val="nil"/>
            </w:tcBorders>
            <w:shd w:val="clear" w:color="auto" w:fill="auto"/>
            <w:noWrap/>
            <w:vAlign w:val="bottom"/>
            <w:hideMark/>
          </w:tcPr>
          <w:p w14:paraId="1F38237F"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57%</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47B681D3"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3 443 825,29</w:t>
            </w:r>
          </w:p>
        </w:tc>
      </w:tr>
      <w:tr w:rsidR="001A24C3" w:rsidRPr="00D9382F" w14:paraId="4D0BA7D9"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5CAB6AF2"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Nástupištia</w:t>
            </w:r>
          </w:p>
        </w:tc>
        <w:tc>
          <w:tcPr>
            <w:tcW w:w="1134" w:type="dxa"/>
            <w:tcBorders>
              <w:top w:val="nil"/>
              <w:left w:val="nil"/>
              <w:bottom w:val="single" w:sz="4" w:space="0" w:color="auto"/>
              <w:right w:val="single" w:sz="4" w:space="0" w:color="auto"/>
            </w:tcBorders>
            <w:shd w:val="clear" w:color="auto" w:fill="auto"/>
            <w:noWrap/>
            <w:vAlign w:val="bottom"/>
            <w:hideMark/>
          </w:tcPr>
          <w:p w14:paraId="3732B9D4"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40</w:t>
            </w:r>
          </w:p>
        </w:tc>
        <w:tc>
          <w:tcPr>
            <w:tcW w:w="1276" w:type="dxa"/>
            <w:tcBorders>
              <w:top w:val="nil"/>
              <w:left w:val="nil"/>
              <w:bottom w:val="single" w:sz="4" w:space="0" w:color="auto"/>
              <w:right w:val="single" w:sz="4" w:space="0" w:color="auto"/>
            </w:tcBorders>
            <w:shd w:val="clear" w:color="auto" w:fill="auto"/>
            <w:vAlign w:val="center"/>
            <w:hideMark/>
          </w:tcPr>
          <w:p w14:paraId="300FD3C8"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6A3C6A5C"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2AC928EF"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40</w:t>
            </w:r>
          </w:p>
        </w:tc>
        <w:tc>
          <w:tcPr>
            <w:tcW w:w="992" w:type="dxa"/>
            <w:tcBorders>
              <w:top w:val="nil"/>
              <w:left w:val="nil"/>
              <w:bottom w:val="single" w:sz="4" w:space="0" w:color="auto"/>
              <w:right w:val="nil"/>
            </w:tcBorders>
            <w:shd w:val="clear" w:color="auto" w:fill="auto"/>
            <w:noWrap/>
            <w:vAlign w:val="bottom"/>
            <w:hideMark/>
          </w:tcPr>
          <w:p w14:paraId="023426AE"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35%</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25BC8A20"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3 664 224,84</w:t>
            </w:r>
          </w:p>
        </w:tc>
      </w:tr>
      <w:tr w:rsidR="001A24C3" w:rsidRPr="00D9382F" w14:paraId="6EC82EF8"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5332FF7B"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Cestné komunikácie</w:t>
            </w:r>
          </w:p>
        </w:tc>
        <w:tc>
          <w:tcPr>
            <w:tcW w:w="1134" w:type="dxa"/>
            <w:tcBorders>
              <w:top w:val="nil"/>
              <w:left w:val="nil"/>
              <w:bottom w:val="single" w:sz="4" w:space="0" w:color="auto"/>
              <w:right w:val="single" w:sz="4" w:space="0" w:color="auto"/>
            </w:tcBorders>
            <w:shd w:val="clear" w:color="auto" w:fill="auto"/>
            <w:noWrap/>
            <w:vAlign w:val="bottom"/>
            <w:hideMark/>
          </w:tcPr>
          <w:p w14:paraId="667FEEBE"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50</w:t>
            </w:r>
          </w:p>
        </w:tc>
        <w:tc>
          <w:tcPr>
            <w:tcW w:w="1276" w:type="dxa"/>
            <w:tcBorders>
              <w:top w:val="nil"/>
              <w:left w:val="nil"/>
              <w:bottom w:val="single" w:sz="4" w:space="0" w:color="auto"/>
              <w:right w:val="single" w:sz="4" w:space="0" w:color="auto"/>
            </w:tcBorders>
            <w:shd w:val="clear" w:color="auto" w:fill="auto"/>
            <w:vAlign w:val="center"/>
            <w:hideMark/>
          </w:tcPr>
          <w:p w14:paraId="54F6DFCA"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1DF4306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3BF0FDF0"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50</w:t>
            </w:r>
          </w:p>
        </w:tc>
        <w:tc>
          <w:tcPr>
            <w:tcW w:w="992" w:type="dxa"/>
            <w:tcBorders>
              <w:top w:val="nil"/>
              <w:left w:val="nil"/>
              <w:bottom w:val="single" w:sz="4" w:space="0" w:color="auto"/>
              <w:right w:val="nil"/>
            </w:tcBorders>
            <w:shd w:val="clear" w:color="auto" w:fill="auto"/>
            <w:noWrap/>
            <w:vAlign w:val="bottom"/>
            <w:hideMark/>
          </w:tcPr>
          <w:p w14:paraId="274AADF7"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48%</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7700A509"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1 042 625,93</w:t>
            </w:r>
          </w:p>
        </w:tc>
      </w:tr>
      <w:tr w:rsidR="001A24C3" w:rsidRPr="00D9382F" w14:paraId="31D002E0"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0BEE518"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xml:space="preserve">Trať – železničný spodok </w:t>
            </w:r>
          </w:p>
        </w:tc>
        <w:tc>
          <w:tcPr>
            <w:tcW w:w="1134" w:type="dxa"/>
            <w:tcBorders>
              <w:top w:val="nil"/>
              <w:left w:val="nil"/>
              <w:bottom w:val="single" w:sz="4" w:space="0" w:color="auto"/>
              <w:right w:val="single" w:sz="4" w:space="0" w:color="auto"/>
            </w:tcBorders>
            <w:shd w:val="clear" w:color="auto" w:fill="auto"/>
            <w:noWrap/>
            <w:vAlign w:val="bottom"/>
            <w:hideMark/>
          </w:tcPr>
          <w:p w14:paraId="06678D15"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50</w:t>
            </w:r>
          </w:p>
        </w:tc>
        <w:tc>
          <w:tcPr>
            <w:tcW w:w="1276" w:type="dxa"/>
            <w:tcBorders>
              <w:top w:val="nil"/>
              <w:left w:val="nil"/>
              <w:bottom w:val="single" w:sz="4" w:space="0" w:color="auto"/>
              <w:right w:val="single" w:sz="4" w:space="0" w:color="auto"/>
            </w:tcBorders>
            <w:shd w:val="clear" w:color="auto" w:fill="auto"/>
            <w:vAlign w:val="center"/>
            <w:hideMark/>
          </w:tcPr>
          <w:p w14:paraId="4D9C1D6B"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792173F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136A2891"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50</w:t>
            </w:r>
          </w:p>
        </w:tc>
        <w:tc>
          <w:tcPr>
            <w:tcW w:w="992" w:type="dxa"/>
            <w:tcBorders>
              <w:top w:val="nil"/>
              <w:left w:val="nil"/>
              <w:bottom w:val="single" w:sz="4" w:space="0" w:color="auto"/>
              <w:right w:val="nil"/>
            </w:tcBorders>
            <w:shd w:val="clear" w:color="auto" w:fill="auto"/>
            <w:noWrap/>
            <w:vAlign w:val="bottom"/>
            <w:hideMark/>
          </w:tcPr>
          <w:p w14:paraId="6AA2FCBE"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48%</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09C6FC76"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10 568 655,14</w:t>
            </w:r>
          </w:p>
        </w:tc>
      </w:tr>
      <w:tr w:rsidR="001A24C3" w:rsidRPr="00D9382F" w14:paraId="4AEFF560"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40B1435"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xml:space="preserve">Trať – železničný zvršok </w:t>
            </w:r>
          </w:p>
        </w:tc>
        <w:tc>
          <w:tcPr>
            <w:tcW w:w="1134" w:type="dxa"/>
            <w:tcBorders>
              <w:top w:val="nil"/>
              <w:left w:val="nil"/>
              <w:bottom w:val="single" w:sz="4" w:space="0" w:color="auto"/>
              <w:right w:val="single" w:sz="4" w:space="0" w:color="auto"/>
            </w:tcBorders>
            <w:shd w:val="clear" w:color="auto" w:fill="auto"/>
            <w:noWrap/>
            <w:vAlign w:val="bottom"/>
            <w:hideMark/>
          </w:tcPr>
          <w:p w14:paraId="0812FE0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5BA77AE0"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4321CFA6"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0327D8D8"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992" w:type="dxa"/>
            <w:tcBorders>
              <w:top w:val="nil"/>
              <w:left w:val="nil"/>
              <w:bottom w:val="single" w:sz="4" w:space="0" w:color="auto"/>
              <w:right w:val="nil"/>
            </w:tcBorders>
            <w:shd w:val="clear" w:color="auto" w:fill="auto"/>
            <w:noWrap/>
            <w:vAlign w:val="bottom"/>
            <w:hideMark/>
          </w:tcPr>
          <w:p w14:paraId="2AB6792A"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13%</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3552F78F"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5 035 683,65</w:t>
            </w:r>
          </w:p>
        </w:tc>
      </w:tr>
      <w:tr w:rsidR="001A24C3" w:rsidRPr="00D9382F" w14:paraId="75B21739" w14:textId="77777777" w:rsidTr="00300963">
        <w:trPr>
          <w:trHeight w:val="204"/>
        </w:trPr>
        <w:tc>
          <w:tcPr>
            <w:tcW w:w="340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2A54834"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Podporné a oporné múry, spevnenie svahu</w:t>
            </w:r>
          </w:p>
        </w:tc>
        <w:tc>
          <w:tcPr>
            <w:tcW w:w="1134" w:type="dxa"/>
            <w:tcBorders>
              <w:top w:val="nil"/>
              <w:left w:val="nil"/>
              <w:bottom w:val="single" w:sz="4" w:space="0" w:color="auto"/>
              <w:right w:val="single" w:sz="4" w:space="0" w:color="auto"/>
            </w:tcBorders>
            <w:shd w:val="clear" w:color="auto" w:fill="auto"/>
            <w:noWrap/>
            <w:vAlign w:val="bottom"/>
            <w:hideMark/>
          </w:tcPr>
          <w:p w14:paraId="49CFD50C"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50</w:t>
            </w:r>
          </w:p>
        </w:tc>
        <w:tc>
          <w:tcPr>
            <w:tcW w:w="1276" w:type="dxa"/>
            <w:tcBorders>
              <w:top w:val="nil"/>
              <w:left w:val="nil"/>
              <w:bottom w:val="single" w:sz="4" w:space="0" w:color="auto"/>
              <w:right w:val="single" w:sz="4" w:space="0" w:color="auto"/>
            </w:tcBorders>
            <w:shd w:val="clear" w:color="auto" w:fill="auto"/>
            <w:vAlign w:val="center"/>
            <w:hideMark/>
          </w:tcPr>
          <w:p w14:paraId="452D0566"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6B35044D"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6BF2ED8A"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50</w:t>
            </w:r>
          </w:p>
        </w:tc>
        <w:tc>
          <w:tcPr>
            <w:tcW w:w="992" w:type="dxa"/>
            <w:tcBorders>
              <w:top w:val="nil"/>
              <w:left w:val="nil"/>
              <w:bottom w:val="single" w:sz="4" w:space="0" w:color="auto"/>
              <w:right w:val="nil"/>
            </w:tcBorders>
            <w:shd w:val="clear" w:color="auto" w:fill="auto"/>
            <w:noWrap/>
            <w:vAlign w:val="bottom"/>
            <w:hideMark/>
          </w:tcPr>
          <w:p w14:paraId="618FB2CE"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48%</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60CB636C"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13 444 885,60</w:t>
            </w:r>
          </w:p>
        </w:tc>
      </w:tr>
      <w:tr w:rsidR="001A24C3" w:rsidRPr="00D9382F" w14:paraId="59DDF80E"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4C31E29D"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Elektrifikácia – trakčné napájacie stanice, trakčné vedenia</w:t>
            </w:r>
          </w:p>
        </w:tc>
        <w:tc>
          <w:tcPr>
            <w:tcW w:w="1134" w:type="dxa"/>
            <w:tcBorders>
              <w:top w:val="nil"/>
              <w:left w:val="nil"/>
              <w:bottom w:val="single" w:sz="4" w:space="0" w:color="auto"/>
              <w:right w:val="single" w:sz="4" w:space="0" w:color="auto"/>
            </w:tcBorders>
            <w:shd w:val="clear" w:color="auto" w:fill="auto"/>
            <w:noWrap/>
            <w:vAlign w:val="bottom"/>
            <w:hideMark/>
          </w:tcPr>
          <w:p w14:paraId="30CF7315"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217EC280"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16F8621F"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51D90CE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992" w:type="dxa"/>
            <w:tcBorders>
              <w:top w:val="nil"/>
              <w:left w:val="nil"/>
              <w:bottom w:val="single" w:sz="4" w:space="0" w:color="auto"/>
              <w:right w:val="nil"/>
            </w:tcBorders>
            <w:shd w:val="clear" w:color="auto" w:fill="auto"/>
            <w:noWrap/>
            <w:vAlign w:val="bottom"/>
            <w:hideMark/>
          </w:tcPr>
          <w:p w14:paraId="0ED0413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13%</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6662081C"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4 416 771,38</w:t>
            </w:r>
          </w:p>
        </w:tc>
      </w:tr>
      <w:tr w:rsidR="001A24C3" w:rsidRPr="00D9382F" w14:paraId="7FBCD55B"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338221C7"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Oznamovacie a telekomunikačné zariadenia</w:t>
            </w:r>
          </w:p>
        </w:tc>
        <w:tc>
          <w:tcPr>
            <w:tcW w:w="1134" w:type="dxa"/>
            <w:tcBorders>
              <w:top w:val="nil"/>
              <w:left w:val="nil"/>
              <w:bottom w:val="single" w:sz="4" w:space="0" w:color="auto"/>
              <w:right w:val="single" w:sz="4" w:space="0" w:color="auto"/>
            </w:tcBorders>
            <w:shd w:val="clear" w:color="auto" w:fill="auto"/>
            <w:noWrap/>
            <w:vAlign w:val="bottom"/>
            <w:hideMark/>
          </w:tcPr>
          <w:p w14:paraId="2256B054"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20</w:t>
            </w:r>
          </w:p>
        </w:tc>
        <w:tc>
          <w:tcPr>
            <w:tcW w:w="1276" w:type="dxa"/>
            <w:tcBorders>
              <w:top w:val="nil"/>
              <w:left w:val="nil"/>
              <w:bottom w:val="single" w:sz="4" w:space="0" w:color="auto"/>
              <w:right w:val="single" w:sz="4" w:space="0" w:color="auto"/>
            </w:tcBorders>
            <w:shd w:val="clear" w:color="auto" w:fill="auto"/>
            <w:vAlign w:val="center"/>
            <w:hideMark/>
          </w:tcPr>
          <w:p w14:paraId="72B7429B"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7B832812"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w:t>
            </w:r>
          </w:p>
        </w:tc>
        <w:tc>
          <w:tcPr>
            <w:tcW w:w="993" w:type="dxa"/>
            <w:tcBorders>
              <w:top w:val="nil"/>
              <w:left w:val="nil"/>
              <w:bottom w:val="single" w:sz="4" w:space="0" w:color="auto"/>
              <w:right w:val="single" w:sz="4" w:space="0" w:color="auto"/>
            </w:tcBorders>
            <w:shd w:val="clear" w:color="auto" w:fill="auto"/>
            <w:noWrap/>
            <w:vAlign w:val="bottom"/>
            <w:hideMark/>
          </w:tcPr>
          <w:p w14:paraId="71A52CCD"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40</w:t>
            </w:r>
          </w:p>
        </w:tc>
        <w:tc>
          <w:tcPr>
            <w:tcW w:w="992" w:type="dxa"/>
            <w:tcBorders>
              <w:top w:val="nil"/>
              <w:left w:val="nil"/>
              <w:bottom w:val="single" w:sz="4" w:space="0" w:color="auto"/>
              <w:right w:val="nil"/>
            </w:tcBorders>
            <w:shd w:val="clear" w:color="auto" w:fill="auto"/>
            <w:noWrap/>
            <w:vAlign w:val="bottom"/>
            <w:hideMark/>
          </w:tcPr>
          <w:p w14:paraId="68B4B4D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70%</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7789E255"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4 011 921,16</w:t>
            </w:r>
          </w:p>
        </w:tc>
      </w:tr>
      <w:tr w:rsidR="001A24C3" w:rsidRPr="00D9382F" w14:paraId="3550DB70"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A51F547"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Signalizačné a zabezpečovacie zariadenia</w:t>
            </w:r>
          </w:p>
        </w:tc>
        <w:tc>
          <w:tcPr>
            <w:tcW w:w="1134" w:type="dxa"/>
            <w:tcBorders>
              <w:top w:val="nil"/>
              <w:left w:val="nil"/>
              <w:bottom w:val="single" w:sz="4" w:space="0" w:color="auto"/>
              <w:right w:val="single" w:sz="4" w:space="0" w:color="auto"/>
            </w:tcBorders>
            <w:shd w:val="clear" w:color="auto" w:fill="auto"/>
            <w:noWrap/>
            <w:vAlign w:val="bottom"/>
            <w:hideMark/>
          </w:tcPr>
          <w:p w14:paraId="053B69F5"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20</w:t>
            </w:r>
          </w:p>
        </w:tc>
        <w:tc>
          <w:tcPr>
            <w:tcW w:w="1276" w:type="dxa"/>
            <w:tcBorders>
              <w:top w:val="nil"/>
              <w:left w:val="nil"/>
              <w:bottom w:val="single" w:sz="4" w:space="0" w:color="auto"/>
              <w:right w:val="single" w:sz="4" w:space="0" w:color="auto"/>
            </w:tcBorders>
            <w:shd w:val="clear" w:color="auto" w:fill="auto"/>
            <w:vAlign w:val="center"/>
            <w:hideMark/>
          </w:tcPr>
          <w:p w14:paraId="535C8237"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1EFC6A40"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w:t>
            </w:r>
          </w:p>
        </w:tc>
        <w:tc>
          <w:tcPr>
            <w:tcW w:w="993" w:type="dxa"/>
            <w:tcBorders>
              <w:top w:val="nil"/>
              <w:left w:val="nil"/>
              <w:bottom w:val="single" w:sz="4" w:space="0" w:color="auto"/>
              <w:right w:val="single" w:sz="4" w:space="0" w:color="auto"/>
            </w:tcBorders>
            <w:shd w:val="clear" w:color="auto" w:fill="auto"/>
            <w:noWrap/>
            <w:vAlign w:val="bottom"/>
            <w:hideMark/>
          </w:tcPr>
          <w:p w14:paraId="5484CCCD"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40</w:t>
            </w:r>
          </w:p>
        </w:tc>
        <w:tc>
          <w:tcPr>
            <w:tcW w:w="992" w:type="dxa"/>
            <w:tcBorders>
              <w:top w:val="nil"/>
              <w:left w:val="nil"/>
              <w:bottom w:val="single" w:sz="4" w:space="0" w:color="auto"/>
              <w:right w:val="nil"/>
            </w:tcBorders>
            <w:shd w:val="clear" w:color="auto" w:fill="auto"/>
            <w:noWrap/>
            <w:vAlign w:val="bottom"/>
            <w:hideMark/>
          </w:tcPr>
          <w:p w14:paraId="05B1AD1E"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70%</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0C4B06CF"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1 096 589,30</w:t>
            </w:r>
          </w:p>
        </w:tc>
      </w:tr>
      <w:tr w:rsidR="001A24C3" w:rsidRPr="00D9382F" w14:paraId="5FAA6C75"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9FF1FEA"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Zariadenia energetiky a elektrotechniky</w:t>
            </w:r>
          </w:p>
        </w:tc>
        <w:tc>
          <w:tcPr>
            <w:tcW w:w="1134" w:type="dxa"/>
            <w:tcBorders>
              <w:top w:val="nil"/>
              <w:left w:val="nil"/>
              <w:bottom w:val="single" w:sz="4" w:space="0" w:color="auto"/>
              <w:right w:val="single" w:sz="4" w:space="0" w:color="auto"/>
            </w:tcBorders>
            <w:shd w:val="clear" w:color="auto" w:fill="auto"/>
            <w:noWrap/>
            <w:vAlign w:val="bottom"/>
            <w:hideMark/>
          </w:tcPr>
          <w:p w14:paraId="4B78581B"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62D8E6A3"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3614EB75"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5B99C517"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992" w:type="dxa"/>
            <w:tcBorders>
              <w:top w:val="nil"/>
              <w:left w:val="nil"/>
              <w:bottom w:val="single" w:sz="4" w:space="0" w:color="auto"/>
              <w:right w:val="nil"/>
            </w:tcBorders>
            <w:shd w:val="clear" w:color="auto" w:fill="auto"/>
            <w:noWrap/>
            <w:vAlign w:val="bottom"/>
            <w:hideMark/>
          </w:tcPr>
          <w:p w14:paraId="352AD82D"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13%</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47B40180"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0,00</w:t>
            </w:r>
          </w:p>
        </w:tc>
      </w:tr>
      <w:tr w:rsidR="001A24C3" w:rsidRPr="00D9382F" w14:paraId="330F064E"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280F9FFE"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xml:space="preserve">Stroje a zariadenia </w:t>
            </w:r>
          </w:p>
        </w:tc>
        <w:tc>
          <w:tcPr>
            <w:tcW w:w="1134" w:type="dxa"/>
            <w:tcBorders>
              <w:top w:val="nil"/>
              <w:left w:val="nil"/>
              <w:bottom w:val="single" w:sz="4" w:space="0" w:color="auto"/>
              <w:right w:val="single" w:sz="4" w:space="0" w:color="auto"/>
            </w:tcBorders>
            <w:shd w:val="clear" w:color="auto" w:fill="auto"/>
            <w:noWrap/>
            <w:vAlign w:val="bottom"/>
            <w:hideMark/>
          </w:tcPr>
          <w:p w14:paraId="7A79A4CB"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27B3F190"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3D46F7DB"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669F5E87"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992" w:type="dxa"/>
            <w:tcBorders>
              <w:top w:val="nil"/>
              <w:left w:val="nil"/>
              <w:bottom w:val="single" w:sz="4" w:space="0" w:color="auto"/>
              <w:right w:val="nil"/>
            </w:tcBorders>
            <w:shd w:val="clear" w:color="auto" w:fill="auto"/>
            <w:noWrap/>
            <w:vAlign w:val="bottom"/>
            <w:hideMark/>
          </w:tcPr>
          <w:p w14:paraId="0AFA564F"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13%</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40CDD271"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0,00</w:t>
            </w:r>
          </w:p>
        </w:tc>
      </w:tr>
      <w:tr w:rsidR="001A24C3" w:rsidRPr="00D9382F" w14:paraId="72C617A6" w14:textId="77777777" w:rsidTr="00300963">
        <w:trPr>
          <w:trHeight w:val="216"/>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62719C3A"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Protihlukové a iné prvky ochrany životného prostredia</w:t>
            </w:r>
          </w:p>
        </w:tc>
        <w:tc>
          <w:tcPr>
            <w:tcW w:w="1134" w:type="dxa"/>
            <w:tcBorders>
              <w:top w:val="nil"/>
              <w:left w:val="nil"/>
              <w:bottom w:val="single" w:sz="4" w:space="0" w:color="auto"/>
              <w:right w:val="single" w:sz="4" w:space="0" w:color="auto"/>
            </w:tcBorders>
            <w:shd w:val="clear" w:color="auto" w:fill="auto"/>
            <w:noWrap/>
            <w:vAlign w:val="bottom"/>
            <w:hideMark/>
          </w:tcPr>
          <w:p w14:paraId="3B833842"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341217FD"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26</w:t>
            </w:r>
          </w:p>
        </w:tc>
        <w:tc>
          <w:tcPr>
            <w:tcW w:w="992" w:type="dxa"/>
            <w:tcBorders>
              <w:top w:val="nil"/>
              <w:left w:val="nil"/>
              <w:bottom w:val="single" w:sz="4" w:space="0" w:color="auto"/>
              <w:right w:val="single" w:sz="4" w:space="0" w:color="auto"/>
            </w:tcBorders>
            <w:shd w:val="clear" w:color="auto" w:fill="auto"/>
            <w:vAlign w:val="bottom"/>
            <w:hideMark/>
          </w:tcPr>
          <w:p w14:paraId="352F20D9"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0</w:t>
            </w:r>
          </w:p>
        </w:tc>
        <w:tc>
          <w:tcPr>
            <w:tcW w:w="993" w:type="dxa"/>
            <w:tcBorders>
              <w:top w:val="nil"/>
              <w:left w:val="nil"/>
              <w:bottom w:val="single" w:sz="4" w:space="0" w:color="auto"/>
              <w:right w:val="single" w:sz="4" w:space="0" w:color="auto"/>
            </w:tcBorders>
            <w:shd w:val="clear" w:color="auto" w:fill="auto"/>
            <w:noWrap/>
            <w:vAlign w:val="bottom"/>
            <w:hideMark/>
          </w:tcPr>
          <w:p w14:paraId="6C0BF9CC"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30</w:t>
            </w:r>
          </w:p>
        </w:tc>
        <w:tc>
          <w:tcPr>
            <w:tcW w:w="992" w:type="dxa"/>
            <w:tcBorders>
              <w:top w:val="nil"/>
              <w:left w:val="nil"/>
              <w:bottom w:val="single" w:sz="4" w:space="0" w:color="auto"/>
              <w:right w:val="nil"/>
            </w:tcBorders>
            <w:shd w:val="clear" w:color="auto" w:fill="auto"/>
            <w:noWrap/>
            <w:vAlign w:val="bottom"/>
            <w:hideMark/>
          </w:tcPr>
          <w:p w14:paraId="227B0691" w14:textId="77777777" w:rsidR="001A24C3" w:rsidRPr="00D9382F" w:rsidRDefault="001A24C3" w:rsidP="00300963">
            <w:pPr>
              <w:jc w:val="center"/>
              <w:rPr>
                <w:rFonts w:ascii="Arial" w:eastAsia="Times New Roman" w:hAnsi="Arial" w:cs="Arial"/>
                <w:sz w:val="12"/>
                <w:szCs w:val="12"/>
                <w:lang w:eastAsia="sk-SK"/>
              </w:rPr>
            </w:pPr>
            <w:r w:rsidRPr="00D9382F">
              <w:rPr>
                <w:rFonts w:ascii="Arial" w:eastAsia="Times New Roman" w:hAnsi="Arial" w:cs="Arial"/>
                <w:sz w:val="12"/>
                <w:szCs w:val="12"/>
                <w:lang w:eastAsia="sk-SK"/>
              </w:rPr>
              <w:t>13%</w:t>
            </w:r>
          </w:p>
        </w:tc>
        <w:tc>
          <w:tcPr>
            <w:tcW w:w="1134" w:type="dxa"/>
            <w:tcBorders>
              <w:top w:val="nil"/>
              <w:left w:val="single" w:sz="8" w:space="0" w:color="auto"/>
              <w:bottom w:val="single" w:sz="4" w:space="0" w:color="auto"/>
              <w:right w:val="single" w:sz="4" w:space="0" w:color="auto"/>
            </w:tcBorders>
            <w:shd w:val="clear" w:color="000000" w:fill="FFFFCC"/>
            <w:noWrap/>
            <w:vAlign w:val="bottom"/>
            <w:hideMark/>
          </w:tcPr>
          <w:p w14:paraId="64B79B1A" w14:textId="77777777" w:rsidR="001A24C3" w:rsidRPr="00D9382F" w:rsidRDefault="001A24C3" w:rsidP="00300963">
            <w:pPr>
              <w:jc w:val="right"/>
              <w:rPr>
                <w:rFonts w:ascii="Arial" w:eastAsia="Times New Roman" w:hAnsi="Arial" w:cs="Arial"/>
                <w:sz w:val="12"/>
                <w:szCs w:val="12"/>
                <w:lang w:eastAsia="sk-SK"/>
              </w:rPr>
            </w:pPr>
            <w:r w:rsidRPr="00D9382F">
              <w:rPr>
                <w:rFonts w:ascii="Arial" w:eastAsia="Times New Roman" w:hAnsi="Arial" w:cs="Arial"/>
                <w:sz w:val="12"/>
                <w:szCs w:val="12"/>
                <w:lang w:eastAsia="sk-SK"/>
              </w:rPr>
              <w:t>1 097 436,01</w:t>
            </w:r>
          </w:p>
        </w:tc>
      </w:tr>
      <w:tr w:rsidR="001A24C3" w:rsidRPr="00D9382F" w14:paraId="67794D37" w14:textId="77777777" w:rsidTr="00300963">
        <w:trPr>
          <w:trHeight w:val="216"/>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34862807" w14:textId="77777777" w:rsidR="001A24C3" w:rsidRPr="00D9382F" w:rsidRDefault="001A24C3" w:rsidP="00300963">
            <w:pPr>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Zostatková hodnota</w:t>
            </w:r>
          </w:p>
        </w:tc>
        <w:tc>
          <w:tcPr>
            <w:tcW w:w="1134" w:type="dxa"/>
            <w:tcBorders>
              <w:top w:val="nil"/>
              <w:left w:val="nil"/>
              <w:bottom w:val="single" w:sz="4" w:space="0" w:color="auto"/>
              <w:right w:val="single" w:sz="4" w:space="0" w:color="auto"/>
            </w:tcBorders>
            <w:shd w:val="clear" w:color="auto" w:fill="auto"/>
            <w:noWrap/>
            <w:vAlign w:val="bottom"/>
            <w:hideMark/>
          </w:tcPr>
          <w:p w14:paraId="19BA5D9A"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w:t>
            </w:r>
          </w:p>
        </w:tc>
        <w:tc>
          <w:tcPr>
            <w:tcW w:w="1276" w:type="dxa"/>
            <w:tcBorders>
              <w:top w:val="nil"/>
              <w:left w:val="nil"/>
              <w:bottom w:val="single" w:sz="4" w:space="0" w:color="auto"/>
              <w:right w:val="single" w:sz="4" w:space="0" w:color="auto"/>
            </w:tcBorders>
            <w:shd w:val="clear" w:color="auto" w:fill="auto"/>
            <w:noWrap/>
            <w:vAlign w:val="bottom"/>
            <w:hideMark/>
          </w:tcPr>
          <w:p w14:paraId="1DA5943F"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w:t>
            </w:r>
          </w:p>
        </w:tc>
        <w:tc>
          <w:tcPr>
            <w:tcW w:w="992" w:type="dxa"/>
            <w:tcBorders>
              <w:top w:val="nil"/>
              <w:left w:val="nil"/>
              <w:bottom w:val="single" w:sz="4" w:space="0" w:color="auto"/>
              <w:right w:val="single" w:sz="4" w:space="0" w:color="auto"/>
            </w:tcBorders>
            <w:shd w:val="clear" w:color="auto" w:fill="auto"/>
            <w:noWrap/>
            <w:vAlign w:val="bottom"/>
            <w:hideMark/>
          </w:tcPr>
          <w:p w14:paraId="7434EA4F"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14:paraId="2D0DC619"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w:t>
            </w:r>
          </w:p>
        </w:tc>
        <w:tc>
          <w:tcPr>
            <w:tcW w:w="992" w:type="dxa"/>
            <w:tcBorders>
              <w:top w:val="nil"/>
              <w:left w:val="nil"/>
              <w:bottom w:val="single" w:sz="4" w:space="0" w:color="auto"/>
              <w:right w:val="nil"/>
            </w:tcBorders>
            <w:shd w:val="clear" w:color="auto" w:fill="auto"/>
            <w:noWrap/>
            <w:vAlign w:val="bottom"/>
            <w:hideMark/>
          </w:tcPr>
          <w:p w14:paraId="0475680E" w14:textId="77777777" w:rsidR="001A24C3" w:rsidRPr="00D9382F" w:rsidRDefault="001A24C3" w:rsidP="00300963">
            <w:pPr>
              <w:rPr>
                <w:rFonts w:ascii="Arial" w:eastAsia="Times New Roman" w:hAnsi="Arial" w:cs="Arial"/>
                <w:sz w:val="12"/>
                <w:szCs w:val="12"/>
                <w:lang w:eastAsia="sk-SK"/>
              </w:rPr>
            </w:pPr>
            <w:r w:rsidRPr="00D9382F">
              <w:rPr>
                <w:rFonts w:ascii="Arial" w:eastAsia="Times New Roman" w:hAnsi="Arial" w:cs="Arial"/>
                <w:sz w:val="12"/>
                <w:szCs w:val="12"/>
                <w:lang w:eastAsia="sk-SK"/>
              </w:rPr>
              <w:t> </w:t>
            </w:r>
          </w:p>
        </w:tc>
        <w:tc>
          <w:tcPr>
            <w:tcW w:w="1134" w:type="dxa"/>
            <w:tcBorders>
              <w:top w:val="single" w:sz="8" w:space="0" w:color="auto"/>
              <w:left w:val="single" w:sz="8" w:space="0" w:color="auto"/>
              <w:bottom w:val="single" w:sz="8" w:space="0" w:color="auto"/>
              <w:right w:val="single" w:sz="8" w:space="0" w:color="auto"/>
            </w:tcBorders>
            <w:shd w:val="clear" w:color="000000" w:fill="FFFFCC"/>
            <w:noWrap/>
            <w:vAlign w:val="bottom"/>
            <w:hideMark/>
          </w:tcPr>
          <w:p w14:paraId="272592B1" w14:textId="77777777" w:rsidR="001A24C3" w:rsidRPr="00D9382F" w:rsidRDefault="001A24C3" w:rsidP="00300963">
            <w:pPr>
              <w:jc w:val="right"/>
              <w:rPr>
                <w:rFonts w:ascii="Arial" w:eastAsia="Times New Roman" w:hAnsi="Arial" w:cs="Arial"/>
                <w:b/>
                <w:bCs/>
                <w:sz w:val="12"/>
                <w:szCs w:val="12"/>
                <w:lang w:eastAsia="sk-SK"/>
              </w:rPr>
            </w:pPr>
            <w:r w:rsidRPr="00D9382F">
              <w:rPr>
                <w:rFonts w:ascii="Arial" w:eastAsia="Times New Roman" w:hAnsi="Arial" w:cs="Arial"/>
                <w:b/>
                <w:bCs/>
                <w:sz w:val="12"/>
                <w:szCs w:val="12"/>
                <w:lang w:eastAsia="sk-SK"/>
              </w:rPr>
              <w:t>187 757 193,17</w:t>
            </w:r>
          </w:p>
        </w:tc>
      </w:tr>
    </w:tbl>
    <w:p w14:paraId="33942AAC" w14:textId="41302324" w:rsidR="001A24C3" w:rsidRDefault="001A24C3" w:rsidP="001A24C3">
      <w:pPr>
        <w:rPr>
          <w:szCs w:val="24"/>
          <w:lang w:eastAsia="sk-SK" w:bidi="sk-SK"/>
        </w:rPr>
      </w:pPr>
    </w:p>
    <w:p w14:paraId="6EC0E08F" w14:textId="7873CEE6" w:rsidR="00DA0B84" w:rsidRDefault="00DA0B84" w:rsidP="001A24C3">
      <w:pPr>
        <w:rPr>
          <w:szCs w:val="24"/>
          <w:lang w:eastAsia="sk-SK" w:bidi="sk-SK"/>
        </w:rPr>
      </w:pPr>
    </w:p>
    <w:p w14:paraId="0DD53EA0" w14:textId="77777777" w:rsidR="00DA0B84" w:rsidRPr="00006CFE" w:rsidRDefault="00DA0B84" w:rsidP="001A24C3">
      <w:pPr>
        <w:rPr>
          <w:szCs w:val="24"/>
          <w:lang w:eastAsia="sk-SK" w:bidi="sk-SK"/>
        </w:rPr>
      </w:pPr>
    </w:p>
    <w:p w14:paraId="5635CD58" w14:textId="77777777" w:rsidR="001A24C3" w:rsidRPr="00006CFE" w:rsidRDefault="001A24C3" w:rsidP="00006CFE">
      <w:pPr>
        <w:pStyle w:val="Nadpis41"/>
        <w:ind w:left="851" w:hanging="851"/>
        <w:rPr>
          <w:color w:val="auto"/>
          <w:sz w:val="24"/>
          <w:szCs w:val="24"/>
        </w:rPr>
      </w:pPr>
      <w:bookmarkStart w:id="318" w:name="_Toc88653002"/>
      <w:r w:rsidRPr="00006CFE">
        <w:rPr>
          <w:color w:val="auto"/>
          <w:sz w:val="24"/>
          <w:szCs w:val="24"/>
        </w:rPr>
        <w:lastRenderedPageBreak/>
        <w:t>Výstupy finančnej analýzy</w:t>
      </w:r>
      <w:bookmarkEnd w:id="318"/>
    </w:p>
    <w:p w14:paraId="69138009" w14:textId="77777777" w:rsidR="001A24C3" w:rsidRDefault="001A24C3" w:rsidP="001A24C3">
      <w:pPr>
        <w:pStyle w:val="Koice4"/>
        <w:ind w:left="0"/>
      </w:pPr>
      <w:bookmarkStart w:id="319" w:name="_Toc88653003"/>
      <w:r w:rsidRPr="003207EB">
        <w:t>Vnútorné výnosové percento vs. diskontná sadzba</w:t>
      </w:r>
      <w:bookmarkEnd w:id="319"/>
    </w:p>
    <w:p w14:paraId="2C23B5A8" w14:textId="77777777" w:rsidR="001A24C3" w:rsidRDefault="001A24C3" w:rsidP="001A24C3">
      <w:pPr>
        <w:pStyle w:val="TEXTkOICE"/>
        <w:ind w:left="0"/>
      </w:pPr>
      <w:bookmarkStart w:id="320" w:name="_Hlk88424004"/>
      <w:bookmarkStart w:id="321" w:name="_Toc83677927"/>
      <w:r>
        <w:t>Na začiatku kapitoly o CBA sm</w:t>
      </w:r>
      <w:r w:rsidRPr="000E1FFA">
        <w:t>e spomínali, že finančná analýza sa vykonáva v stálych cenách bez zarátania inflácie</w:t>
      </w:r>
      <w:r>
        <w:t xml:space="preserve"> (to znamená, že náklady a príjmy sú modelované počas referenčného obdobia bez inflácie, avšak stavebné náklady počas výstavby môžu byť upravované cez položku „valorizácia“) a prípadné zvyšovanie nákladov alebo príjmov (počas referenčného obdobia) je spôsobené nárastom výkonov z hľadiska objemu prác a nie dopytom ťahanou infláciou</w:t>
      </w:r>
      <w:r w:rsidRPr="000E1FFA">
        <w:t>.</w:t>
      </w:r>
    </w:p>
    <w:p w14:paraId="70FCC672" w14:textId="77777777" w:rsidR="001A24C3" w:rsidRDefault="001A24C3" w:rsidP="001A24C3">
      <w:pPr>
        <w:pStyle w:val="TEXTkOICE"/>
        <w:ind w:left="0"/>
      </w:pPr>
      <w:r w:rsidRPr="000E1FFA">
        <w:t xml:space="preserve"> </w:t>
      </w:r>
    </w:p>
    <w:p w14:paraId="2C55EA24" w14:textId="77777777" w:rsidR="001A24C3" w:rsidRDefault="001A24C3" w:rsidP="001A24C3">
      <w:pPr>
        <w:pStyle w:val="TEXTkOICE"/>
        <w:ind w:left="0"/>
      </w:pPr>
      <w:r w:rsidRPr="000E1FFA">
        <w:t xml:space="preserve">Napriek tomu je potrebné posúdiť výnosnosť alternatívnej investície, do ktorej by sme mohli prostriedky na realizáciu projektu investovať, ak by sme ich neinvestovali do projektu. </w:t>
      </w:r>
    </w:p>
    <w:p w14:paraId="7704421D" w14:textId="77777777" w:rsidR="001A24C3" w:rsidRDefault="001A24C3" w:rsidP="001A24C3">
      <w:pPr>
        <w:pStyle w:val="TEXTkOICE"/>
        <w:ind w:left="0"/>
      </w:pPr>
    </w:p>
    <w:p w14:paraId="796946F8" w14:textId="77777777" w:rsidR="001A24C3" w:rsidRDefault="001A24C3" w:rsidP="001A24C3">
      <w:pPr>
        <w:pStyle w:val="TEXTkOICE"/>
        <w:ind w:left="0"/>
      </w:pPr>
      <w:r w:rsidRPr="000E1FFA">
        <w:t>Na tento účel</w:t>
      </w:r>
      <w:r>
        <w:t>,</w:t>
      </w:r>
      <w:r w:rsidRPr="000E1FFA">
        <w:t xml:space="preserve"> resp. vyjadrenie hodnoty alternatívneho výnosu, ktorý je zároveň aj nákladom obetovaných príležitostí, je</w:t>
      </w:r>
      <w:r>
        <w:t xml:space="preserve"> využívaná</w:t>
      </w:r>
      <w:r w:rsidRPr="000E1FFA">
        <w:t xml:space="preserve"> diskontná sadzba.</w:t>
      </w:r>
    </w:p>
    <w:p w14:paraId="56D4A2C9" w14:textId="77777777" w:rsidR="001A24C3" w:rsidRDefault="001A24C3" w:rsidP="001A24C3">
      <w:pPr>
        <w:pStyle w:val="TEXTkOICE"/>
        <w:ind w:left="0"/>
      </w:pPr>
    </w:p>
    <w:p w14:paraId="3675DB40" w14:textId="77777777" w:rsidR="001A24C3" w:rsidRDefault="001A24C3" w:rsidP="001A24C3">
      <w:pPr>
        <w:pStyle w:val="TEXTkOICE"/>
        <w:ind w:left="0"/>
      </w:pPr>
      <w:r w:rsidRPr="000E1FFA">
        <w:t xml:space="preserve">V prípade, že chceme projekt považovať za vhodný, musí pri zohľadnení časovej hodnoty peňazí projekt vygenerovať väčšie výnosové </w:t>
      </w:r>
      <w:r>
        <w:t>percento</w:t>
      </w:r>
      <w:r w:rsidRPr="000E1FFA">
        <w:t xml:space="preserve"> ako je diskontná sadzba. </w:t>
      </w:r>
      <w:r>
        <w:t>V prípade,</w:t>
      </w:r>
      <w:r w:rsidRPr="000E1FFA">
        <w:t xml:space="preserve"> ak má byť projekt financovaný z nenávratného finančného príspevku, tak vnútorné výnosové </w:t>
      </w:r>
      <w:r>
        <w:t>percento</w:t>
      </w:r>
      <w:r w:rsidRPr="000E1FFA">
        <w:t xml:space="preserve"> (FRR) musí byť menšie ako diskontná sadzba,</w:t>
      </w:r>
      <w:r>
        <w:t xml:space="preserve"> resp. ho ani MS Excel nedokáže vypočítať,</w:t>
      </w:r>
      <w:r w:rsidRPr="000E1FFA">
        <w:t xml:space="preserve"> aby tým vznikla potreba jeho dofinancovania</w:t>
      </w:r>
      <w:r>
        <w:t>. S</w:t>
      </w:r>
      <w:r w:rsidRPr="000E1FFA">
        <w:t xml:space="preserve">amozrejme to platí iba v prípade, že projekt je spoločenský prínosný. Nižšie uvedený výsledok potvrdil </w:t>
      </w:r>
      <w:r>
        <w:t xml:space="preserve">nutnosť financovania </w:t>
      </w:r>
      <w:r w:rsidRPr="000E1FFA">
        <w:t>realizácie projektu z </w:t>
      </w:r>
      <w:r>
        <w:t>n</w:t>
      </w:r>
      <w:r w:rsidRPr="000E1FFA">
        <w:t>enávratného finančného príspevk</w:t>
      </w:r>
      <w:r>
        <w:t>u.</w:t>
      </w:r>
    </w:p>
    <w:bookmarkEnd w:id="320"/>
    <w:p w14:paraId="6269051C" w14:textId="77777777" w:rsidR="001A24C3" w:rsidRDefault="001A24C3" w:rsidP="001A24C3">
      <w:pPr>
        <w:pStyle w:val="TEXTkOICE"/>
        <w:ind w:left="0"/>
      </w:pPr>
    </w:p>
    <w:p w14:paraId="71F5DB5C" w14:textId="52BE55BE" w:rsidR="001A24C3" w:rsidRDefault="001A24C3" w:rsidP="00006CFE">
      <w:pPr>
        <w:pStyle w:val="Popis"/>
        <w:keepNext/>
        <w:jc w:val="both"/>
      </w:pPr>
      <w:r>
        <w:t xml:space="preserve">Tabuľka </w:t>
      </w:r>
      <w:r w:rsidR="00DA0B84">
        <w:rPr>
          <w:noProof/>
        </w:rPr>
        <w:t>56</w:t>
      </w:r>
      <w:r>
        <w:tab/>
      </w:r>
      <w:r w:rsidRPr="00B47CCC">
        <w:t>Výstupy finančnej analýzy (FRR)</w:t>
      </w:r>
      <w:bookmarkEnd w:id="321"/>
    </w:p>
    <w:tbl>
      <w:tblPr>
        <w:tblW w:w="6600" w:type="dxa"/>
        <w:tblCellMar>
          <w:left w:w="70" w:type="dxa"/>
          <w:right w:w="70" w:type="dxa"/>
        </w:tblCellMar>
        <w:tblLook w:val="04A0" w:firstRow="1" w:lastRow="0" w:firstColumn="1" w:lastColumn="0" w:noHBand="0" w:noVBand="1"/>
      </w:tblPr>
      <w:tblGrid>
        <w:gridCol w:w="4820"/>
        <w:gridCol w:w="1780"/>
      </w:tblGrid>
      <w:tr w:rsidR="001A24C3" w:rsidRPr="00084FF7" w14:paraId="298F0046" w14:textId="77777777" w:rsidTr="00300963">
        <w:trPr>
          <w:trHeight w:val="204"/>
        </w:trPr>
        <w:tc>
          <w:tcPr>
            <w:tcW w:w="4820" w:type="dxa"/>
            <w:tcBorders>
              <w:top w:val="single" w:sz="4" w:space="0" w:color="auto"/>
              <w:left w:val="single" w:sz="4" w:space="0" w:color="auto"/>
              <w:bottom w:val="single" w:sz="4" w:space="0" w:color="auto"/>
              <w:right w:val="nil"/>
            </w:tcBorders>
            <w:shd w:val="clear" w:color="auto" w:fill="auto"/>
            <w:noWrap/>
            <w:vAlign w:val="bottom"/>
            <w:hideMark/>
          </w:tcPr>
          <w:p w14:paraId="7FED509A" w14:textId="77777777" w:rsidR="001A24C3" w:rsidRPr="00084FF7" w:rsidRDefault="001A24C3" w:rsidP="00300963">
            <w:pPr>
              <w:rPr>
                <w:rFonts w:ascii="Arial" w:eastAsia="Times New Roman" w:hAnsi="Arial" w:cs="Arial"/>
                <w:sz w:val="16"/>
                <w:szCs w:val="16"/>
                <w:lang w:eastAsia="sk-SK"/>
              </w:rPr>
            </w:pPr>
            <w:r w:rsidRPr="00084FF7">
              <w:rPr>
                <w:rFonts w:ascii="Arial" w:eastAsia="Times New Roman" w:hAnsi="Arial" w:cs="Arial"/>
                <w:sz w:val="16"/>
                <w:szCs w:val="16"/>
                <w:lang w:eastAsia="sk-SK"/>
              </w:rPr>
              <w:t>Finančné vnútorné výnosové percento investície  (FIRR_C)</w:t>
            </w:r>
          </w:p>
        </w:tc>
        <w:tc>
          <w:tcPr>
            <w:tcW w:w="178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4E3A31A2" w14:textId="77777777" w:rsidR="001A24C3" w:rsidRPr="00084FF7" w:rsidRDefault="001A24C3" w:rsidP="00300963">
            <w:pPr>
              <w:jc w:val="right"/>
              <w:rPr>
                <w:rFonts w:ascii="Arial" w:eastAsia="Times New Roman" w:hAnsi="Arial" w:cs="Arial"/>
                <w:sz w:val="16"/>
                <w:szCs w:val="16"/>
                <w:lang w:eastAsia="sk-SK"/>
              </w:rPr>
            </w:pPr>
            <w:r w:rsidRPr="00084FF7">
              <w:rPr>
                <w:rFonts w:ascii="Arial" w:eastAsia="Times New Roman" w:hAnsi="Arial" w:cs="Arial"/>
                <w:sz w:val="16"/>
                <w:szCs w:val="16"/>
                <w:lang w:eastAsia="sk-SK"/>
              </w:rPr>
              <w:t>-12,33%</w:t>
            </w:r>
          </w:p>
        </w:tc>
      </w:tr>
    </w:tbl>
    <w:p w14:paraId="6E0A50E6" w14:textId="77777777" w:rsidR="001A24C3" w:rsidRDefault="001A24C3" w:rsidP="001A24C3"/>
    <w:p w14:paraId="1CCE6EBC" w14:textId="77777777" w:rsidR="001A24C3" w:rsidRDefault="001A24C3" w:rsidP="001A24C3">
      <w:pPr>
        <w:pStyle w:val="Koice4"/>
        <w:spacing w:after="240"/>
        <w:ind w:left="0"/>
      </w:pPr>
      <w:bookmarkStart w:id="322" w:name="_Toc88653004"/>
      <w:r w:rsidRPr="00D67317">
        <w:t>Čistá súčasná hodnota</w:t>
      </w:r>
      <w:bookmarkEnd w:id="322"/>
    </w:p>
    <w:p w14:paraId="367ADA6B" w14:textId="77777777" w:rsidR="001A24C3" w:rsidRDefault="001A24C3" w:rsidP="001A24C3">
      <w:pPr>
        <w:pStyle w:val="TEXTkOICE"/>
        <w:spacing w:after="240"/>
        <w:ind w:left="0"/>
      </w:pPr>
      <w:r w:rsidRPr="000E1FFA">
        <w:t xml:space="preserve">Čistá súčasná hodnota </w:t>
      </w:r>
      <w:r>
        <w:t xml:space="preserve">investície </w:t>
      </w:r>
      <w:r w:rsidRPr="000E1FFA">
        <w:t xml:space="preserve">je iným vyjadrením výsledku finančnej analýzy. Kým vnútorné výnosové % vyjadruje vhodnosť projektu v %, čistá </w:t>
      </w:r>
      <w:r>
        <w:t>súčasná hodnota ho vyjadruje v EUR</w:t>
      </w:r>
      <w:r w:rsidRPr="000E1FFA">
        <w:t xml:space="preserve">. </w:t>
      </w:r>
    </w:p>
    <w:p w14:paraId="221A1696" w14:textId="77777777" w:rsidR="001A24C3" w:rsidRDefault="001A24C3" w:rsidP="001A24C3">
      <w:pPr>
        <w:pStyle w:val="TEXTkOICE"/>
        <w:spacing w:after="240"/>
        <w:ind w:left="0"/>
      </w:pPr>
      <w:r w:rsidRPr="000E1FFA">
        <w:t>Platí súvzťažnosť, že ak je FRR = diskontnej sadzbe, tak čistá súčasná hodnota FNPV je rovná 0. Ak je vnútorné výnosové % menšie ako diskontná sadzba, tak aj čistá súčasná hodnota je záporná a ak je vnútorné výnosové % väčšie ako diskontná sadzba, č</w:t>
      </w:r>
      <w:r>
        <w:t>istá súčasná hodnota je kladná.</w:t>
      </w:r>
    </w:p>
    <w:p w14:paraId="5DE1388E" w14:textId="30BD709D" w:rsidR="001A24C3" w:rsidRDefault="001A24C3" w:rsidP="00006CFE">
      <w:pPr>
        <w:pStyle w:val="Popis"/>
        <w:keepNext/>
        <w:jc w:val="both"/>
      </w:pPr>
      <w:bookmarkStart w:id="323" w:name="_Toc83677928"/>
      <w:r>
        <w:t xml:space="preserve">Tabuľka </w:t>
      </w:r>
      <w:r w:rsidR="008B078A">
        <w:rPr>
          <w:noProof/>
        </w:rPr>
        <w:t>57</w:t>
      </w:r>
      <w:r>
        <w:tab/>
      </w:r>
      <w:r w:rsidRPr="00B47CCC">
        <w:t>Výstupy finančnej analýzy (FNPV)</w:t>
      </w:r>
      <w:bookmarkEnd w:id="323"/>
    </w:p>
    <w:tbl>
      <w:tblPr>
        <w:tblW w:w="6600" w:type="dxa"/>
        <w:tblCellMar>
          <w:left w:w="70" w:type="dxa"/>
          <w:right w:w="70" w:type="dxa"/>
        </w:tblCellMar>
        <w:tblLook w:val="04A0" w:firstRow="1" w:lastRow="0" w:firstColumn="1" w:lastColumn="0" w:noHBand="0" w:noVBand="1"/>
      </w:tblPr>
      <w:tblGrid>
        <w:gridCol w:w="4820"/>
        <w:gridCol w:w="1780"/>
      </w:tblGrid>
      <w:tr w:rsidR="001A24C3" w:rsidRPr="00084FF7" w14:paraId="1D697983" w14:textId="77777777" w:rsidTr="00300963">
        <w:trPr>
          <w:trHeight w:val="204"/>
        </w:trPr>
        <w:tc>
          <w:tcPr>
            <w:tcW w:w="4820" w:type="dxa"/>
            <w:tcBorders>
              <w:top w:val="single" w:sz="4" w:space="0" w:color="auto"/>
              <w:left w:val="single" w:sz="4" w:space="0" w:color="auto"/>
              <w:bottom w:val="single" w:sz="4" w:space="0" w:color="auto"/>
              <w:right w:val="nil"/>
            </w:tcBorders>
            <w:shd w:val="clear" w:color="auto" w:fill="auto"/>
            <w:noWrap/>
            <w:vAlign w:val="bottom"/>
            <w:hideMark/>
          </w:tcPr>
          <w:p w14:paraId="2443850A" w14:textId="77777777" w:rsidR="001A24C3" w:rsidRPr="00084FF7" w:rsidRDefault="001A24C3" w:rsidP="00300963">
            <w:pPr>
              <w:rPr>
                <w:rFonts w:ascii="Arial" w:eastAsia="Times New Roman" w:hAnsi="Arial" w:cs="Arial"/>
                <w:sz w:val="16"/>
                <w:szCs w:val="16"/>
                <w:lang w:eastAsia="sk-SK"/>
              </w:rPr>
            </w:pPr>
            <w:r w:rsidRPr="00084FF7">
              <w:rPr>
                <w:rFonts w:ascii="Arial" w:eastAsia="Times New Roman" w:hAnsi="Arial" w:cs="Arial"/>
                <w:sz w:val="16"/>
                <w:szCs w:val="16"/>
                <w:lang w:eastAsia="sk-SK"/>
              </w:rPr>
              <w:t>Finančná čistá súčasná hodnota investície (FRR_C)</w:t>
            </w:r>
          </w:p>
        </w:tc>
        <w:tc>
          <w:tcPr>
            <w:tcW w:w="178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4D53A839" w14:textId="77777777" w:rsidR="001A24C3" w:rsidRPr="00084FF7" w:rsidRDefault="001A24C3" w:rsidP="00300963">
            <w:pPr>
              <w:jc w:val="right"/>
              <w:rPr>
                <w:rFonts w:ascii="Arial" w:eastAsia="Times New Roman" w:hAnsi="Arial" w:cs="Arial"/>
                <w:sz w:val="16"/>
                <w:szCs w:val="16"/>
                <w:lang w:eastAsia="sk-SK"/>
              </w:rPr>
            </w:pPr>
            <w:r w:rsidRPr="00084FF7">
              <w:rPr>
                <w:rFonts w:ascii="Arial" w:eastAsia="Times New Roman" w:hAnsi="Arial" w:cs="Arial"/>
                <w:color w:val="FF0000"/>
                <w:sz w:val="16"/>
                <w:szCs w:val="16"/>
                <w:lang w:eastAsia="sk-SK"/>
              </w:rPr>
              <w:t xml:space="preserve">-328 958 249,87 </w:t>
            </w:r>
          </w:p>
        </w:tc>
      </w:tr>
    </w:tbl>
    <w:p w14:paraId="72675228" w14:textId="33C2A5AA" w:rsidR="001A24C3" w:rsidRDefault="001A24C3" w:rsidP="001A24C3"/>
    <w:p w14:paraId="4D5A2C2B" w14:textId="77777777" w:rsidR="00006CFE" w:rsidRDefault="00006CFE" w:rsidP="001A24C3"/>
    <w:p w14:paraId="00C7B1E2" w14:textId="55D6FD5C" w:rsidR="001A24C3" w:rsidRPr="00006CFE" w:rsidRDefault="001A24C3" w:rsidP="001A24C3">
      <w:pPr>
        <w:pStyle w:val="Nadpis31"/>
        <w:rPr>
          <w:color w:val="auto"/>
        </w:rPr>
      </w:pPr>
      <w:bookmarkStart w:id="324" w:name="_Toc88653005"/>
      <w:r w:rsidRPr="00006CFE">
        <w:rPr>
          <w:color w:val="auto"/>
        </w:rPr>
        <w:t>Variant „</w:t>
      </w:r>
      <w:r w:rsidR="00006CFE">
        <w:rPr>
          <w:color w:val="auto"/>
        </w:rPr>
        <w:t xml:space="preserve">KOMBINOVANÝ – </w:t>
      </w:r>
      <w:r w:rsidRPr="00006CFE">
        <w:rPr>
          <w:color w:val="auto"/>
        </w:rPr>
        <w:t>optimalizácia</w:t>
      </w:r>
      <w:r w:rsidR="00006CFE">
        <w:rPr>
          <w:color w:val="auto"/>
        </w:rPr>
        <w:t xml:space="preserve"> trate</w:t>
      </w:r>
      <w:r w:rsidRPr="00006CFE">
        <w:rPr>
          <w:color w:val="auto"/>
        </w:rPr>
        <w:t>“</w:t>
      </w:r>
      <w:bookmarkEnd w:id="324"/>
    </w:p>
    <w:p w14:paraId="07FFED91" w14:textId="77777777" w:rsidR="001A24C3" w:rsidRPr="00006CFE" w:rsidRDefault="001A24C3" w:rsidP="00006CFE">
      <w:pPr>
        <w:pStyle w:val="Nadpis41"/>
        <w:ind w:left="851" w:hanging="851"/>
        <w:rPr>
          <w:color w:val="auto"/>
          <w:sz w:val="24"/>
          <w:szCs w:val="24"/>
        </w:rPr>
      </w:pPr>
      <w:bookmarkStart w:id="325" w:name="_Toc88653006"/>
      <w:bookmarkStart w:id="326" w:name="_Hlk88425224"/>
      <w:bookmarkStart w:id="327" w:name="_Toc83677929"/>
      <w:r w:rsidRPr="00006CFE">
        <w:rPr>
          <w:color w:val="auto"/>
          <w:sz w:val="24"/>
          <w:szCs w:val="24"/>
        </w:rPr>
        <w:t>Investičné náklady</w:t>
      </w:r>
      <w:bookmarkEnd w:id="325"/>
    </w:p>
    <w:p w14:paraId="00498B94" w14:textId="4180C9CF" w:rsidR="001A24C3" w:rsidRDefault="001A24C3" w:rsidP="001A24C3">
      <w:r w:rsidRPr="000E1FFA">
        <w:t>Investičné náklady sú náklady vynaložené za účelom realizácie projektu. V prípade projektov financovaných z fondov Európskej únie a</w:t>
      </w:r>
      <w:r>
        <w:t xml:space="preserve"> v </w:t>
      </w:r>
      <w:r w:rsidRPr="000E1FFA">
        <w:t xml:space="preserve">nadväznosti na metodiku spracovávania CBA </w:t>
      </w:r>
      <w:r>
        <w:t>sem</w:t>
      </w:r>
      <w:r w:rsidRPr="000E1FFA">
        <w:t xml:space="preserve"> </w:t>
      </w:r>
      <w:r w:rsidRPr="000E1FFA">
        <w:lastRenderedPageBreak/>
        <w:t xml:space="preserve">patria </w:t>
      </w:r>
      <w:r>
        <w:t>náklady vzniknuté optimalizáciou (čiastočnou modernizáciou</w:t>
      </w:r>
      <w:r w:rsidR="00006CFE">
        <w:t>, resp. kombináciou varinatu A a variantu B</w:t>
      </w:r>
      <w:r>
        <w:t xml:space="preserve">) železničnej trate v úseku Krásno nad Kysucou (mimo) – Čadca – štátna hranica SR/ČR v rozsahu: </w:t>
      </w:r>
      <w:r w:rsidR="00006CFE">
        <w:t>základná modernizácia</w:t>
      </w:r>
      <w:r>
        <w:t xml:space="preserve"> v 2 úsekoch (1. Krásno nad Kysucou (mimo) – Čadca (mimo) vrátane nového prestupného terminálu autobus/vlak a 2. Stanica Čadca</w:t>
      </w:r>
      <w:r>
        <w:rPr>
          <w:lang w:val="en-US"/>
        </w:rPr>
        <w:t>)</w:t>
      </w:r>
      <w:r>
        <w:t xml:space="preserve"> </w:t>
      </w:r>
      <w:r w:rsidR="00006CFE">
        <w:t xml:space="preserve">a v </w:t>
      </w:r>
      <w:r>
        <w:t xml:space="preserve">3. </w:t>
      </w:r>
      <w:r w:rsidR="00006CFE">
        <w:t xml:space="preserve">úseku </w:t>
      </w:r>
      <w:r>
        <w:t>Čadca – štátna hranica SR/ČR by sa modernizovala v smerovo nezmenenej polohe</w:t>
      </w:r>
      <w:r w:rsidR="00006CFE">
        <w:t xml:space="preserve"> (rovnako ako vo variante B)</w:t>
      </w:r>
      <w:r>
        <w:t xml:space="preserve">. </w:t>
      </w:r>
      <w:r>
        <w:rPr>
          <w:lang w:val="cs-CZ"/>
        </w:rPr>
        <w:t>Ďalej sem vstupujú</w:t>
      </w:r>
      <w:r>
        <w:t xml:space="preserve"> náklady na riadenie projektu, publicitu a pod. v súlade s cieľmi projektu.</w:t>
      </w:r>
    </w:p>
    <w:p w14:paraId="04CADF3F" w14:textId="77777777" w:rsidR="00006CFE" w:rsidRDefault="00006CFE" w:rsidP="001A24C3"/>
    <w:p w14:paraId="207C58B7" w14:textId="47C9A29C" w:rsidR="001A24C3" w:rsidRPr="00006CFE" w:rsidRDefault="00006CFE" w:rsidP="00006CFE">
      <w:pPr>
        <w:pStyle w:val="Nadpis41"/>
        <w:ind w:left="709" w:hanging="709"/>
        <w:rPr>
          <w:color w:val="auto"/>
          <w:sz w:val="24"/>
          <w:szCs w:val="24"/>
        </w:rPr>
      </w:pPr>
      <w:r>
        <w:rPr>
          <w:color w:val="auto"/>
          <w:sz w:val="24"/>
          <w:szCs w:val="24"/>
        </w:rPr>
        <w:t xml:space="preserve">  </w:t>
      </w:r>
      <w:bookmarkStart w:id="328" w:name="_Toc88653007"/>
      <w:r w:rsidR="001A24C3" w:rsidRPr="00006CFE">
        <w:rPr>
          <w:color w:val="auto"/>
          <w:sz w:val="24"/>
          <w:szCs w:val="24"/>
        </w:rPr>
        <w:t>Rezerva na nepredvídateľné výdavky</w:t>
      </w:r>
      <w:bookmarkEnd w:id="328"/>
    </w:p>
    <w:p w14:paraId="5D641931" w14:textId="77777777" w:rsidR="001A24C3" w:rsidRDefault="001A24C3" w:rsidP="001A24C3">
      <w:pPr>
        <w:pStyle w:val="TEXTkOICE"/>
        <w:ind w:left="0"/>
      </w:pPr>
      <w:r w:rsidRPr="000E1FFA">
        <w:t xml:space="preserve">V uvedenom projekte </w:t>
      </w:r>
      <w:r>
        <w:t xml:space="preserve">je použitá rezerva na nepredvídateľné výdavky, nakoľko ide o stavbu (modernizáciu) železničnej infraštruktúry je použitá štandardná rezerva vo výške 10 %. Ktorá nie je započítaná v súlade s metodikou pre spracovanie CBA do výpočtu finančnej medzery, avšak je obsiahnutá v predpokladaných oprávnených nákladoch. </w:t>
      </w:r>
    </w:p>
    <w:p w14:paraId="64275FED" w14:textId="77777777" w:rsidR="001A24C3" w:rsidRDefault="001A24C3" w:rsidP="001A24C3">
      <w:pPr>
        <w:pStyle w:val="TEXTkOICE"/>
        <w:ind w:left="0"/>
      </w:pPr>
    </w:p>
    <w:p w14:paraId="5597F7A4" w14:textId="77777777" w:rsidR="001A24C3" w:rsidRPr="00006CFE" w:rsidRDefault="001A24C3" w:rsidP="00006CFE">
      <w:pPr>
        <w:pStyle w:val="Nadpis41"/>
        <w:ind w:left="709" w:hanging="709"/>
        <w:rPr>
          <w:color w:val="auto"/>
          <w:sz w:val="24"/>
          <w:szCs w:val="24"/>
        </w:rPr>
      </w:pPr>
      <w:r w:rsidRPr="00006CFE">
        <w:rPr>
          <w:color w:val="auto"/>
          <w:sz w:val="24"/>
          <w:szCs w:val="24"/>
        </w:rPr>
        <w:t xml:space="preserve">  </w:t>
      </w:r>
      <w:bookmarkStart w:id="329" w:name="_Toc88653008"/>
      <w:r w:rsidRPr="00006CFE">
        <w:rPr>
          <w:color w:val="auto"/>
          <w:sz w:val="24"/>
          <w:szCs w:val="24"/>
        </w:rPr>
        <w:t>Valorizácia nákladov</w:t>
      </w:r>
      <w:bookmarkEnd w:id="329"/>
    </w:p>
    <w:p w14:paraId="420421AC" w14:textId="77777777" w:rsidR="001A24C3" w:rsidRPr="005C5ECA" w:rsidRDefault="001A24C3" w:rsidP="001A24C3">
      <w:r>
        <w:t xml:space="preserve">Uvedená alternatíva projektu má dobu realizácie presahujúcu 2 roky. V tomto prípade je použitie valorizácie povinné. </w:t>
      </w:r>
    </w:p>
    <w:p w14:paraId="338CAE2F" w14:textId="77777777" w:rsidR="001A24C3" w:rsidRPr="000E1FFA" w:rsidRDefault="001A24C3" w:rsidP="001A24C3">
      <w:pPr>
        <w:pStyle w:val="TEXTkOICE"/>
        <w:ind w:left="0"/>
      </w:pPr>
    </w:p>
    <w:p w14:paraId="37030DBA" w14:textId="7FCEBCA1" w:rsidR="001A24C3" w:rsidRPr="00006CFE" w:rsidRDefault="00006CFE" w:rsidP="00006CFE">
      <w:pPr>
        <w:pStyle w:val="Nadpis41"/>
        <w:ind w:left="709" w:hanging="709"/>
        <w:rPr>
          <w:color w:val="auto"/>
          <w:sz w:val="24"/>
          <w:szCs w:val="24"/>
        </w:rPr>
      </w:pPr>
      <w:r>
        <w:rPr>
          <w:color w:val="auto"/>
          <w:sz w:val="24"/>
          <w:szCs w:val="24"/>
        </w:rPr>
        <w:t xml:space="preserve">  </w:t>
      </w:r>
      <w:bookmarkStart w:id="330" w:name="_Toc88653009"/>
      <w:r w:rsidR="001A24C3" w:rsidRPr="00006CFE">
        <w:rPr>
          <w:color w:val="auto"/>
          <w:sz w:val="24"/>
          <w:szCs w:val="24"/>
        </w:rPr>
        <w:t>Použitie DPH</w:t>
      </w:r>
      <w:bookmarkEnd w:id="330"/>
    </w:p>
    <w:p w14:paraId="0B326B72" w14:textId="77777777" w:rsidR="001A24C3" w:rsidRDefault="001A24C3" w:rsidP="001A24C3">
      <w:pPr>
        <w:pStyle w:val="TEXTkOICE"/>
        <w:ind w:left="0"/>
      </w:pPr>
      <w:r>
        <w:t>Žiadateľ</w:t>
      </w:r>
      <w:r w:rsidRPr="000E1FFA">
        <w:t xml:space="preserve">, v rámci uvedeného projektu, </w:t>
      </w:r>
      <w:r>
        <w:t>je</w:t>
      </w:r>
      <w:r w:rsidRPr="000E1FFA">
        <w:t xml:space="preserve"> platcom DPH v zmysle zákona a</w:t>
      </w:r>
      <w:r>
        <w:t xml:space="preserve"> keďže </w:t>
      </w:r>
      <w:r w:rsidRPr="000E1FFA">
        <w:t>si</w:t>
      </w:r>
      <w:r>
        <w:t xml:space="preserve"> môže</w:t>
      </w:r>
      <w:r w:rsidRPr="000E1FFA">
        <w:t xml:space="preserve"> uplatniť jej odpočet, DPH </w:t>
      </w:r>
      <w:r>
        <w:t>je ne</w:t>
      </w:r>
      <w:r w:rsidRPr="000E1FFA">
        <w:t xml:space="preserve">oprávneným nákladom. </w:t>
      </w:r>
      <w:r>
        <w:t>Preto</w:t>
      </w:r>
      <w:r w:rsidRPr="000E1FFA">
        <w:t xml:space="preserve"> jednotlivé položky sú v CBA uvedené bez DPH a samotná DPH je vyčíslená samostatne</w:t>
      </w:r>
      <w:r>
        <w:t xml:space="preserve"> ako neoprávnený náklad</w:t>
      </w:r>
      <w:r w:rsidRPr="000E1FFA">
        <w:t xml:space="preserve">. </w:t>
      </w:r>
    </w:p>
    <w:bookmarkEnd w:id="326"/>
    <w:p w14:paraId="2850A3D8" w14:textId="77777777" w:rsidR="001A24C3" w:rsidRDefault="001A24C3" w:rsidP="001A24C3">
      <w:pPr>
        <w:pStyle w:val="TEXTkOICE"/>
        <w:ind w:left="0"/>
      </w:pPr>
    </w:p>
    <w:p w14:paraId="38AA6E7C" w14:textId="352CC705" w:rsidR="001A24C3" w:rsidRPr="00006CFE" w:rsidRDefault="00006CFE" w:rsidP="00006CFE">
      <w:pPr>
        <w:pStyle w:val="Nadpis41"/>
        <w:ind w:left="709" w:hanging="709"/>
        <w:rPr>
          <w:color w:val="auto"/>
          <w:sz w:val="24"/>
          <w:szCs w:val="24"/>
        </w:rPr>
      </w:pPr>
      <w:r>
        <w:rPr>
          <w:color w:val="auto"/>
          <w:sz w:val="24"/>
          <w:szCs w:val="24"/>
        </w:rPr>
        <w:t xml:space="preserve">  </w:t>
      </w:r>
      <w:bookmarkStart w:id="331" w:name="_Toc88653010"/>
      <w:r w:rsidR="001A24C3" w:rsidRPr="00006CFE">
        <w:rPr>
          <w:color w:val="auto"/>
          <w:sz w:val="24"/>
          <w:szCs w:val="24"/>
        </w:rPr>
        <w:t>Prevádzkové výdavky</w:t>
      </w:r>
      <w:bookmarkEnd w:id="331"/>
    </w:p>
    <w:p w14:paraId="7D5D5CCA" w14:textId="77777777" w:rsidR="001A24C3" w:rsidRDefault="001A24C3" w:rsidP="001A24C3">
      <w:pPr>
        <w:pStyle w:val="TEXTkOICE"/>
        <w:ind w:left="0"/>
      </w:pPr>
      <w:bookmarkStart w:id="332" w:name="_Hlk88427752"/>
      <w:r w:rsidRPr="000E1FFA">
        <w:t xml:space="preserve">Predstavujú </w:t>
      </w:r>
      <w:r>
        <w:t>výdavky</w:t>
      </w:r>
      <w:r w:rsidRPr="000E1FFA">
        <w:t>,</w:t>
      </w:r>
      <w:r>
        <w:t xml:space="preserve"> ktoré sú rozčlenené na bežné prevádzkové výdavky a výmeny časti infraštruktúry po skončení doby životnosti (ak skonči skôr ako uplynie referenčné obdobie, ktoré je pri tomto type projektov 30 rokov). </w:t>
      </w:r>
    </w:p>
    <w:bookmarkEnd w:id="332"/>
    <w:p w14:paraId="01BDB81C" w14:textId="77777777" w:rsidR="001A24C3" w:rsidRDefault="001A24C3" w:rsidP="001A24C3">
      <w:pPr>
        <w:pStyle w:val="TEXTkOICE"/>
        <w:ind w:left="0"/>
      </w:pPr>
    </w:p>
    <w:p w14:paraId="664CAE0F" w14:textId="5FF2F18C" w:rsidR="001A24C3" w:rsidRDefault="001A24C3" w:rsidP="00006CFE">
      <w:pPr>
        <w:pStyle w:val="Popis"/>
        <w:keepNext/>
        <w:jc w:val="both"/>
      </w:pPr>
      <w:r>
        <w:t xml:space="preserve">Tabuľka </w:t>
      </w:r>
      <w:r w:rsidR="008B078A">
        <w:t>58</w:t>
      </w:r>
      <w:r>
        <w:tab/>
      </w:r>
      <w:r w:rsidRPr="0068683B">
        <w:t>Prevádzkové náklady – prírastkové</w:t>
      </w:r>
      <w:bookmarkEnd w:id="327"/>
    </w:p>
    <w:tbl>
      <w:tblPr>
        <w:tblW w:w="5420" w:type="dxa"/>
        <w:tblCellMar>
          <w:left w:w="70" w:type="dxa"/>
          <w:right w:w="70" w:type="dxa"/>
        </w:tblCellMar>
        <w:tblLook w:val="04A0" w:firstRow="1" w:lastRow="0" w:firstColumn="1" w:lastColumn="0" w:noHBand="0" w:noVBand="1"/>
      </w:tblPr>
      <w:tblGrid>
        <w:gridCol w:w="4060"/>
        <w:gridCol w:w="1360"/>
      </w:tblGrid>
      <w:tr w:rsidR="001A24C3" w:rsidRPr="00084FF7" w14:paraId="3719EDF7"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BE75E1"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3.3  Prevádzkové výdavky</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73BD0FF4"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 </w:t>
            </w:r>
          </w:p>
        </w:tc>
      </w:tr>
      <w:tr w:rsidR="001A24C3" w:rsidRPr="00084FF7" w14:paraId="32F2FDA7"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FFFFCC"/>
            <w:noWrap/>
            <w:vAlign w:val="bottom"/>
            <w:hideMark/>
          </w:tcPr>
          <w:p w14:paraId="78CAECFA"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Inkrementálne (PRÍRASTKOVÉ)</w:t>
            </w:r>
          </w:p>
        </w:tc>
        <w:tc>
          <w:tcPr>
            <w:tcW w:w="1360" w:type="dxa"/>
            <w:tcBorders>
              <w:top w:val="nil"/>
              <w:left w:val="nil"/>
              <w:bottom w:val="single" w:sz="4" w:space="0" w:color="auto"/>
              <w:right w:val="single" w:sz="4" w:space="0" w:color="auto"/>
            </w:tcBorders>
            <w:shd w:val="clear" w:color="000000" w:fill="FFFFCC"/>
            <w:noWrap/>
            <w:vAlign w:val="bottom"/>
            <w:hideMark/>
          </w:tcPr>
          <w:p w14:paraId="1BF22144"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Celkom</w:t>
            </w:r>
          </w:p>
        </w:tc>
      </w:tr>
      <w:tr w:rsidR="001A24C3" w:rsidRPr="00084FF7" w14:paraId="3B089E8D"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2EF9C23E" w14:textId="77777777" w:rsidR="001A24C3" w:rsidRPr="00084FF7" w:rsidRDefault="001A24C3" w:rsidP="00300963">
            <w:pPr>
              <w:rPr>
                <w:rFonts w:ascii="Arial" w:eastAsia="Times New Roman" w:hAnsi="Arial" w:cs="Arial"/>
                <w:sz w:val="16"/>
                <w:szCs w:val="16"/>
                <w:lang w:eastAsia="sk-SK"/>
              </w:rPr>
            </w:pPr>
            <w:r w:rsidRPr="00084FF7">
              <w:rPr>
                <w:rFonts w:ascii="Arial" w:eastAsia="Times New Roman" w:hAnsi="Arial" w:cs="Arial"/>
                <w:sz w:val="16"/>
                <w:szCs w:val="16"/>
                <w:lang w:eastAsia="sk-SK"/>
              </w:rPr>
              <w:t>Prevádzkové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3E9D7E72" w14:textId="77777777" w:rsidR="001A24C3" w:rsidRPr="00084FF7" w:rsidRDefault="001A24C3" w:rsidP="00300963">
            <w:pPr>
              <w:jc w:val="right"/>
              <w:rPr>
                <w:rFonts w:ascii="Arial" w:eastAsia="Times New Roman" w:hAnsi="Arial" w:cs="Arial"/>
                <w:sz w:val="16"/>
                <w:szCs w:val="16"/>
                <w:lang w:eastAsia="sk-SK"/>
              </w:rPr>
            </w:pPr>
            <w:r w:rsidRPr="00084FF7">
              <w:rPr>
                <w:rFonts w:ascii="Arial" w:eastAsia="Times New Roman" w:hAnsi="Arial" w:cs="Arial"/>
                <w:sz w:val="16"/>
                <w:szCs w:val="16"/>
                <w:lang w:eastAsia="sk-SK"/>
              </w:rPr>
              <w:t>0,00</w:t>
            </w:r>
          </w:p>
        </w:tc>
      </w:tr>
      <w:tr w:rsidR="001A24C3" w:rsidRPr="00084FF7" w14:paraId="5433A06E"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4B75778" w14:textId="77777777" w:rsidR="001A24C3" w:rsidRPr="00084FF7" w:rsidRDefault="001A24C3" w:rsidP="00300963">
            <w:pPr>
              <w:rPr>
                <w:rFonts w:ascii="Arial" w:eastAsia="Times New Roman" w:hAnsi="Arial" w:cs="Arial"/>
                <w:sz w:val="16"/>
                <w:szCs w:val="16"/>
                <w:lang w:eastAsia="sk-SK"/>
              </w:rPr>
            </w:pPr>
            <w:r w:rsidRPr="00084FF7">
              <w:rPr>
                <w:rFonts w:ascii="Arial" w:eastAsia="Times New Roman" w:hAnsi="Arial" w:cs="Arial"/>
                <w:sz w:val="16"/>
                <w:szCs w:val="16"/>
                <w:lang w:eastAsia="sk-SK"/>
              </w:rPr>
              <w:t>Výmeny</w:t>
            </w:r>
          </w:p>
        </w:tc>
        <w:tc>
          <w:tcPr>
            <w:tcW w:w="1360" w:type="dxa"/>
            <w:tcBorders>
              <w:top w:val="nil"/>
              <w:left w:val="nil"/>
              <w:bottom w:val="single" w:sz="4" w:space="0" w:color="auto"/>
              <w:right w:val="single" w:sz="4" w:space="0" w:color="auto"/>
            </w:tcBorders>
            <w:shd w:val="clear" w:color="auto" w:fill="auto"/>
            <w:noWrap/>
            <w:vAlign w:val="bottom"/>
            <w:hideMark/>
          </w:tcPr>
          <w:p w14:paraId="18A3850A" w14:textId="77777777" w:rsidR="001A24C3" w:rsidRPr="00084FF7" w:rsidRDefault="001A24C3" w:rsidP="00300963">
            <w:pPr>
              <w:jc w:val="right"/>
              <w:rPr>
                <w:rFonts w:ascii="Arial" w:eastAsia="Times New Roman" w:hAnsi="Arial" w:cs="Arial"/>
                <w:sz w:val="16"/>
                <w:szCs w:val="16"/>
                <w:lang w:eastAsia="sk-SK"/>
              </w:rPr>
            </w:pPr>
            <w:r w:rsidRPr="00084FF7">
              <w:rPr>
                <w:rFonts w:ascii="Arial" w:eastAsia="Times New Roman" w:hAnsi="Arial" w:cs="Arial"/>
                <w:sz w:val="16"/>
                <w:szCs w:val="16"/>
                <w:lang w:eastAsia="sk-SK"/>
              </w:rPr>
              <w:t>-61 950 002,86</w:t>
            </w:r>
          </w:p>
        </w:tc>
      </w:tr>
      <w:tr w:rsidR="001A24C3" w:rsidRPr="00084FF7" w14:paraId="4C271CCB"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B9E86F5"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Celkové prevádzkové výdavky na údržbu</w:t>
            </w:r>
          </w:p>
        </w:tc>
        <w:tc>
          <w:tcPr>
            <w:tcW w:w="1360" w:type="dxa"/>
            <w:tcBorders>
              <w:top w:val="nil"/>
              <w:left w:val="nil"/>
              <w:bottom w:val="single" w:sz="4" w:space="0" w:color="auto"/>
              <w:right w:val="single" w:sz="4" w:space="0" w:color="auto"/>
            </w:tcBorders>
            <w:shd w:val="clear" w:color="auto" w:fill="auto"/>
            <w:noWrap/>
            <w:vAlign w:val="bottom"/>
            <w:hideMark/>
          </w:tcPr>
          <w:p w14:paraId="6BAC4D87" w14:textId="77777777" w:rsidR="001A24C3" w:rsidRPr="00084FF7" w:rsidRDefault="001A24C3" w:rsidP="00300963">
            <w:pPr>
              <w:jc w:val="right"/>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-61 950 002,86</w:t>
            </w:r>
          </w:p>
        </w:tc>
      </w:tr>
      <w:tr w:rsidR="001A24C3" w:rsidRPr="00084FF7" w14:paraId="4BEE3D25"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3886F31" w14:textId="77777777" w:rsidR="001A24C3" w:rsidRPr="00084FF7" w:rsidRDefault="001A24C3" w:rsidP="00300963">
            <w:pPr>
              <w:rPr>
                <w:rFonts w:ascii="Arial" w:eastAsia="Times New Roman" w:hAnsi="Arial" w:cs="Arial"/>
                <w:sz w:val="16"/>
                <w:szCs w:val="16"/>
                <w:lang w:eastAsia="sk-SK"/>
              </w:rPr>
            </w:pPr>
            <w:r w:rsidRPr="00084FF7">
              <w:rPr>
                <w:rFonts w:ascii="Arial" w:eastAsia="Times New Roman" w:hAnsi="Arial" w:cs="Arial"/>
                <w:sz w:val="16"/>
                <w:szCs w:val="16"/>
                <w:lang w:eastAsia="sk-SK"/>
              </w:rPr>
              <w:t>Iné špecifické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741E5D4D" w14:textId="77777777" w:rsidR="001A24C3" w:rsidRPr="00084FF7" w:rsidRDefault="001A24C3" w:rsidP="00300963">
            <w:pPr>
              <w:jc w:val="right"/>
              <w:rPr>
                <w:rFonts w:ascii="Arial" w:eastAsia="Times New Roman" w:hAnsi="Arial" w:cs="Arial"/>
                <w:sz w:val="16"/>
                <w:szCs w:val="16"/>
                <w:lang w:eastAsia="sk-SK"/>
              </w:rPr>
            </w:pPr>
            <w:r w:rsidRPr="00084FF7">
              <w:rPr>
                <w:rFonts w:ascii="Arial" w:eastAsia="Times New Roman" w:hAnsi="Arial" w:cs="Arial"/>
                <w:sz w:val="16"/>
                <w:szCs w:val="16"/>
                <w:lang w:eastAsia="sk-SK"/>
              </w:rPr>
              <w:t>0,00</w:t>
            </w:r>
          </w:p>
        </w:tc>
      </w:tr>
      <w:tr w:rsidR="001A24C3" w:rsidRPr="00084FF7" w14:paraId="518951C1"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0DAC9D1F"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Celkové iné špecifické prevádzkové výdavky</w:t>
            </w:r>
          </w:p>
        </w:tc>
        <w:tc>
          <w:tcPr>
            <w:tcW w:w="1360" w:type="dxa"/>
            <w:tcBorders>
              <w:top w:val="nil"/>
              <w:left w:val="nil"/>
              <w:bottom w:val="double" w:sz="6" w:space="0" w:color="auto"/>
              <w:right w:val="single" w:sz="4" w:space="0" w:color="auto"/>
            </w:tcBorders>
            <w:shd w:val="clear" w:color="auto" w:fill="auto"/>
            <w:noWrap/>
            <w:vAlign w:val="bottom"/>
            <w:hideMark/>
          </w:tcPr>
          <w:p w14:paraId="32145839" w14:textId="77777777" w:rsidR="001A24C3" w:rsidRPr="00084FF7" w:rsidRDefault="001A24C3" w:rsidP="00300963">
            <w:pPr>
              <w:jc w:val="right"/>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0,00</w:t>
            </w:r>
          </w:p>
        </w:tc>
      </w:tr>
      <w:tr w:rsidR="001A24C3" w:rsidRPr="00084FF7" w14:paraId="3AA04D23"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1C124B28"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Celkové prevádzkové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04DA028B" w14:textId="77777777" w:rsidR="001A24C3" w:rsidRPr="00084FF7" w:rsidRDefault="001A24C3" w:rsidP="00300963">
            <w:pPr>
              <w:jc w:val="right"/>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-61 950 002,86</w:t>
            </w:r>
          </w:p>
        </w:tc>
      </w:tr>
    </w:tbl>
    <w:p w14:paraId="32BC0BDC" w14:textId="77777777" w:rsidR="001A24C3" w:rsidRPr="0068683B" w:rsidRDefault="001A24C3" w:rsidP="001A24C3">
      <w:pPr>
        <w:pStyle w:val="TEXTkOICE"/>
        <w:ind w:left="0"/>
        <w:rPr>
          <w:rFonts w:asciiTheme="minorHAnsi" w:eastAsiaTheme="minorHAnsi" w:hAnsiTheme="minorHAnsi" w:cstheme="minorBidi"/>
          <w:b/>
          <w:iCs/>
          <w:color w:val="C00000"/>
          <w:sz w:val="20"/>
          <w:szCs w:val="18"/>
          <w:lang w:eastAsia="en-US" w:bidi="ar-SA"/>
        </w:rPr>
      </w:pPr>
    </w:p>
    <w:p w14:paraId="731FD015" w14:textId="77777777" w:rsidR="001A24C3" w:rsidRPr="00006CFE" w:rsidRDefault="001A24C3" w:rsidP="00006CFE">
      <w:pPr>
        <w:pStyle w:val="Nadpis41"/>
        <w:ind w:left="851" w:hanging="851"/>
        <w:rPr>
          <w:color w:val="auto"/>
          <w:sz w:val="24"/>
          <w:szCs w:val="24"/>
        </w:rPr>
      </w:pPr>
      <w:bookmarkStart w:id="333" w:name="_Toc88653011"/>
      <w:r w:rsidRPr="00006CFE">
        <w:rPr>
          <w:color w:val="auto"/>
          <w:sz w:val="24"/>
          <w:szCs w:val="24"/>
        </w:rPr>
        <w:t>Prevádzkové príjmy</w:t>
      </w:r>
      <w:bookmarkEnd w:id="333"/>
    </w:p>
    <w:p w14:paraId="267EBBAD" w14:textId="77777777" w:rsidR="001A24C3" w:rsidRDefault="001A24C3" w:rsidP="001A24C3">
      <w:pPr>
        <w:pStyle w:val="TEXTkOICE"/>
        <w:ind w:left="0"/>
      </w:pPr>
      <w:bookmarkStart w:id="334" w:name="_Toc83677930"/>
      <w:r>
        <w:t xml:space="preserve">Ako už bolo spomenuté v predchádzajúcej kapitole, ide o projekt generujúci príjmy, pričom sú tvorené poplatkami za dopravnú cestu v osobnej ako aj nákladnej doprave. </w:t>
      </w:r>
    </w:p>
    <w:p w14:paraId="66F2B409" w14:textId="77777777" w:rsidR="001A24C3" w:rsidRDefault="001A24C3" w:rsidP="001A24C3">
      <w:pPr>
        <w:pStyle w:val="TEXTkOICE"/>
        <w:ind w:left="0"/>
      </w:pPr>
    </w:p>
    <w:p w14:paraId="07F1B575" w14:textId="176A9A3D" w:rsidR="001A24C3" w:rsidRDefault="001A24C3" w:rsidP="00006CFE">
      <w:pPr>
        <w:pStyle w:val="Popis"/>
        <w:keepNext/>
        <w:jc w:val="both"/>
      </w:pPr>
      <w:r>
        <w:lastRenderedPageBreak/>
        <w:t>Tabuľka</w:t>
      </w:r>
      <w:r w:rsidR="00AF44EA">
        <w:t xml:space="preserve"> </w:t>
      </w:r>
      <w:r w:rsidR="008B078A">
        <w:rPr>
          <w:noProof/>
        </w:rPr>
        <w:t>59</w:t>
      </w:r>
      <w:r>
        <w:tab/>
      </w:r>
      <w:r w:rsidRPr="0068683B">
        <w:t>Prevádzkové príjmy – prírastkové</w:t>
      </w:r>
      <w:bookmarkEnd w:id="334"/>
    </w:p>
    <w:tbl>
      <w:tblPr>
        <w:tblW w:w="4860" w:type="dxa"/>
        <w:tblCellMar>
          <w:left w:w="70" w:type="dxa"/>
          <w:right w:w="70" w:type="dxa"/>
        </w:tblCellMar>
        <w:tblLook w:val="04A0" w:firstRow="1" w:lastRow="0" w:firstColumn="1" w:lastColumn="0" w:noHBand="0" w:noVBand="1"/>
      </w:tblPr>
      <w:tblGrid>
        <w:gridCol w:w="3320"/>
        <w:gridCol w:w="1540"/>
      </w:tblGrid>
      <w:tr w:rsidR="001A24C3" w:rsidRPr="00084FF7" w14:paraId="4FC1F144"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CB0A77"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4.3 Príjmy</w:t>
            </w:r>
          </w:p>
        </w:tc>
        <w:tc>
          <w:tcPr>
            <w:tcW w:w="1540" w:type="dxa"/>
            <w:tcBorders>
              <w:top w:val="single" w:sz="4" w:space="0" w:color="auto"/>
              <w:left w:val="nil"/>
              <w:bottom w:val="single" w:sz="4" w:space="0" w:color="auto"/>
              <w:right w:val="single" w:sz="4" w:space="0" w:color="auto"/>
            </w:tcBorders>
            <w:shd w:val="clear" w:color="auto" w:fill="auto"/>
            <w:noWrap/>
            <w:vAlign w:val="bottom"/>
            <w:hideMark/>
          </w:tcPr>
          <w:p w14:paraId="2E5D6394"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 </w:t>
            </w:r>
          </w:p>
        </w:tc>
      </w:tr>
      <w:tr w:rsidR="001A24C3" w:rsidRPr="00084FF7" w14:paraId="46918889" w14:textId="77777777" w:rsidTr="00300963">
        <w:trPr>
          <w:trHeight w:val="204"/>
        </w:trPr>
        <w:tc>
          <w:tcPr>
            <w:tcW w:w="3320" w:type="dxa"/>
            <w:tcBorders>
              <w:top w:val="nil"/>
              <w:left w:val="single" w:sz="4" w:space="0" w:color="auto"/>
              <w:bottom w:val="single" w:sz="4" w:space="0" w:color="auto"/>
              <w:right w:val="single" w:sz="4" w:space="0" w:color="auto"/>
            </w:tcBorders>
            <w:shd w:val="clear" w:color="000000" w:fill="FFFFCC"/>
            <w:noWrap/>
            <w:vAlign w:val="bottom"/>
            <w:hideMark/>
          </w:tcPr>
          <w:p w14:paraId="5E51A900"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PRÍRASTKOVÉ</w:t>
            </w:r>
          </w:p>
        </w:tc>
        <w:tc>
          <w:tcPr>
            <w:tcW w:w="1540" w:type="dxa"/>
            <w:tcBorders>
              <w:top w:val="nil"/>
              <w:left w:val="nil"/>
              <w:bottom w:val="single" w:sz="4" w:space="0" w:color="auto"/>
              <w:right w:val="single" w:sz="4" w:space="0" w:color="auto"/>
            </w:tcBorders>
            <w:shd w:val="clear" w:color="000000" w:fill="FFFFCC"/>
            <w:noWrap/>
            <w:vAlign w:val="bottom"/>
            <w:hideMark/>
          </w:tcPr>
          <w:p w14:paraId="7DCD4308"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Celkom</w:t>
            </w:r>
          </w:p>
        </w:tc>
      </w:tr>
      <w:tr w:rsidR="001A24C3" w:rsidRPr="00084FF7" w14:paraId="27490DAC"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82FC8B5" w14:textId="77777777" w:rsidR="001A24C3" w:rsidRPr="00084FF7" w:rsidRDefault="001A24C3" w:rsidP="00300963">
            <w:pPr>
              <w:rPr>
                <w:rFonts w:ascii="Arial" w:eastAsia="Times New Roman" w:hAnsi="Arial" w:cs="Arial"/>
                <w:sz w:val="16"/>
                <w:szCs w:val="16"/>
                <w:lang w:eastAsia="sk-SK"/>
              </w:rPr>
            </w:pPr>
            <w:r w:rsidRPr="00084FF7">
              <w:rPr>
                <w:rFonts w:ascii="Arial" w:eastAsia="Times New Roman" w:hAnsi="Arial" w:cs="Arial"/>
                <w:sz w:val="16"/>
                <w:szCs w:val="16"/>
                <w:lang w:eastAsia="sk-SK"/>
              </w:rPr>
              <w:t>Tržby za DC - osobná doprava</w:t>
            </w:r>
          </w:p>
        </w:tc>
        <w:tc>
          <w:tcPr>
            <w:tcW w:w="1540" w:type="dxa"/>
            <w:tcBorders>
              <w:top w:val="nil"/>
              <w:left w:val="nil"/>
              <w:bottom w:val="single" w:sz="4" w:space="0" w:color="auto"/>
              <w:right w:val="single" w:sz="4" w:space="0" w:color="auto"/>
            </w:tcBorders>
            <w:shd w:val="clear" w:color="auto" w:fill="auto"/>
            <w:noWrap/>
            <w:vAlign w:val="bottom"/>
            <w:hideMark/>
          </w:tcPr>
          <w:p w14:paraId="3C33B8E5" w14:textId="77777777" w:rsidR="001A24C3" w:rsidRPr="00084FF7" w:rsidRDefault="001A24C3" w:rsidP="00300963">
            <w:pPr>
              <w:jc w:val="right"/>
              <w:rPr>
                <w:rFonts w:ascii="Arial" w:eastAsia="Times New Roman" w:hAnsi="Arial" w:cs="Arial"/>
                <w:sz w:val="16"/>
                <w:szCs w:val="16"/>
                <w:lang w:eastAsia="sk-SK"/>
              </w:rPr>
            </w:pPr>
            <w:r w:rsidRPr="00084FF7">
              <w:rPr>
                <w:rFonts w:ascii="Arial" w:eastAsia="Times New Roman" w:hAnsi="Arial" w:cs="Arial"/>
                <w:sz w:val="16"/>
                <w:szCs w:val="16"/>
                <w:lang w:eastAsia="sk-SK"/>
              </w:rPr>
              <w:t>3 050 471,77</w:t>
            </w:r>
          </w:p>
        </w:tc>
      </w:tr>
      <w:tr w:rsidR="001A24C3" w:rsidRPr="00084FF7" w14:paraId="58E5078C"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89E4937" w14:textId="77777777" w:rsidR="001A24C3" w:rsidRPr="00084FF7" w:rsidRDefault="001A24C3" w:rsidP="00300963">
            <w:pPr>
              <w:rPr>
                <w:rFonts w:ascii="Arial" w:eastAsia="Times New Roman" w:hAnsi="Arial" w:cs="Arial"/>
                <w:sz w:val="16"/>
                <w:szCs w:val="16"/>
                <w:lang w:eastAsia="sk-SK"/>
              </w:rPr>
            </w:pPr>
            <w:r w:rsidRPr="00084FF7">
              <w:rPr>
                <w:rFonts w:ascii="Arial" w:eastAsia="Times New Roman" w:hAnsi="Arial" w:cs="Arial"/>
                <w:sz w:val="16"/>
                <w:szCs w:val="16"/>
                <w:lang w:eastAsia="sk-SK"/>
              </w:rPr>
              <w:t>Tržby za DC - nákladná doprava</w:t>
            </w:r>
          </w:p>
        </w:tc>
        <w:tc>
          <w:tcPr>
            <w:tcW w:w="1540" w:type="dxa"/>
            <w:tcBorders>
              <w:top w:val="nil"/>
              <w:left w:val="nil"/>
              <w:bottom w:val="single" w:sz="4" w:space="0" w:color="auto"/>
              <w:right w:val="single" w:sz="4" w:space="0" w:color="auto"/>
            </w:tcBorders>
            <w:shd w:val="clear" w:color="auto" w:fill="auto"/>
            <w:noWrap/>
            <w:vAlign w:val="bottom"/>
            <w:hideMark/>
          </w:tcPr>
          <w:p w14:paraId="2B6B92A1" w14:textId="77777777" w:rsidR="001A24C3" w:rsidRPr="00084FF7" w:rsidRDefault="001A24C3" w:rsidP="00300963">
            <w:pPr>
              <w:jc w:val="right"/>
              <w:rPr>
                <w:rFonts w:ascii="Arial" w:eastAsia="Times New Roman" w:hAnsi="Arial" w:cs="Arial"/>
                <w:sz w:val="16"/>
                <w:szCs w:val="16"/>
                <w:lang w:eastAsia="sk-SK"/>
              </w:rPr>
            </w:pPr>
            <w:r w:rsidRPr="00084FF7">
              <w:rPr>
                <w:rFonts w:ascii="Arial" w:eastAsia="Times New Roman" w:hAnsi="Arial" w:cs="Arial"/>
                <w:sz w:val="16"/>
                <w:szCs w:val="16"/>
                <w:lang w:eastAsia="sk-SK"/>
              </w:rPr>
              <w:t>798 444,01</w:t>
            </w:r>
          </w:p>
        </w:tc>
      </w:tr>
      <w:tr w:rsidR="001A24C3" w:rsidRPr="00084FF7" w14:paraId="0D1569F7"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55F76A0" w14:textId="77777777" w:rsidR="001A24C3" w:rsidRPr="00084FF7" w:rsidRDefault="001A24C3" w:rsidP="00300963">
            <w:pPr>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Celkové príjmy</w:t>
            </w:r>
          </w:p>
        </w:tc>
        <w:tc>
          <w:tcPr>
            <w:tcW w:w="1540" w:type="dxa"/>
            <w:tcBorders>
              <w:top w:val="nil"/>
              <w:left w:val="nil"/>
              <w:bottom w:val="single" w:sz="4" w:space="0" w:color="auto"/>
              <w:right w:val="single" w:sz="4" w:space="0" w:color="auto"/>
            </w:tcBorders>
            <w:shd w:val="clear" w:color="auto" w:fill="auto"/>
            <w:noWrap/>
            <w:vAlign w:val="bottom"/>
            <w:hideMark/>
          </w:tcPr>
          <w:p w14:paraId="1A56C021" w14:textId="77777777" w:rsidR="001A24C3" w:rsidRPr="00084FF7" w:rsidRDefault="001A24C3" w:rsidP="00300963">
            <w:pPr>
              <w:jc w:val="right"/>
              <w:rPr>
                <w:rFonts w:ascii="Arial" w:eastAsia="Times New Roman" w:hAnsi="Arial" w:cs="Arial"/>
                <w:b/>
                <w:bCs/>
                <w:sz w:val="16"/>
                <w:szCs w:val="16"/>
                <w:lang w:eastAsia="sk-SK"/>
              </w:rPr>
            </w:pPr>
            <w:r w:rsidRPr="00084FF7">
              <w:rPr>
                <w:rFonts w:ascii="Arial" w:eastAsia="Times New Roman" w:hAnsi="Arial" w:cs="Arial"/>
                <w:b/>
                <w:bCs/>
                <w:sz w:val="16"/>
                <w:szCs w:val="16"/>
                <w:lang w:eastAsia="sk-SK"/>
              </w:rPr>
              <w:t>3 848 915,79</w:t>
            </w:r>
          </w:p>
        </w:tc>
      </w:tr>
    </w:tbl>
    <w:p w14:paraId="098ED025" w14:textId="77777777" w:rsidR="001A24C3" w:rsidRPr="0068683B" w:rsidRDefault="001A24C3" w:rsidP="001A24C3">
      <w:pPr>
        <w:pStyle w:val="TEXTkOICE"/>
        <w:ind w:left="0"/>
        <w:rPr>
          <w:rFonts w:asciiTheme="minorHAnsi" w:eastAsiaTheme="minorHAnsi" w:hAnsiTheme="minorHAnsi" w:cstheme="minorBidi"/>
          <w:b/>
          <w:iCs/>
          <w:color w:val="C00000"/>
          <w:sz w:val="20"/>
          <w:szCs w:val="18"/>
          <w:lang w:eastAsia="en-US" w:bidi="ar-SA"/>
        </w:rPr>
      </w:pPr>
    </w:p>
    <w:p w14:paraId="46D3E3BF" w14:textId="77777777" w:rsidR="001A24C3" w:rsidRPr="00006CFE" w:rsidRDefault="001A24C3" w:rsidP="00006CFE">
      <w:pPr>
        <w:pStyle w:val="Nadpis41"/>
        <w:ind w:left="851" w:hanging="851"/>
        <w:rPr>
          <w:color w:val="auto"/>
          <w:sz w:val="24"/>
          <w:szCs w:val="24"/>
        </w:rPr>
      </w:pPr>
      <w:bookmarkStart w:id="335" w:name="_Toc88653012"/>
      <w:r w:rsidRPr="00006CFE">
        <w:rPr>
          <w:color w:val="auto"/>
          <w:sz w:val="24"/>
          <w:szCs w:val="24"/>
        </w:rPr>
        <w:t>Zostatková hodnota</w:t>
      </w:r>
      <w:bookmarkEnd w:id="335"/>
    </w:p>
    <w:p w14:paraId="49D4FB17" w14:textId="77777777" w:rsidR="001A24C3" w:rsidRDefault="001A24C3" w:rsidP="001A24C3">
      <w:pPr>
        <w:rPr>
          <w:lang w:eastAsia="sk-SK" w:bidi="sk-SK"/>
        </w:rPr>
      </w:pPr>
      <w:bookmarkStart w:id="336" w:name="_Toc83677931"/>
      <w:r w:rsidRPr="00643730">
        <w:rPr>
          <w:lang w:eastAsia="sk-SK" w:bidi="sk-SK"/>
        </w:rPr>
        <w:t>Zostatková hodnota bola vo vypočítaná 2 spôsobmi</w:t>
      </w:r>
      <w:r>
        <w:rPr>
          <w:lang w:eastAsia="sk-SK" w:bidi="sk-SK"/>
        </w:rPr>
        <w:t xml:space="preserve"> p</w:t>
      </w:r>
      <w:r w:rsidRPr="00643730">
        <w:rPr>
          <w:lang w:eastAsia="sk-SK" w:bidi="sk-SK"/>
        </w:rPr>
        <w:t xml:space="preserve">omocou cash-flow tokov </w:t>
      </w:r>
      <w:r>
        <w:rPr>
          <w:lang w:eastAsia="sk-SK" w:bidi="sk-SK"/>
        </w:rPr>
        <w:t>a pomocou odpisov. Oba spôsoby boli použité aj pre finančnú aj pre ekonomickú analýzu, pričom vo finančnej analýze bola použitá zostatková hodnote pomocou cash – flow tokov, keďže ide o projekt generujúci príjmy. Vypočítaný výsledok je možné vidieť v nižšie uvedenej tabuľke. Detailnejšie výpočty sa nachádzajú v excelovskej časti.</w:t>
      </w:r>
    </w:p>
    <w:p w14:paraId="0AB17FFE" w14:textId="77777777" w:rsidR="001A24C3" w:rsidRDefault="001A24C3" w:rsidP="001A24C3">
      <w:pPr>
        <w:rPr>
          <w:lang w:eastAsia="sk-SK" w:bidi="sk-SK"/>
        </w:rPr>
      </w:pPr>
    </w:p>
    <w:p w14:paraId="390AAA23" w14:textId="7E6E6DDC" w:rsidR="001A24C3" w:rsidRDefault="001A24C3" w:rsidP="00006CFE">
      <w:pPr>
        <w:pStyle w:val="Popis"/>
        <w:keepNext/>
        <w:jc w:val="both"/>
      </w:pPr>
      <w:r>
        <w:t xml:space="preserve">Tabuľka </w:t>
      </w:r>
      <w:r w:rsidR="008B078A">
        <w:rPr>
          <w:noProof/>
        </w:rPr>
        <w:t>60</w:t>
      </w:r>
      <w:r>
        <w:tab/>
      </w:r>
      <w:r w:rsidRPr="0068683B">
        <w:t>Zostatková hodnota – metóda cash flow</w:t>
      </w:r>
      <w:bookmarkEnd w:id="336"/>
    </w:p>
    <w:tbl>
      <w:tblPr>
        <w:tblW w:w="8548" w:type="dxa"/>
        <w:tblCellMar>
          <w:left w:w="70" w:type="dxa"/>
          <w:right w:w="70" w:type="dxa"/>
        </w:tblCellMar>
        <w:tblLook w:val="04A0" w:firstRow="1" w:lastRow="0" w:firstColumn="1" w:lastColumn="0" w:noHBand="0" w:noVBand="1"/>
      </w:tblPr>
      <w:tblGrid>
        <w:gridCol w:w="7060"/>
        <w:gridCol w:w="1488"/>
      </w:tblGrid>
      <w:tr w:rsidR="001A24C3" w:rsidRPr="00E45533" w14:paraId="21B0744F" w14:textId="77777777" w:rsidTr="00300963">
        <w:trPr>
          <w:trHeight w:val="216"/>
        </w:trPr>
        <w:tc>
          <w:tcPr>
            <w:tcW w:w="7060" w:type="dxa"/>
            <w:tcBorders>
              <w:top w:val="single" w:sz="8" w:space="0" w:color="auto"/>
              <w:left w:val="single" w:sz="8" w:space="0" w:color="auto"/>
              <w:bottom w:val="single" w:sz="4" w:space="0" w:color="auto"/>
              <w:right w:val="single" w:sz="4" w:space="0" w:color="auto"/>
            </w:tcBorders>
            <w:shd w:val="clear" w:color="000000" w:fill="D9D9D9"/>
            <w:noWrap/>
            <w:vAlign w:val="center"/>
            <w:hideMark/>
          </w:tcPr>
          <w:p w14:paraId="692DC08D" w14:textId="77777777" w:rsidR="001A24C3" w:rsidRPr="00E45533" w:rsidRDefault="001A24C3" w:rsidP="00300963">
            <w:pP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 xml:space="preserve">Zostatková hodnota na základe finančných peňažných tokoch </w:t>
            </w:r>
          </w:p>
        </w:tc>
        <w:tc>
          <w:tcPr>
            <w:tcW w:w="1488" w:type="dxa"/>
            <w:tcBorders>
              <w:top w:val="single" w:sz="8" w:space="0" w:color="auto"/>
              <w:left w:val="nil"/>
              <w:bottom w:val="single" w:sz="4" w:space="0" w:color="auto"/>
              <w:right w:val="single" w:sz="4" w:space="0" w:color="auto"/>
            </w:tcBorders>
            <w:shd w:val="clear" w:color="000000" w:fill="D9D9D9"/>
            <w:noWrap/>
            <w:vAlign w:val="center"/>
            <w:hideMark/>
          </w:tcPr>
          <w:p w14:paraId="1B40D823" w14:textId="77777777" w:rsidR="001A24C3" w:rsidRPr="00E45533" w:rsidRDefault="001A24C3" w:rsidP="00300963">
            <w:pPr>
              <w:jc w:val="cente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Celkom</w:t>
            </w:r>
          </w:p>
        </w:tc>
      </w:tr>
      <w:tr w:rsidR="001A24C3" w:rsidRPr="00E45533" w14:paraId="6136E1EE"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096ABA04"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 xml:space="preserve">Peňažný tok - náklady na prevádzku a údržbu </w:t>
            </w:r>
          </w:p>
        </w:tc>
        <w:tc>
          <w:tcPr>
            <w:tcW w:w="1488" w:type="dxa"/>
            <w:tcBorders>
              <w:top w:val="nil"/>
              <w:left w:val="nil"/>
              <w:bottom w:val="single" w:sz="4" w:space="0" w:color="auto"/>
              <w:right w:val="single" w:sz="4" w:space="0" w:color="auto"/>
            </w:tcBorders>
            <w:shd w:val="clear" w:color="000000" w:fill="F2F2F2"/>
            <w:vAlign w:val="center"/>
            <w:hideMark/>
          </w:tcPr>
          <w:p w14:paraId="5E6EF196" w14:textId="77777777" w:rsidR="001A24C3" w:rsidRPr="00E45533" w:rsidRDefault="001A24C3" w:rsidP="00300963">
            <w:pPr>
              <w:jc w:val="cente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0</w:t>
            </w:r>
          </w:p>
        </w:tc>
      </w:tr>
      <w:tr w:rsidR="001A24C3" w:rsidRPr="00E45533" w14:paraId="6BBB8BE1" w14:textId="77777777" w:rsidTr="00300963">
        <w:trPr>
          <w:trHeight w:val="216"/>
        </w:trPr>
        <w:tc>
          <w:tcPr>
            <w:tcW w:w="7060" w:type="dxa"/>
            <w:tcBorders>
              <w:top w:val="nil"/>
              <w:left w:val="single" w:sz="8" w:space="0" w:color="auto"/>
              <w:bottom w:val="nil"/>
              <w:right w:val="single" w:sz="4" w:space="0" w:color="auto"/>
            </w:tcBorders>
            <w:shd w:val="clear" w:color="auto" w:fill="auto"/>
            <w:noWrap/>
            <w:vAlign w:val="bottom"/>
            <w:hideMark/>
          </w:tcPr>
          <w:p w14:paraId="11864A85"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 xml:space="preserve">Peňažný tok - príjmy </w:t>
            </w:r>
          </w:p>
        </w:tc>
        <w:tc>
          <w:tcPr>
            <w:tcW w:w="1488" w:type="dxa"/>
            <w:tcBorders>
              <w:top w:val="single" w:sz="4" w:space="0" w:color="auto"/>
              <w:left w:val="single" w:sz="4" w:space="0" w:color="auto"/>
              <w:bottom w:val="nil"/>
              <w:right w:val="single" w:sz="4" w:space="0" w:color="auto"/>
            </w:tcBorders>
            <w:shd w:val="clear" w:color="000000" w:fill="F2F2F2"/>
            <w:vAlign w:val="center"/>
            <w:hideMark/>
          </w:tcPr>
          <w:p w14:paraId="67E588BC" w14:textId="77777777" w:rsidR="001A24C3" w:rsidRPr="00E45533" w:rsidRDefault="001A24C3" w:rsidP="00300963">
            <w:pPr>
              <w:jc w:val="center"/>
              <w:rPr>
                <w:rFonts w:ascii="Arial" w:eastAsia="Times New Roman" w:hAnsi="Arial" w:cs="Arial"/>
                <w:b/>
                <w:bCs/>
                <w:sz w:val="16"/>
                <w:szCs w:val="16"/>
                <w:lang w:eastAsia="sk-SK"/>
              </w:rPr>
            </w:pPr>
            <w:r w:rsidRPr="00E45533">
              <w:rPr>
                <w:rFonts w:ascii="Arial" w:eastAsia="Times New Roman" w:hAnsi="Arial" w:cs="Arial"/>
                <w:b/>
                <w:bCs/>
                <w:sz w:val="16"/>
                <w:szCs w:val="16"/>
                <w:lang w:eastAsia="sk-SK"/>
              </w:rPr>
              <w:t>1 058 779</w:t>
            </w:r>
          </w:p>
        </w:tc>
      </w:tr>
      <w:tr w:rsidR="001A24C3" w:rsidRPr="00E45533" w14:paraId="6715FAA7" w14:textId="77777777" w:rsidTr="00300963">
        <w:trPr>
          <w:trHeight w:val="288"/>
        </w:trPr>
        <w:tc>
          <w:tcPr>
            <w:tcW w:w="706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14F2330C"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Súčasná hodnota čistých príjmov</w:t>
            </w:r>
          </w:p>
        </w:tc>
        <w:tc>
          <w:tcPr>
            <w:tcW w:w="1488" w:type="dxa"/>
            <w:tcBorders>
              <w:top w:val="single" w:sz="8" w:space="0" w:color="auto"/>
              <w:left w:val="nil"/>
              <w:bottom w:val="single" w:sz="8" w:space="0" w:color="auto"/>
              <w:right w:val="single" w:sz="4" w:space="0" w:color="auto"/>
            </w:tcBorders>
            <w:shd w:val="clear" w:color="000000" w:fill="FFFFCC"/>
            <w:vAlign w:val="center"/>
            <w:hideMark/>
          </w:tcPr>
          <w:p w14:paraId="2A9D1406" w14:textId="77777777" w:rsidR="001A24C3" w:rsidRPr="00E45533" w:rsidRDefault="001A24C3" w:rsidP="00300963">
            <w:pPr>
              <w:jc w:val="center"/>
              <w:rPr>
                <w:rFonts w:ascii="Arial" w:eastAsia="Times New Roman" w:hAnsi="Arial" w:cs="Arial"/>
                <w:b/>
                <w:bCs/>
                <w:lang w:eastAsia="sk-SK"/>
              </w:rPr>
            </w:pPr>
            <w:r w:rsidRPr="00E45533">
              <w:rPr>
                <w:rFonts w:ascii="Arial" w:eastAsia="Times New Roman" w:hAnsi="Arial" w:cs="Arial"/>
                <w:b/>
                <w:bCs/>
                <w:lang w:eastAsia="sk-SK"/>
              </w:rPr>
              <w:t>2 997 000</w:t>
            </w:r>
          </w:p>
        </w:tc>
      </w:tr>
    </w:tbl>
    <w:p w14:paraId="513DB5A7" w14:textId="77777777" w:rsidR="001A24C3" w:rsidRDefault="001A24C3" w:rsidP="001A24C3">
      <w:pPr>
        <w:pStyle w:val="TEXTkOICE"/>
        <w:ind w:left="0"/>
        <w:rPr>
          <w:rFonts w:asciiTheme="minorHAnsi" w:eastAsiaTheme="minorHAnsi" w:hAnsiTheme="minorHAnsi" w:cstheme="minorBidi"/>
          <w:b/>
          <w:iCs/>
          <w:color w:val="C00000"/>
          <w:sz w:val="20"/>
          <w:szCs w:val="18"/>
          <w:lang w:eastAsia="en-US" w:bidi="ar-SA"/>
        </w:rPr>
      </w:pPr>
    </w:p>
    <w:p w14:paraId="476EB177" w14:textId="39FA3E78" w:rsidR="001A24C3" w:rsidRDefault="001A24C3" w:rsidP="00006CFE">
      <w:pPr>
        <w:pStyle w:val="Popis"/>
        <w:keepNext/>
        <w:jc w:val="both"/>
      </w:pPr>
      <w:bookmarkStart w:id="337" w:name="_Toc83677932"/>
      <w:r>
        <w:t xml:space="preserve">Tabuľka </w:t>
      </w:r>
      <w:r w:rsidR="008B078A">
        <w:rPr>
          <w:noProof/>
        </w:rPr>
        <w:t>61</w:t>
      </w:r>
      <w:r>
        <w:tab/>
        <w:t>Zostatková hodnota – odpisová metóda</w:t>
      </w:r>
      <w:bookmarkEnd w:id="337"/>
    </w:p>
    <w:tbl>
      <w:tblPr>
        <w:tblW w:w="9356" w:type="dxa"/>
        <w:tblLayout w:type="fixed"/>
        <w:tblCellMar>
          <w:left w:w="70" w:type="dxa"/>
          <w:right w:w="70" w:type="dxa"/>
        </w:tblCellMar>
        <w:tblLook w:val="04A0" w:firstRow="1" w:lastRow="0" w:firstColumn="1" w:lastColumn="0" w:noHBand="0" w:noVBand="1"/>
      </w:tblPr>
      <w:tblGrid>
        <w:gridCol w:w="3402"/>
        <w:gridCol w:w="1134"/>
        <w:gridCol w:w="1276"/>
        <w:gridCol w:w="851"/>
        <w:gridCol w:w="850"/>
        <w:gridCol w:w="851"/>
        <w:gridCol w:w="992"/>
      </w:tblGrid>
      <w:tr w:rsidR="001A24C3" w:rsidRPr="00B3367D" w14:paraId="6E271A6D" w14:textId="77777777" w:rsidTr="00300963">
        <w:trPr>
          <w:trHeight w:val="204"/>
        </w:trPr>
        <w:tc>
          <w:tcPr>
            <w:tcW w:w="4536" w:type="dxa"/>
            <w:gridSpan w:val="2"/>
            <w:tcBorders>
              <w:top w:val="nil"/>
              <w:left w:val="nil"/>
              <w:bottom w:val="nil"/>
              <w:right w:val="nil"/>
            </w:tcBorders>
            <w:shd w:val="clear" w:color="auto" w:fill="auto"/>
            <w:noWrap/>
            <w:vAlign w:val="bottom"/>
            <w:hideMark/>
          </w:tcPr>
          <w:p w14:paraId="7C9B0E59" w14:textId="77777777" w:rsidR="001A24C3" w:rsidRPr="00B3367D" w:rsidRDefault="001A24C3" w:rsidP="00300963">
            <w:pP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2.1 Zostatková hodnota na základe životnosti infraštruktrálnych prvkov (alebo tzv. účtovné odpisy)</w:t>
            </w:r>
          </w:p>
        </w:tc>
        <w:tc>
          <w:tcPr>
            <w:tcW w:w="1276" w:type="dxa"/>
            <w:tcBorders>
              <w:top w:val="nil"/>
              <w:left w:val="nil"/>
              <w:bottom w:val="nil"/>
              <w:right w:val="nil"/>
            </w:tcBorders>
            <w:shd w:val="clear" w:color="auto" w:fill="auto"/>
            <w:noWrap/>
            <w:vAlign w:val="bottom"/>
            <w:hideMark/>
          </w:tcPr>
          <w:p w14:paraId="638270A7" w14:textId="77777777" w:rsidR="001A24C3" w:rsidRPr="00B3367D" w:rsidRDefault="001A24C3" w:rsidP="00300963">
            <w:pPr>
              <w:rPr>
                <w:rFonts w:ascii="Arial" w:eastAsia="Times New Roman" w:hAnsi="Arial" w:cs="Arial"/>
                <w:b/>
                <w:bCs/>
                <w:sz w:val="12"/>
                <w:szCs w:val="12"/>
                <w:lang w:eastAsia="sk-SK"/>
              </w:rPr>
            </w:pPr>
          </w:p>
        </w:tc>
        <w:tc>
          <w:tcPr>
            <w:tcW w:w="851" w:type="dxa"/>
            <w:tcBorders>
              <w:top w:val="nil"/>
              <w:left w:val="nil"/>
              <w:bottom w:val="nil"/>
              <w:right w:val="nil"/>
            </w:tcBorders>
            <w:shd w:val="clear" w:color="auto" w:fill="auto"/>
            <w:noWrap/>
            <w:vAlign w:val="bottom"/>
            <w:hideMark/>
          </w:tcPr>
          <w:p w14:paraId="1E28AE7B" w14:textId="77777777" w:rsidR="001A24C3" w:rsidRPr="00B3367D" w:rsidRDefault="001A24C3" w:rsidP="00300963">
            <w:pPr>
              <w:rPr>
                <w:rFonts w:ascii="Times New Roman" w:eastAsia="Times New Roman" w:hAnsi="Times New Roman" w:cs="Times New Roman"/>
                <w:sz w:val="12"/>
                <w:szCs w:val="12"/>
                <w:lang w:eastAsia="sk-SK"/>
              </w:rPr>
            </w:pPr>
          </w:p>
        </w:tc>
        <w:tc>
          <w:tcPr>
            <w:tcW w:w="850" w:type="dxa"/>
            <w:tcBorders>
              <w:top w:val="nil"/>
              <w:left w:val="nil"/>
              <w:bottom w:val="nil"/>
              <w:right w:val="nil"/>
            </w:tcBorders>
            <w:shd w:val="clear" w:color="auto" w:fill="auto"/>
            <w:noWrap/>
            <w:vAlign w:val="bottom"/>
            <w:hideMark/>
          </w:tcPr>
          <w:p w14:paraId="19BA692C" w14:textId="77777777" w:rsidR="001A24C3" w:rsidRPr="00B3367D" w:rsidRDefault="001A24C3" w:rsidP="00300963">
            <w:pPr>
              <w:rPr>
                <w:rFonts w:ascii="Times New Roman" w:eastAsia="Times New Roman" w:hAnsi="Times New Roman" w:cs="Times New Roman"/>
                <w:sz w:val="12"/>
                <w:szCs w:val="12"/>
                <w:lang w:eastAsia="sk-SK"/>
              </w:rPr>
            </w:pPr>
          </w:p>
        </w:tc>
        <w:tc>
          <w:tcPr>
            <w:tcW w:w="851" w:type="dxa"/>
            <w:tcBorders>
              <w:top w:val="nil"/>
              <w:left w:val="nil"/>
              <w:bottom w:val="nil"/>
              <w:right w:val="nil"/>
            </w:tcBorders>
            <w:shd w:val="clear" w:color="auto" w:fill="auto"/>
            <w:noWrap/>
            <w:vAlign w:val="bottom"/>
            <w:hideMark/>
          </w:tcPr>
          <w:p w14:paraId="1F617136" w14:textId="77777777" w:rsidR="001A24C3" w:rsidRPr="00B3367D" w:rsidRDefault="001A24C3" w:rsidP="00300963">
            <w:pPr>
              <w:rPr>
                <w:rFonts w:ascii="Times New Roman" w:eastAsia="Times New Roman" w:hAnsi="Times New Roman" w:cs="Times New Roman"/>
                <w:sz w:val="12"/>
                <w:szCs w:val="12"/>
                <w:lang w:eastAsia="sk-SK"/>
              </w:rPr>
            </w:pPr>
          </w:p>
        </w:tc>
        <w:tc>
          <w:tcPr>
            <w:tcW w:w="992" w:type="dxa"/>
            <w:tcBorders>
              <w:top w:val="single" w:sz="8" w:space="0" w:color="auto"/>
              <w:left w:val="single" w:sz="8" w:space="0" w:color="auto"/>
              <w:bottom w:val="nil"/>
              <w:right w:val="single" w:sz="4" w:space="0" w:color="auto"/>
            </w:tcBorders>
            <w:shd w:val="clear" w:color="auto" w:fill="auto"/>
            <w:noWrap/>
            <w:vAlign w:val="bottom"/>
            <w:hideMark/>
          </w:tcPr>
          <w:p w14:paraId="7840EF3E" w14:textId="77777777" w:rsidR="001A24C3" w:rsidRPr="00B3367D" w:rsidRDefault="001A24C3" w:rsidP="00300963">
            <w:pPr>
              <w:jc w:val="cente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finančná</w:t>
            </w:r>
          </w:p>
        </w:tc>
      </w:tr>
      <w:tr w:rsidR="001A24C3" w:rsidRPr="00B3367D" w14:paraId="6FF69747" w14:textId="77777777" w:rsidTr="00300963">
        <w:trPr>
          <w:trHeight w:val="1020"/>
        </w:trPr>
        <w:tc>
          <w:tcPr>
            <w:tcW w:w="3402"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6D2DC001" w14:textId="77777777" w:rsidR="001A24C3" w:rsidRPr="00B3367D" w:rsidRDefault="001A24C3" w:rsidP="00300963">
            <w:pP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Infraštrukturálny prvok</w:t>
            </w:r>
          </w:p>
        </w:tc>
        <w:tc>
          <w:tcPr>
            <w:tcW w:w="1134" w:type="dxa"/>
            <w:tcBorders>
              <w:top w:val="single" w:sz="4" w:space="0" w:color="auto"/>
              <w:left w:val="nil"/>
              <w:bottom w:val="single" w:sz="4" w:space="0" w:color="auto"/>
              <w:right w:val="single" w:sz="4" w:space="0" w:color="auto"/>
            </w:tcBorders>
            <w:shd w:val="clear" w:color="000000" w:fill="D9D9D9"/>
            <w:vAlign w:val="bottom"/>
            <w:hideMark/>
          </w:tcPr>
          <w:p w14:paraId="0F2BE2AC" w14:textId="77777777" w:rsidR="001A24C3" w:rsidRPr="00B3367D" w:rsidRDefault="001A24C3" w:rsidP="00300963">
            <w:pPr>
              <w:jc w:val="cente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Životnosť v rokoch</w:t>
            </w:r>
          </w:p>
        </w:tc>
        <w:tc>
          <w:tcPr>
            <w:tcW w:w="1276" w:type="dxa"/>
            <w:tcBorders>
              <w:top w:val="single" w:sz="4" w:space="0" w:color="auto"/>
              <w:left w:val="nil"/>
              <w:bottom w:val="single" w:sz="4" w:space="0" w:color="auto"/>
              <w:right w:val="single" w:sz="4" w:space="0" w:color="auto"/>
            </w:tcBorders>
            <w:shd w:val="clear" w:color="000000" w:fill="D9D9D9"/>
            <w:vAlign w:val="bottom"/>
            <w:hideMark/>
          </w:tcPr>
          <w:p w14:paraId="21A3A126" w14:textId="77777777" w:rsidR="001A24C3" w:rsidRPr="00B3367D" w:rsidRDefault="001A24C3" w:rsidP="00300963">
            <w:pPr>
              <w:jc w:val="cente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Obdobie prevádzky v rámci referenčného obdobia</w:t>
            </w:r>
          </w:p>
        </w:tc>
        <w:tc>
          <w:tcPr>
            <w:tcW w:w="851" w:type="dxa"/>
            <w:tcBorders>
              <w:top w:val="single" w:sz="4" w:space="0" w:color="auto"/>
              <w:left w:val="nil"/>
              <w:bottom w:val="single" w:sz="4" w:space="0" w:color="auto"/>
              <w:right w:val="single" w:sz="4" w:space="0" w:color="auto"/>
            </w:tcBorders>
            <w:shd w:val="clear" w:color="000000" w:fill="D9D9D9"/>
            <w:vAlign w:val="bottom"/>
            <w:hideMark/>
          </w:tcPr>
          <w:p w14:paraId="1D69FF48" w14:textId="77777777" w:rsidR="001A24C3" w:rsidRPr="00B3367D" w:rsidRDefault="001A24C3" w:rsidP="00300963">
            <w:pPr>
              <w:jc w:val="cente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Nevyhnutnosť výmeny</w:t>
            </w:r>
          </w:p>
        </w:tc>
        <w:tc>
          <w:tcPr>
            <w:tcW w:w="850" w:type="dxa"/>
            <w:tcBorders>
              <w:top w:val="single" w:sz="4" w:space="0" w:color="auto"/>
              <w:left w:val="nil"/>
              <w:bottom w:val="single" w:sz="4" w:space="0" w:color="auto"/>
              <w:right w:val="single" w:sz="4" w:space="0" w:color="auto"/>
            </w:tcBorders>
            <w:shd w:val="clear" w:color="000000" w:fill="D9D9D9"/>
            <w:vAlign w:val="bottom"/>
            <w:hideMark/>
          </w:tcPr>
          <w:p w14:paraId="067323C8" w14:textId="77777777" w:rsidR="001A24C3" w:rsidRPr="00B3367D" w:rsidRDefault="001A24C3" w:rsidP="00300963">
            <w:pPr>
              <w:jc w:val="cente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Životnosť (vrátane výmeny)</w:t>
            </w:r>
          </w:p>
        </w:tc>
        <w:tc>
          <w:tcPr>
            <w:tcW w:w="851" w:type="dxa"/>
            <w:tcBorders>
              <w:top w:val="single" w:sz="4" w:space="0" w:color="auto"/>
              <w:left w:val="nil"/>
              <w:bottom w:val="single" w:sz="4" w:space="0" w:color="auto"/>
              <w:right w:val="nil"/>
            </w:tcBorders>
            <w:shd w:val="clear" w:color="000000" w:fill="D9D9D9"/>
            <w:vAlign w:val="bottom"/>
            <w:hideMark/>
          </w:tcPr>
          <w:p w14:paraId="0A307318" w14:textId="77777777" w:rsidR="001A24C3" w:rsidRPr="00B3367D" w:rsidRDefault="001A24C3" w:rsidP="00300963">
            <w:pPr>
              <w:jc w:val="cente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Zostávajúca životnosť v %*</w:t>
            </w:r>
          </w:p>
        </w:tc>
        <w:tc>
          <w:tcPr>
            <w:tcW w:w="992" w:type="dxa"/>
            <w:tcBorders>
              <w:top w:val="single" w:sz="4" w:space="0" w:color="auto"/>
              <w:left w:val="single" w:sz="8" w:space="0" w:color="auto"/>
              <w:bottom w:val="single" w:sz="4" w:space="0" w:color="auto"/>
              <w:right w:val="single" w:sz="4" w:space="0" w:color="auto"/>
            </w:tcBorders>
            <w:shd w:val="clear" w:color="000000" w:fill="D9D9D9"/>
            <w:vAlign w:val="bottom"/>
            <w:hideMark/>
          </w:tcPr>
          <w:p w14:paraId="7FBC2579" w14:textId="77777777" w:rsidR="001A24C3" w:rsidRPr="00B3367D" w:rsidRDefault="001A24C3" w:rsidP="00300963">
            <w:pPr>
              <w:jc w:val="cente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Zostatková hodnota</w:t>
            </w:r>
          </w:p>
        </w:tc>
      </w:tr>
      <w:tr w:rsidR="001A24C3" w:rsidRPr="00B3367D" w14:paraId="43451C2F"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6216769A"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Pozemky</w:t>
            </w:r>
          </w:p>
        </w:tc>
        <w:tc>
          <w:tcPr>
            <w:tcW w:w="1134" w:type="dxa"/>
            <w:tcBorders>
              <w:top w:val="nil"/>
              <w:left w:val="nil"/>
              <w:bottom w:val="single" w:sz="4" w:space="0" w:color="auto"/>
              <w:right w:val="single" w:sz="4" w:space="0" w:color="auto"/>
            </w:tcBorders>
            <w:shd w:val="clear" w:color="auto" w:fill="auto"/>
            <w:vAlign w:val="bottom"/>
            <w:hideMark/>
          </w:tcPr>
          <w:p w14:paraId="12D0DCDF"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nekonečná</w:t>
            </w:r>
          </w:p>
        </w:tc>
        <w:tc>
          <w:tcPr>
            <w:tcW w:w="1276" w:type="dxa"/>
            <w:tcBorders>
              <w:top w:val="nil"/>
              <w:left w:val="nil"/>
              <w:bottom w:val="single" w:sz="4" w:space="0" w:color="auto"/>
              <w:right w:val="single" w:sz="4" w:space="0" w:color="auto"/>
            </w:tcBorders>
            <w:shd w:val="clear" w:color="auto" w:fill="auto"/>
            <w:vAlign w:val="center"/>
            <w:hideMark/>
          </w:tcPr>
          <w:p w14:paraId="71B61234"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70E541C2"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vAlign w:val="bottom"/>
            <w:hideMark/>
          </w:tcPr>
          <w:p w14:paraId="2618ACD5"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nekonečná</w:t>
            </w:r>
          </w:p>
        </w:tc>
        <w:tc>
          <w:tcPr>
            <w:tcW w:w="851" w:type="dxa"/>
            <w:tcBorders>
              <w:top w:val="nil"/>
              <w:left w:val="nil"/>
              <w:bottom w:val="single" w:sz="4" w:space="0" w:color="auto"/>
              <w:right w:val="nil"/>
            </w:tcBorders>
            <w:shd w:val="clear" w:color="auto" w:fill="auto"/>
            <w:noWrap/>
            <w:vAlign w:val="bottom"/>
            <w:hideMark/>
          </w:tcPr>
          <w:p w14:paraId="1BAB3CE0"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nekonečná</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134B1A85"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1 590 900,00</w:t>
            </w:r>
          </w:p>
        </w:tc>
      </w:tr>
      <w:tr w:rsidR="001A24C3" w:rsidRPr="00B3367D" w14:paraId="24670873"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4D5715EF"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Mosty železobetónové</w:t>
            </w:r>
          </w:p>
        </w:tc>
        <w:tc>
          <w:tcPr>
            <w:tcW w:w="1134" w:type="dxa"/>
            <w:tcBorders>
              <w:top w:val="nil"/>
              <w:left w:val="nil"/>
              <w:bottom w:val="single" w:sz="4" w:space="0" w:color="auto"/>
              <w:right w:val="single" w:sz="4" w:space="0" w:color="auto"/>
            </w:tcBorders>
            <w:shd w:val="clear" w:color="auto" w:fill="auto"/>
            <w:noWrap/>
            <w:vAlign w:val="bottom"/>
            <w:hideMark/>
          </w:tcPr>
          <w:p w14:paraId="20F14A04"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100</w:t>
            </w:r>
          </w:p>
        </w:tc>
        <w:tc>
          <w:tcPr>
            <w:tcW w:w="1276" w:type="dxa"/>
            <w:tcBorders>
              <w:top w:val="nil"/>
              <w:left w:val="nil"/>
              <w:bottom w:val="single" w:sz="4" w:space="0" w:color="auto"/>
              <w:right w:val="single" w:sz="4" w:space="0" w:color="auto"/>
            </w:tcBorders>
            <w:shd w:val="clear" w:color="auto" w:fill="auto"/>
            <w:vAlign w:val="center"/>
            <w:hideMark/>
          </w:tcPr>
          <w:p w14:paraId="63B14D46"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23EE5DC2"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0A8FA177"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100</w:t>
            </w:r>
          </w:p>
        </w:tc>
        <w:tc>
          <w:tcPr>
            <w:tcW w:w="851" w:type="dxa"/>
            <w:tcBorders>
              <w:top w:val="nil"/>
              <w:left w:val="nil"/>
              <w:bottom w:val="single" w:sz="4" w:space="0" w:color="auto"/>
              <w:right w:val="nil"/>
            </w:tcBorders>
            <w:shd w:val="clear" w:color="auto" w:fill="auto"/>
            <w:noWrap/>
            <w:vAlign w:val="bottom"/>
            <w:hideMark/>
          </w:tcPr>
          <w:p w14:paraId="4331F85E"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73%</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6F121971"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0,00</w:t>
            </w:r>
          </w:p>
        </w:tc>
      </w:tr>
      <w:tr w:rsidR="001A24C3" w:rsidRPr="00B3367D" w14:paraId="3ADB9313"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FBBFC1F"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Mosty oceľové a priepusty</w:t>
            </w:r>
          </w:p>
        </w:tc>
        <w:tc>
          <w:tcPr>
            <w:tcW w:w="1134" w:type="dxa"/>
            <w:tcBorders>
              <w:top w:val="nil"/>
              <w:left w:val="nil"/>
              <w:bottom w:val="single" w:sz="4" w:space="0" w:color="auto"/>
              <w:right w:val="single" w:sz="4" w:space="0" w:color="auto"/>
            </w:tcBorders>
            <w:shd w:val="clear" w:color="auto" w:fill="auto"/>
            <w:noWrap/>
            <w:vAlign w:val="bottom"/>
            <w:hideMark/>
          </w:tcPr>
          <w:p w14:paraId="09C3EAA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80</w:t>
            </w:r>
          </w:p>
        </w:tc>
        <w:tc>
          <w:tcPr>
            <w:tcW w:w="1276" w:type="dxa"/>
            <w:tcBorders>
              <w:top w:val="nil"/>
              <w:left w:val="nil"/>
              <w:bottom w:val="single" w:sz="4" w:space="0" w:color="auto"/>
              <w:right w:val="single" w:sz="4" w:space="0" w:color="auto"/>
            </w:tcBorders>
            <w:shd w:val="clear" w:color="auto" w:fill="auto"/>
            <w:vAlign w:val="center"/>
            <w:hideMark/>
          </w:tcPr>
          <w:p w14:paraId="3C0E0E1E"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02405BA3"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7A081B4F"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80</w:t>
            </w:r>
          </w:p>
        </w:tc>
        <w:tc>
          <w:tcPr>
            <w:tcW w:w="851" w:type="dxa"/>
            <w:tcBorders>
              <w:top w:val="nil"/>
              <w:left w:val="nil"/>
              <w:bottom w:val="single" w:sz="4" w:space="0" w:color="auto"/>
              <w:right w:val="nil"/>
            </w:tcBorders>
            <w:shd w:val="clear" w:color="auto" w:fill="auto"/>
            <w:noWrap/>
            <w:vAlign w:val="bottom"/>
            <w:hideMark/>
          </w:tcPr>
          <w:p w14:paraId="240C8E27"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66%</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10B640AB"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20 863 584,93</w:t>
            </w:r>
          </w:p>
        </w:tc>
      </w:tr>
      <w:tr w:rsidR="001A24C3" w:rsidRPr="00B3367D" w14:paraId="5198D0F4"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4A6072A"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Tunely</w:t>
            </w:r>
          </w:p>
        </w:tc>
        <w:tc>
          <w:tcPr>
            <w:tcW w:w="1134" w:type="dxa"/>
            <w:tcBorders>
              <w:top w:val="nil"/>
              <w:left w:val="nil"/>
              <w:bottom w:val="single" w:sz="4" w:space="0" w:color="auto"/>
              <w:right w:val="single" w:sz="4" w:space="0" w:color="auto"/>
            </w:tcBorders>
            <w:shd w:val="clear" w:color="auto" w:fill="auto"/>
            <w:noWrap/>
            <w:vAlign w:val="bottom"/>
            <w:hideMark/>
          </w:tcPr>
          <w:p w14:paraId="406D7FC5"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80</w:t>
            </w:r>
          </w:p>
        </w:tc>
        <w:tc>
          <w:tcPr>
            <w:tcW w:w="1276" w:type="dxa"/>
            <w:tcBorders>
              <w:top w:val="nil"/>
              <w:left w:val="nil"/>
              <w:bottom w:val="single" w:sz="4" w:space="0" w:color="auto"/>
              <w:right w:val="single" w:sz="4" w:space="0" w:color="auto"/>
            </w:tcBorders>
            <w:shd w:val="clear" w:color="auto" w:fill="auto"/>
            <w:vAlign w:val="center"/>
            <w:hideMark/>
          </w:tcPr>
          <w:p w14:paraId="43CB742B"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6F347A06"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4B3A214E"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80</w:t>
            </w:r>
          </w:p>
        </w:tc>
        <w:tc>
          <w:tcPr>
            <w:tcW w:w="851" w:type="dxa"/>
            <w:tcBorders>
              <w:top w:val="nil"/>
              <w:left w:val="nil"/>
              <w:bottom w:val="single" w:sz="4" w:space="0" w:color="auto"/>
              <w:right w:val="nil"/>
            </w:tcBorders>
            <w:shd w:val="clear" w:color="auto" w:fill="auto"/>
            <w:noWrap/>
            <w:vAlign w:val="bottom"/>
            <w:hideMark/>
          </w:tcPr>
          <w:p w14:paraId="101C812F"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66%</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3094A55E"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0,00</w:t>
            </w:r>
          </w:p>
        </w:tc>
      </w:tr>
      <w:tr w:rsidR="001A24C3" w:rsidRPr="00B3367D" w14:paraId="02B8E5CA"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6E94F741"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Budovy</w:t>
            </w:r>
          </w:p>
        </w:tc>
        <w:tc>
          <w:tcPr>
            <w:tcW w:w="1134" w:type="dxa"/>
            <w:tcBorders>
              <w:top w:val="nil"/>
              <w:left w:val="nil"/>
              <w:bottom w:val="single" w:sz="4" w:space="0" w:color="auto"/>
              <w:right w:val="single" w:sz="4" w:space="0" w:color="auto"/>
            </w:tcBorders>
            <w:shd w:val="clear" w:color="auto" w:fill="auto"/>
            <w:noWrap/>
            <w:vAlign w:val="bottom"/>
            <w:hideMark/>
          </w:tcPr>
          <w:p w14:paraId="63DE77EA"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60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68AB3D3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0C589F28"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3EDE8724"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60</w:t>
            </w:r>
          </w:p>
        </w:tc>
        <w:tc>
          <w:tcPr>
            <w:tcW w:w="851" w:type="dxa"/>
            <w:tcBorders>
              <w:top w:val="nil"/>
              <w:left w:val="nil"/>
              <w:bottom w:val="single" w:sz="4" w:space="0" w:color="auto"/>
              <w:right w:val="nil"/>
            </w:tcBorders>
            <w:shd w:val="clear" w:color="auto" w:fill="auto"/>
            <w:noWrap/>
            <w:vAlign w:val="bottom"/>
            <w:hideMark/>
          </w:tcPr>
          <w:p w14:paraId="79F3401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55%</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03EEFEFD"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10 444,69</w:t>
            </w:r>
          </w:p>
        </w:tc>
      </w:tr>
      <w:tr w:rsidR="001A24C3" w:rsidRPr="00B3367D" w14:paraId="2F949442"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0A541A80"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Nástupištia</w:t>
            </w:r>
          </w:p>
        </w:tc>
        <w:tc>
          <w:tcPr>
            <w:tcW w:w="1134" w:type="dxa"/>
            <w:tcBorders>
              <w:top w:val="nil"/>
              <w:left w:val="nil"/>
              <w:bottom w:val="single" w:sz="4" w:space="0" w:color="auto"/>
              <w:right w:val="single" w:sz="4" w:space="0" w:color="auto"/>
            </w:tcBorders>
            <w:shd w:val="clear" w:color="auto" w:fill="auto"/>
            <w:noWrap/>
            <w:vAlign w:val="bottom"/>
            <w:hideMark/>
          </w:tcPr>
          <w:p w14:paraId="5789691B"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40</w:t>
            </w:r>
          </w:p>
        </w:tc>
        <w:tc>
          <w:tcPr>
            <w:tcW w:w="1276" w:type="dxa"/>
            <w:tcBorders>
              <w:top w:val="nil"/>
              <w:left w:val="nil"/>
              <w:bottom w:val="single" w:sz="4" w:space="0" w:color="auto"/>
              <w:right w:val="single" w:sz="4" w:space="0" w:color="auto"/>
            </w:tcBorders>
            <w:shd w:val="clear" w:color="auto" w:fill="auto"/>
            <w:vAlign w:val="center"/>
            <w:hideMark/>
          </w:tcPr>
          <w:p w14:paraId="4D922204"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7A2FCF9D"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173CA3E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40</w:t>
            </w:r>
          </w:p>
        </w:tc>
        <w:tc>
          <w:tcPr>
            <w:tcW w:w="851" w:type="dxa"/>
            <w:tcBorders>
              <w:top w:val="nil"/>
              <w:left w:val="nil"/>
              <w:bottom w:val="single" w:sz="4" w:space="0" w:color="auto"/>
              <w:right w:val="nil"/>
            </w:tcBorders>
            <w:shd w:val="clear" w:color="auto" w:fill="auto"/>
            <w:noWrap/>
            <w:vAlign w:val="bottom"/>
            <w:hideMark/>
          </w:tcPr>
          <w:p w14:paraId="0C68EE73"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33%</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30906C39"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988 529,73</w:t>
            </w:r>
          </w:p>
        </w:tc>
      </w:tr>
      <w:tr w:rsidR="001A24C3" w:rsidRPr="00B3367D" w14:paraId="21CF526D"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20881BD"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Cestné komunikácie</w:t>
            </w:r>
          </w:p>
        </w:tc>
        <w:tc>
          <w:tcPr>
            <w:tcW w:w="1134" w:type="dxa"/>
            <w:tcBorders>
              <w:top w:val="nil"/>
              <w:left w:val="nil"/>
              <w:bottom w:val="single" w:sz="4" w:space="0" w:color="auto"/>
              <w:right w:val="single" w:sz="4" w:space="0" w:color="auto"/>
            </w:tcBorders>
            <w:shd w:val="clear" w:color="auto" w:fill="auto"/>
            <w:noWrap/>
            <w:vAlign w:val="bottom"/>
            <w:hideMark/>
          </w:tcPr>
          <w:p w14:paraId="4B6620BA"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50</w:t>
            </w:r>
          </w:p>
        </w:tc>
        <w:tc>
          <w:tcPr>
            <w:tcW w:w="1276" w:type="dxa"/>
            <w:tcBorders>
              <w:top w:val="nil"/>
              <w:left w:val="nil"/>
              <w:bottom w:val="single" w:sz="4" w:space="0" w:color="auto"/>
              <w:right w:val="single" w:sz="4" w:space="0" w:color="auto"/>
            </w:tcBorders>
            <w:shd w:val="clear" w:color="auto" w:fill="auto"/>
            <w:vAlign w:val="center"/>
            <w:hideMark/>
          </w:tcPr>
          <w:p w14:paraId="28025D28"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7DBC9C5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47C6F3D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50</w:t>
            </w:r>
          </w:p>
        </w:tc>
        <w:tc>
          <w:tcPr>
            <w:tcW w:w="851" w:type="dxa"/>
            <w:tcBorders>
              <w:top w:val="nil"/>
              <w:left w:val="nil"/>
              <w:bottom w:val="single" w:sz="4" w:space="0" w:color="auto"/>
              <w:right w:val="nil"/>
            </w:tcBorders>
            <w:shd w:val="clear" w:color="auto" w:fill="auto"/>
            <w:noWrap/>
            <w:vAlign w:val="bottom"/>
            <w:hideMark/>
          </w:tcPr>
          <w:p w14:paraId="3685ACDD"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46%</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41457CBE"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779 421,74</w:t>
            </w:r>
          </w:p>
        </w:tc>
      </w:tr>
      <w:tr w:rsidR="001A24C3" w:rsidRPr="00B3367D" w14:paraId="1B17E2FA"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2999EB6D"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xml:space="preserve">Trať – železničný spodok </w:t>
            </w:r>
          </w:p>
        </w:tc>
        <w:tc>
          <w:tcPr>
            <w:tcW w:w="1134" w:type="dxa"/>
            <w:tcBorders>
              <w:top w:val="nil"/>
              <w:left w:val="nil"/>
              <w:bottom w:val="single" w:sz="4" w:space="0" w:color="auto"/>
              <w:right w:val="single" w:sz="4" w:space="0" w:color="auto"/>
            </w:tcBorders>
            <w:shd w:val="clear" w:color="auto" w:fill="auto"/>
            <w:noWrap/>
            <w:vAlign w:val="bottom"/>
            <w:hideMark/>
          </w:tcPr>
          <w:p w14:paraId="10E9878C"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50</w:t>
            </w:r>
          </w:p>
        </w:tc>
        <w:tc>
          <w:tcPr>
            <w:tcW w:w="1276" w:type="dxa"/>
            <w:tcBorders>
              <w:top w:val="nil"/>
              <w:left w:val="nil"/>
              <w:bottom w:val="single" w:sz="4" w:space="0" w:color="auto"/>
              <w:right w:val="single" w:sz="4" w:space="0" w:color="auto"/>
            </w:tcBorders>
            <w:shd w:val="clear" w:color="auto" w:fill="auto"/>
            <w:vAlign w:val="center"/>
            <w:hideMark/>
          </w:tcPr>
          <w:p w14:paraId="6A01BC41"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5FA004DE"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18E7B123"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50</w:t>
            </w:r>
          </w:p>
        </w:tc>
        <w:tc>
          <w:tcPr>
            <w:tcW w:w="851" w:type="dxa"/>
            <w:tcBorders>
              <w:top w:val="nil"/>
              <w:left w:val="nil"/>
              <w:bottom w:val="single" w:sz="4" w:space="0" w:color="auto"/>
              <w:right w:val="nil"/>
            </w:tcBorders>
            <w:shd w:val="clear" w:color="auto" w:fill="auto"/>
            <w:noWrap/>
            <w:vAlign w:val="bottom"/>
            <w:hideMark/>
          </w:tcPr>
          <w:p w14:paraId="0B834231"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46%</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458F074D"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7 059 162,29</w:t>
            </w:r>
          </w:p>
        </w:tc>
      </w:tr>
      <w:tr w:rsidR="001A24C3" w:rsidRPr="00B3367D" w14:paraId="2598BB75"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E6B47AA"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xml:space="preserve">Trať – železničný zvršok </w:t>
            </w:r>
          </w:p>
        </w:tc>
        <w:tc>
          <w:tcPr>
            <w:tcW w:w="1134" w:type="dxa"/>
            <w:tcBorders>
              <w:top w:val="nil"/>
              <w:left w:val="nil"/>
              <w:bottom w:val="single" w:sz="4" w:space="0" w:color="auto"/>
              <w:right w:val="single" w:sz="4" w:space="0" w:color="auto"/>
            </w:tcBorders>
            <w:shd w:val="clear" w:color="auto" w:fill="auto"/>
            <w:noWrap/>
            <w:vAlign w:val="bottom"/>
            <w:hideMark/>
          </w:tcPr>
          <w:p w14:paraId="74A94375"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1C8DE5B4"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0AB1EA28"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6670CA1C"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851" w:type="dxa"/>
            <w:tcBorders>
              <w:top w:val="nil"/>
              <w:left w:val="nil"/>
              <w:bottom w:val="single" w:sz="4" w:space="0" w:color="auto"/>
              <w:right w:val="nil"/>
            </w:tcBorders>
            <w:shd w:val="clear" w:color="auto" w:fill="auto"/>
            <w:noWrap/>
            <w:vAlign w:val="bottom"/>
            <w:hideMark/>
          </w:tcPr>
          <w:p w14:paraId="10067C40"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63D96230"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3 059 707,59</w:t>
            </w:r>
          </w:p>
        </w:tc>
      </w:tr>
      <w:tr w:rsidR="001A24C3" w:rsidRPr="00B3367D" w14:paraId="60FD9524"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6F5C402F"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Podporné a oporné múry, spevnenie svahu</w:t>
            </w:r>
          </w:p>
        </w:tc>
        <w:tc>
          <w:tcPr>
            <w:tcW w:w="1134" w:type="dxa"/>
            <w:tcBorders>
              <w:top w:val="nil"/>
              <w:left w:val="nil"/>
              <w:bottom w:val="single" w:sz="4" w:space="0" w:color="auto"/>
              <w:right w:val="single" w:sz="4" w:space="0" w:color="auto"/>
            </w:tcBorders>
            <w:shd w:val="clear" w:color="auto" w:fill="auto"/>
            <w:noWrap/>
            <w:vAlign w:val="bottom"/>
            <w:hideMark/>
          </w:tcPr>
          <w:p w14:paraId="41172C42"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50</w:t>
            </w:r>
          </w:p>
        </w:tc>
        <w:tc>
          <w:tcPr>
            <w:tcW w:w="1276" w:type="dxa"/>
            <w:tcBorders>
              <w:top w:val="nil"/>
              <w:left w:val="nil"/>
              <w:bottom w:val="single" w:sz="4" w:space="0" w:color="auto"/>
              <w:right w:val="single" w:sz="4" w:space="0" w:color="auto"/>
            </w:tcBorders>
            <w:shd w:val="clear" w:color="auto" w:fill="auto"/>
            <w:vAlign w:val="center"/>
            <w:hideMark/>
          </w:tcPr>
          <w:p w14:paraId="3109AA15"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5ACEB3C1"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46D2E1EF"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50</w:t>
            </w:r>
          </w:p>
        </w:tc>
        <w:tc>
          <w:tcPr>
            <w:tcW w:w="851" w:type="dxa"/>
            <w:tcBorders>
              <w:top w:val="nil"/>
              <w:left w:val="nil"/>
              <w:bottom w:val="single" w:sz="4" w:space="0" w:color="auto"/>
              <w:right w:val="nil"/>
            </w:tcBorders>
            <w:shd w:val="clear" w:color="auto" w:fill="auto"/>
            <w:noWrap/>
            <w:vAlign w:val="bottom"/>
            <w:hideMark/>
          </w:tcPr>
          <w:p w14:paraId="23325A1A"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46%</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5DB76DD6"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11 829 429,56</w:t>
            </w:r>
          </w:p>
        </w:tc>
      </w:tr>
      <w:tr w:rsidR="001A24C3" w:rsidRPr="00B3367D" w14:paraId="1124C544"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7B4F5D37"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Elektrifikácia – trakčné napájacie stanice, trakčné vedenia</w:t>
            </w:r>
          </w:p>
        </w:tc>
        <w:tc>
          <w:tcPr>
            <w:tcW w:w="1134" w:type="dxa"/>
            <w:tcBorders>
              <w:top w:val="nil"/>
              <w:left w:val="nil"/>
              <w:bottom w:val="single" w:sz="4" w:space="0" w:color="auto"/>
              <w:right w:val="single" w:sz="4" w:space="0" w:color="auto"/>
            </w:tcBorders>
            <w:shd w:val="clear" w:color="auto" w:fill="auto"/>
            <w:noWrap/>
            <w:vAlign w:val="bottom"/>
            <w:hideMark/>
          </w:tcPr>
          <w:p w14:paraId="2EB810B3"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66657778"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5DA52BA1"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2487B50E"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851" w:type="dxa"/>
            <w:tcBorders>
              <w:top w:val="nil"/>
              <w:left w:val="nil"/>
              <w:bottom w:val="single" w:sz="4" w:space="0" w:color="auto"/>
              <w:right w:val="nil"/>
            </w:tcBorders>
            <w:shd w:val="clear" w:color="auto" w:fill="auto"/>
            <w:noWrap/>
            <w:vAlign w:val="bottom"/>
            <w:hideMark/>
          </w:tcPr>
          <w:p w14:paraId="05398D57"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0BEFFF60"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2 581 967,39</w:t>
            </w:r>
          </w:p>
        </w:tc>
      </w:tr>
      <w:tr w:rsidR="001A24C3" w:rsidRPr="00B3367D" w14:paraId="3124E2C1"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4AB08ECE"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Oznamovacie a telekomunikačné zariadenia</w:t>
            </w:r>
          </w:p>
        </w:tc>
        <w:tc>
          <w:tcPr>
            <w:tcW w:w="1134" w:type="dxa"/>
            <w:tcBorders>
              <w:top w:val="nil"/>
              <w:left w:val="nil"/>
              <w:bottom w:val="single" w:sz="4" w:space="0" w:color="auto"/>
              <w:right w:val="single" w:sz="4" w:space="0" w:color="auto"/>
            </w:tcBorders>
            <w:shd w:val="clear" w:color="auto" w:fill="auto"/>
            <w:noWrap/>
            <w:vAlign w:val="bottom"/>
            <w:hideMark/>
          </w:tcPr>
          <w:p w14:paraId="72634B27"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20</w:t>
            </w:r>
          </w:p>
        </w:tc>
        <w:tc>
          <w:tcPr>
            <w:tcW w:w="1276" w:type="dxa"/>
            <w:tcBorders>
              <w:top w:val="nil"/>
              <w:left w:val="nil"/>
              <w:bottom w:val="single" w:sz="4" w:space="0" w:color="auto"/>
              <w:right w:val="single" w:sz="4" w:space="0" w:color="auto"/>
            </w:tcBorders>
            <w:shd w:val="clear" w:color="auto" w:fill="auto"/>
            <w:vAlign w:val="center"/>
            <w:hideMark/>
          </w:tcPr>
          <w:p w14:paraId="6646FA9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4C089AEB"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w:t>
            </w:r>
          </w:p>
        </w:tc>
        <w:tc>
          <w:tcPr>
            <w:tcW w:w="850" w:type="dxa"/>
            <w:tcBorders>
              <w:top w:val="nil"/>
              <w:left w:val="nil"/>
              <w:bottom w:val="single" w:sz="4" w:space="0" w:color="auto"/>
              <w:right w:val="single" w:sz="4" w:space="0" w:color="auto"/>
            </w:tcBorders>
            <w:shd w:val="clear" w:color="auto" w:fill="auto"/>
            <w:noWrap/>
            <w:vAlign w:val="bottom"/>
            <w:hideMark/>
          </w:tcPr>
          <w:p w14:paraId="012C1353"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40</w:t>
            </w:r>
          </w:p>
        </w:tc>
        <w:tc>
          <w:tcPr>
            <w:tcW w:w="851" w:type="dxa"/>
            <w:tcBorders>
              <w:top w:val="nil"/>
              <w:left w:val="nil"/>
              <w:bottom w:val="single" w:sz="4" w:space="0" w:color="auto"/>
              <w:right w:val="nil"/>
            </w:tcBorders>
            <w:shd w:val="clear" w:color="auto" w:fill="auto"/>
            <w:noWrap/>
            <w:vAlign w:val="bottom"/>
            <w:hideMark/>
          </w:tcPr>
          <w:p w14:paraId="12EE047D"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65%</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502EDEC4"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809 247,10</w:t>
            </w:r>
          </w:p>
        </w:tc>
      </w:tr>
      <w:tr w:rsidR="001A24C3" w:rsidRPr="00B3367D" w14:paraId="3623DAB4"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6F1BC44D"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Signalizačné a zabezpečovacie zariadenia</w:t>
            </w:r>
          </w:p>
        </w:tc>
        <w:tc>
          <w:tcPr>
            <w:tcW w:w="1134" w:type="dxa"/>
            <w:tcBorders>
              <w:top w:val="nil"/>
              <w:left w:val="nil"/>
              <w:bottom w:val="single" w:sz="4" w:space="0" w:color="auto"/>
              <w:right w:val="single" w:sz="4" w:space="0" w:color="auto"/>
            </w:tcBorders>
            <w:shd w:val="clear" w:color="auto" w:fill="auto"/>
            <w:noWrap/>
            <w:vAlign w:val="bottom"/>
            <w:hideMark/>
          </w:tcPr>
          <w:p w14:paraId="1746B50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20</w:t>
            </w:r>
          </w:p>
        </w:tc>
        <w:tc>
          <w:tcPr>
            <w:tcW w:w="1276" w:type="dxa"/>
            <w:tcBorders>
              <w:top w:val="nil"/>
              <w:left w:val="nil"/>
              <w:bottom w:val="single" w:sz="4" w:space="0" w:color="auto"/>
              <w:right w:val="single" w:sz="4" w:space="0" w:color="auto"/>
            </w:tcBorders>
            <w:shd w:val="clear" w:color="auto" w:fill="auto"/>
            <w:vAlign w:val="center"/>
            <w:hideMark/>
          </w:tcPr>
          <w:p w14:paraId="0E9BE5E0"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0DCE806B"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w:t>
            </w:r>
          </w:p>
        </w:tc>
        <w:tc>
          <w:tcPr>
            <w:tcW w:w="850" w:type="dxa"/>
            <w:tcBorders>
              <w:top w:val="nil"/>
              <w:left w:val="nil"/>
              <w:bottom w:val="single" w:sz="4" w:space="0" w:color="auto"/>
              <w:right w:val="single" w:sz="4" w:space="0" w:color="auto"/>
            </w:tcBorders>
            <w:shd w:val="clear" w:color="auto" w:fill="auto"/>
            <w:noWrap/>
            <w:vAlign w:val="bottom"/>
            <w:hideMark/>
          </w:tcPr>
          <w:p w14:paraId="46214BA2"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40</w:t>
            </w:r>
          </w:p>
        </w:tc>
        <w:tc>
          <w:tcPr>
            <w:tcW w:w="851" w:type="dxa"/>
            <w:tcBorders>
              <w:top w:val="nil"/>
              <w:left w:val="nil"/>
              <w:bottom w:val="single" w:sz="4" w:space="0" w:color="auto"/>
              <w:right w:val="nil"/>
            </w:tcBorders>
            <w:shd w:val="clear" w:color="auto" w:fill="auto"/>
            <w:noWrap/>
            <w:vAlign w:val="bottom"/>
            <w:hideMark/>
          </w:tcPr>
          <w:p w14:paraId="065F59A0"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65%</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12FE0573"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522 400,64</w:t>
            </w:r>
          </w:p>
        </w:tc>
      </w:tr>
      <w:tr w:rsidR="001A24C3" w:rsidRPr="00B3367D" w14:paraId="6B0B52F5"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88A01A3"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Zariadenia energetiky a elektrotechniky</w:t>
            </w:r>
          </w:p>
        </w:tc>
        <w:tc>
          <w:tcPr>
            <w:tcW w:w="1134" w:type="dxa"/>
            <w:tcBorders>
              <w:top w:val="nil"/>
              <w:left w:val="nil"/>
              <w:bottom w:val="single" w:sz="4" w:space="0" w:color="auto"/>
              <w:right w:val="single" w:sz="4" w:space="0" w:color="auto"/>
            </w:tcBorders>
            <w:shd w:val="clear" w:color="auto" w:fill="auto"/>
            <w:noWrap/>
            <w:vAlign w:val="bottom"/>
            <w:hideMark/>
          </w:tcPr>
          <w:p w14:paraId="016D8051"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60E05C72"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1A476406"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3FD4FA9E"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851" w:type="dxa"/>
            <w:tcBorders>
              <w:top w:val="nil"/>
              <w:left w:val="nil"/>
              <w:bottom w:val="single" w:sz="4" w:space="0" w:color="auto"/>
              <w:right w:val="nil"/>
            </w:tcBorders>
            <w:shd w:val="clear" w:color="auto" w:fill="auto"/>
            <w:noWrap/>
            <w:vAlign w:val="bottom"/>
            <w:hideMark/>
          </w:tcPr>
          <w:p w14:paraId="689F6154"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4565BCDD"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0,00</w:t>
            </w:r>
          </w:p>
        </w:tc>
      </w:tr>
      <w:tr w:rsidR="001A24C3" w:rsidRPr="00B3367D" w14:paraId="39235776" w14:textId="77777777" w:rsidTr="00300963">
        <w:trPr>
          <w:trHeight w:val="204"/>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2C7A77B1"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xml:space="preserve">Stroje a zariadenia </w:t>
            </w:r>
          </w:p>
        </w:tc>
        <w:tc>
          <w:tcPr>
            <w:tcW w:w="1134" w:type="dxa"/>
            <w:tcBorders>
              <w:top w:val="nil"/>
              <w:left w:val="nil"/>
              <w:bottom w:val="single" w:sz="4" w:space="0" w:color="auto"/>
              <w:right w:val="single" w:sz="4" w:space="0" w:color="auto"/>
            </w:tcBorders>
            <w:shd w:val="clear" w:color="auto" w:fill="auto"/>
            <w:noWrap/>
            <w:vAlign w:val="bottom"/>
            <w:hideMark/>
          </w:tcPr>
          <w:p w14:paraId="714E905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6E04985F"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41566009"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29AF05EC"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851" w:type="dxa"/>
            <w:tcBorders>
              <w:top w:val="nil"/>
              <w:left w:val="nil"/>
              <w:bottom w:val="single" w:sz="4" w:space="0" w:color="auto"/>
              <w:right w:val="nil"/>
            </w:tcBorders>
            <w:shd w:val="clear" w:color="auto" w:fill="auto"/>
            <w:noWrap/>
            <w:vAlign w:val="bottom"/>
            <w:hideMark/>
          </w:tcPr>
          <w:p w14:paraId="3A83019B"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4EE16D1A"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0,00</w:t>
            </w:r>
          </w:p>
        </w:tc>
      </w:tr>
      <w:tr w:rsidR="001A24C3" w:rsidRPr="00B3367D" w14:paraId="2C26028F" w14:textId="77777777" w:rsidTr="00300963">
        <w:trPr>
          <w:trHeight w:val="216"/>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1BDF1B9E"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Protihlukové a iné prvky ochrany životného prostredia</w:t>
            </w:r>
          </w:p>
        </w:tc>
        <w:tc>
          <w:tcPr>
            <w:tcW w:w="1134" w:type="dxa"/>
            <w:tcBorders>
              <w:top w:val="nil"/>
              <w:left w:val="nil"/>
              <w:bottom w:val="single" w:sz="4" w:space="0" w:color="auto"/>
              <w:right w:val="single" w:sz="4" w:space="0" w:color="auto"/>
            </w:tcBorders>
            <w:shd w:val="clear" w:color="auto" w:fill="auto"/>
            <w:noWrap/>
            <w:vAlign w:val="bottom"/>
            <w:hideMark/>
          </w:tcPr>
          <w:p w14:paraId="59333664"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1276" w:type="dxa"/>
            <w:tcBorders>
              <w:top w:val="nil"/>
              <w:left w:val="nil"/>
              <w:bottom w:val="single" w:sz="4" w:space="0" w:color="auto"/>
              <w:right w:val="single" w:sz="4" w:space="0" w:color="auto"/>
            </w:tcBorders>
            <w:shd w:val="clear" w:color="auto" w:fill="auto"/>
            <w:vAlign w:val="center"/>
            <w:hideMark/>
          </w:tcPr>
          <w:p w14:paraId="1CBA8ACC"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3B6B803D"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0</w:t>
            </w:r>
          </w:p>
        </w:tc>
        <w:tc>
          <w:tcPr>
            <w:tcW w:w="850" w:type="dxa"/>
            <w:tcBorders>
              <w:top w:val="nil"/>
              <w:left w:val="nil"/>
              <w:bottom w:val="single" w:sz="4" w:space="0" w:color="auto"/>
              <w:right w:val="single" w:sz="4" w:space="0" w:color="auto"/>
            </w:tcBorders>
            <w:shd w:val="clear" w:color="auto" w:fill="auto"/>
            <w:noWrap/>
            <w:vAlign w:val="bottom"/>
            <w:hideMark/>
          </w:tcPr>
          <w:p w14:paraId="26236C9E"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30</w:t>
            </w:r>
          </w:p>
        </w:tc>
        <w:tc>
          <w:tcPr>
            <w:tcW w:w="851" w:type="dxa"/>
            <w:tcBorders>
              <w:top w:val="nil"/>
              <w:left w:val="nil"/>
              <w:bottom w:val="single" w:sz="4" w:space="0" w:color="auto"/>
              <w:right w:val="nil"/>
            </w:tcBorders>
            <w:shd w:val="clear" w:color="auto" w:fill="auto"/>
            <w:noWrap/>
            <w:vAlign w:val="bottom"/>
            <w:hideMark/>
          </w:tcPr>
          <w:p w14:paraId="380AB5AD" w14:textId="77777777" w:rsidR="001A24C3" w:rsidRPr="00B3367D" w:rsidRDefault="001A24C3" w:rsidP="00300963">
            <w:pPr>
              <w:jc w:val="center"/>
              <w:rPr>
                <w:rFonts w:ascii="Arial" w:eastAsia="Times New Roman" w:hAnsi="Arial" w:cs="Arial"/>
                <w:sz w:val="12"/>
                <w:szCs w:val="12"/>
                <w:lang w:eastAsia="sk-SK"/>
              </w:rPr>
            </w:pPr>
            <w:r w:rsidRPr="00B3367D">
              <w:rPr>
                <w:rFonts w:ascii="Arial" w:eastAsia="Times New Roman" w:hAnsi="Arial" w:cs="Arial"/>
                <w:sz w:val="12"/>
                <w:szCs w:val="12"/>
                <w:lang w:eastAsia="sk-SK"/>
              </w:rPr>
              <w:t>10%</w:t>
            </w:r>
          </w:p>
        </w:tc>
        <w:tc>
          <w:tcPr>
            <w:tcW w:w="992" w:type="dxa"/>
            <w:tcBorders>
              <w:top w:val="nil"/>
              <w:left w:val="single" w:sz="8" w:space="0" w:color="auto"/>
              <w:bottom w:val="single" w:sz="4" w:space="0" w:color="auto"/>
              <w:right w:val="single" w:sz="4" w:space="0" w:color="auto"/>
            </w:tcBorders>
            <w:shd w:val="clear" w:color="000000" w:fill="FFFFCC"/>
            <w:noWrap/>
            <w:vAlign w:val="bottom"/>
            <w:hideMark/>
          </w:tcPr>
          <w:p w14:paraId="0DE8843E" w14:textId="77777777" w:rsidR="001A24C3" w:rsidRPr="00B3367D" w:rsidRDefault="001A24C3" w:rsidP="00300963">
            <w:pPr>
              <w:jc w:val="right"/>
              <w:rPr>
                <w:rFonts w:ascii="Arial" w:eastAsia="Times New Roman" w:hAnsi="Arial" w:cs="Arial"/>
                <w:sz w:val="12"/>
                <w:szCs w:val="12"/>
                <w:lang w:eastAsia="sk-SK"/>
              </w:rPr>
            </w:pPr>
            <w:r w:rsidRPr="00B3367D">
              <w:rPr>
                <w:rFonts w:ascii="Arial" w:eastAsia="Times New Roman" w:hAnsi="Arial" w:cs="Arial"/>
                <w:sz w:val="12"/>
                <w:szCs w:val="12"/>
                <w:lang w:eastAsia="sk-SK"/>
              </w:rPr>
              <w:t>584 153,28</w:t>
            </w:r>
          </w:p>
        </w:tc>
      </w:tr>
      <w:tr w:rsidR="001A24C3" w:rsidRPr="00B3367D" w14:paraId="604A57BE" w14:textId="77777777" w:rsidTr="00300963">
        <w:trPr>
          <w:trHeight w:val="216"/>
        </w:trPr>
        <w:tc>
          <w:tcPr>
            <w:tcW w:w="3402" w:type="dxa"/>
            <w:tcBorders>
              <w:top w:val="nil"/>
              <w:left w:val="single" w:sz="4" w:space="0" w:color="auto"/>
              <w:bottom w:val="single" w:sz="4" w:space="0" w:color="auto"/>
              <w:right w:val="single" w:sz="4" w:space="0" w:color="auto"/>
            </w:tcBorders>
            <w:shd w:val="clear" w:color="auto" w:fill="auto"/>
            <w:noWrap/>
            <w:vAlign w:val="bottom"/>
            <w:hideMark/>
          </w:tcPr>
          <w:p w14:paraId="493CFF17" w14:textId="77777777" w:rsidR="001A24C3" w:rsidRPr="00B3367D" w:rsidRDefault="001A24C3" w:rsidP="00300963">
            <w:pPr>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Zostatková hodnota</w:t>
            </w:r>
          </w:p>
        </w:tc>
        <w:tc>
          <w:tcPr>
            <w:tcW w:w="1134" w:type="dxa"/>
            <w:tcBorders>
              <w:top w:val="nil"/>
              <w:left w:val="nil"/>
              <w:bottom w:val="single" w:sz="4" w:space="0" w:color="auto"/>
              <w:right w:val="single" w:sz="4" w:space="0" w:color="auto"/>
            </w:tcBorders>
            <w:shd w:val="clear" w:color="auto" w:fill="auto"/>
            <w:noWrap/>
            <w:vAlign w:val="bottom"/>
            <w:hideMark/>
          </w:tcPr>
          <w:p w14:paraId="4412F8B6"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w:t>
            </w:r>
          </w:p>
        </w:tc>
        <w:tc>
          <w:tcPr>
            <w:tcW w:w="1276" w:type="dxa"/>
            <w:tcBorders>
              <w:top w:val="nil"/>
              <w:left w:val="nil"/>
              <w:bottom w:val="single" w:sz="4" w:space="0" w:color="auto"/>
              <w:right w:val="single" w:sz="4" w:space="0" w:color="auto"/>
            </w:tcBorders>
            <w:shd w:val="clear" w:color="auto" w:fill="auto"/>
            <w:noWrap/>
            <w:vAlign w:val="bottom"/>
            <w:hideMark/>
          </w:tcPr>
          <w:p w14:paraId="26DC326A"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14:paraId="6886CD3E"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w:t>
            </w:r>
          </w:p>
        </w:tc>
        <w:tc>
          <w:tcPr>
            <w:tcW w:w="850" w:type="dxa"/>
            <w:tcBorders>
              <w:top w:val="nil"/>
              <w:left w:val="nil"/>
              <w:bottom w:val="single" w:sz="4" w:space="0" w:color="auto"/>
              <w:right w:val="single" w:sz="4" w:space="0" w:color="auto"/>
            </w:tcBorders>
            <w:shd w:val="clear" w:color="auto" w:fill="auto"/>
            <w:noWrap/>
            <w:vAlign w:val="bottom"/>
            <w:hideMark/>
          </w:tcPr>
          <w:p w14:paraId="167CC155"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w:t>
            </w:r>
          </w:p>
        </w:tc>
        <w:tc>
          <w:tcPr>
            <w:tcW w:w="851" w:type="dxa"/>
            <w:tcBorders>
              <w:top w:val="nil"/>
              <w:left w:val="nil"/>
              <w:bottom w:val="single" w:sz="4" w:space="0" w:color="auto"/>
              <w:right w:val="nil"/>
            </w:tcBorders>
            <w:shd w:val="clear" w:color="auto" w:fill="auto"/>
            <w:noWrap/>
            <w:vAlign w:val="bottom"/>
            <w:hideMark/>
          </w:tcPr>
          <w:p w14:paraId="4B118C61" w14:textId="77777777" w:rsidR="001A24C3" w:rsidRPr="00B3367D" w:rsidRDefault="001A24C3" w:rsidP="00300963">
            <w:pPr>
              <w:rPr>
                <w:rFonts w:ascii="Arial" w:eastAsia="Times New Roman" w:hAnsi="Arial" w:cs="Arial"/>
                <w:sz w:val="12"/>
                <w:szCs w:val="12"/>
                <w:lang w:eastAsia="sk-SK"/>
              </w:rPr>
            </w:pPr>
            <w:r w:rsidRPr="00B3367D">
              <w:rPr>
                <w:rFonts w:ascii="Arial" w:eastAsia="Times New Roman" w:hAnsi="Arial" w:cs="Arial"/>
                <w:sz w:val="12"/>
                <w:szCs w:val="12"/>
                <w:lang w:eastAsia="sk-SK"/>
              </w:rPr>
              <w:t> </w:t>
            </w:r>
          </w:p>
        </w:tc>
        <w:tc>
          <w:tcPr>
            <w:tcW w:w="992" w:type="dxa"/>
            <w:tcBorders>
              <w:top w:val="single" w:sz="8" w:space="0" w:color="auto"/>
              <w:left w:val="single" w:sz="8" w:space="0" w:color="auto"/>
              <w:bottom w:val="single" w:sz="8" w:space="0" w:color="auto"/>
              <w:right w:val="single" w:sz="8" w:space="0" w:color="auto"/>
            </w:tcBorders>
            <w:shd w:val="clear" w:color="000000" w:fill="FFFFCC"/>
            <w:noWrap/>
            <w:vAlign w:val="bottom"/>
            <w:hideMark/>
          </w:tcPr>
          <w:p w14:paraId="7B434F69" w14:textId="77777777" w:rsidR="001A24C3" w:rsidRPr="00B3367D" w:rsidRDefault="001A24C3" w:rsidP="00300963">
            <w:pPr>
              <w:jc w:val="right"/>
              <w:rPr>
                <w:rFonts w:ascii="Arial" w:eastAsia="Times New Roman" w:hAnsi="Arial" w:cs="Arial"/>
                <w:b/>
                <w:bCs/>
                <w:sz w:val="12"/>
                <w:szCs w:val="12"/>
                <w:lang w:eastAsia="sk-SK"/>
              </w:rPr>
            </w:pPr>
            <w:r w:rsidRPr="00B3367D">
              <w:rPr>
                <w:rFonts w:ascii="Arial" w:eastAsia="Times New Roman" w:hAnsi="Arial" w:cs="Arial"/>
                <w:b/>
                <w:bCs/>
                <w:sz w:val="12"/>
                <w:szCs w:val="12"/>
                <w:lang w:eastAsia="sk-SK"/>
              </w:rPr>
              <w:t>50 678 948,95</w:t>
            </w:r>
          </w:p>
        </w:tc>
      </w:tr>
    </w:tbl>
    <w:p w14:paraId="1F1503BE" w14:textId="71227D47" w:rsidR="001A24C3" w:rsidRDefault="001A24C3" w:rsidP="001A24C3">
      <w:pPr>
        <w:pStyle w:val="TEXTkOICE"/>
        <w:ind w:left="0"/>
        <w:rPr>
          <w:rFonts w:asciiTheme="minorHAnsi" w:eastAsiaTheme="minorHAnsi" w:hAnsiTheme="minorHAnsi" w:cstheme="minorBidi"/>
          <w:b/>
          <w:iCs/>
          <w:color w:val="C00000"/>
          <w:sz w:val="20"/>
          <w:szCs w:val="18"/>
          <w:lang w:eastAsia="en-US" w:bidi="ar-SA"/>
        </w:rPr>
      </w:pPr>
    </w:p>
    <w:p w14:paraId="532CEF06" w14:textId="7DDA981C" w:rsidR="008B078A" w:rsidRDefault="008B078A" w:rsidP="001A24C3">
      <w:pPr>
        <w:pStyle w:val="TEXTkOICE"/>
        <w:ind w:left="0"/>
        <w:rPr>
          <w:rFonts w:asciiTheme="minorHAnsi" w:eastAsiaTheme="minorHAnsi" w:hAnsiTheme="minorHAnsi" w:cstheme="minorBidi"/>
          <w:b/>
          <w:iCs/>
          <w:color w:val="C00000"/>
          <w:sz w:val="20"/>
          <w:szCs w:val="18"/>
          <w:lang w:eastAsia="en-US" w:bidi="ar-SA"/>
        </w:rPr>
      </w:pPr>
    </w:p>
    <w:p w14:paraId="460A6FB2" w14:textId="4B5361A7" w:rsidR="008B078A" w:rsidRDefault="008B078A" w:rsidP="001A24C3">
      <w:pPr>
        <w:pStyle w:val="TEXTkOICE"/>
        <w:ind w:left="0"/>
        <w:rPr>
          <w:rFonts w:asciiTheme="minorHAnsi" w:eastAsiaTheme="minorHAnsi" w:hAnsiTheme="minorHAnsi" w:cstheme="minorBidi"/>
          <w:b/>
          <w:iCs/>
          <w:color w:val="C00000"/>
          <w:sz w:val="20"/>
          <w:szCs w:val="18"/>
          <w:lang w:eastAsia="en-US" w:bidi="ar-SA"/>
        </w:rPr>
      </w:pPr>
    </w:p>
    <w:p w14:paraId="58D622AD" w14:textId="77777777" w:rsidR="008B078A" w:rsidRPr="0068683B" w:rsidRDefault="008B078A" w:rsidP="001A24C3">
      <w:pPr>
        <w:pStyle w:val="TEXTkOICE"/>
        <w:ind w:left="0"/>
        <w:rPr>
          <w:rFonts w:asciiTheme="minorHAnsi" w:eastAsiaTheme="minorHAnsi" w:hAnsiTheme="minorHAnsi" w:cstheme="minorBidi"/>
          <w:b/>
          <w:iCs/>
          <w:color w:val="C00000"/>
          <w:sz w:val="20"/>
          <w:szCs w:val="18"/>
          <w:lang w:eastAsia="en-US" w:bidi="ar-SA"/>
        </w:rPr>
      </w:pPr>
    </w:p>
    <w:p w14:paraId="043D6333" w14:textId="77777777" w:rsidR="001A24C3" w:rsidRPr="00006CFE" w:rsidRDefault="001A24C3" w:rsidP="00006CFE">
      <w:pPr>
        <w:pStyle w:val="Nadpis41"/>
        <w:ind w:left="851" w:hanging="851"/>
        <w:rPr>
          <w:color w:val="auto"/>
          <w:sz w:val="24"/>
          <w:szCs w:val="24"/>
        </w:rPr>
      </w:pPr>
      <w:bookmarkStart w:id="338" w:name="_Toc88653013"/>
      <w:r w:rsidRPr="00006CFE">
        <w:rPr>
          <w:color w:val="auto"/>
          <w:sz w:val="24"/>
          <w:szCs w:val="24"/>
        </w:rPr>
        <w:lastRenderedPageBreak/>
        <w:t>Výstupy finančnej analýzy</w:t>
      </w:r>
      <w:bookmarkEnd w:id="338"/>
    </w:p>
    <w:p w14:paraId="42134078" w14:textId="77777777" w:rsidR="001A24C3" w:rsidRDefault="001A24C3" w:rsidP="001A24C3">
      <w:pPr>
        <w:pStyle w:val="Koice4"/>
        <w:spacing w:after="240"/>
        <w:ind w:left="0"/>
      </w:pPr>
      <w:bookmarkStart w:id="339" w:name="_Toc88653014"/>
      <w:r w:rsidRPr="003207EB">
        <w:t>Vnútorné výnosové percento vs. diskontná sadzba</w:t>
      </w:r>
      <w:bookmarkEnd w:id="339"/>
    </w:p>
    <w:p w14:paraId="779D041F" w14:textId="77777777" w:rsidR="001A24C3" w:rsidRDefault="001A24C3" w:rsidP="001A24C3">
      <w:pPr>
        <w:pStyle w:val="TEXTkOICE"/>
        <w:ind w:left="0"/>
      </w:pPr>
      <w:bookmarkStart w:id="340" w:name="_Toc83677933"/>
      <w:r>
        <w:t>Na začiatku kapitoly o CBA sm</w:t>
      </w:r>
      <w:r w:rsidRPr="000E1FFA">
        <w:t>e spomínali, že finančná analýza sa vykonáva v stálych cenách bez zarátania inflácie</w:t>
      </w:r>
      <w:r>
        <w:t xml:space="preserve"> (to znamená, že náklady a príjmy sú modelované počas referenčného obdobia bez inflácie, avšak stavebné náklady počas výstavby môžu byť upravované cez položku „valorizácia“) a prípadne zvyšovanie nákladov alebo príjmov (počas referenčného obdobia) je spôsobené nárastom výkonov z hľadiska objemu prác a nie dopytom ťahanou infláciou</w:t>
      </w:r>
      <w:r w:rsidRPr="000E1FFA">
        <w:t>.</w:t>
      </w:r>
    </w:p>
    <w:p w14:paraId="5DB412DE" w14:textId="77777777" w:rsidR="001A24C3" w:rsidRDefault="001A24C3" w:rsidP="001A24C3">
      <w:pPr>
        <w:pStyle w:val="TEXTkOICE"/>
        <w:ind w:left="0"/>
      </w:pPr>
      <w:r w:rsidRPr="000E1FFA">
        <w:t xml:space="preserve"> </w:t>
      </w:r>
    </w:p>
    <w:p w14:paraId="6044C75B" w14:textId="77777777" w:rsidR="001A24C3" w:rsidRDefault="001A24C3" w:rsidP="001A24C3">
      <w:pPr>
        <w:pStyle w:val="TEXTkOICE"/>
        <w:ind w:left="0"/>
      </w:pPr>
      <w:r w:rsidRPr="000E1FFA">
        <w:t xml:space="preserve">Napriek tomu je potrebné posúdiť výnosnosť alternatívnej investície, do ktorej by sme mohli prostriedky na realizáciu projektu investovať, ak by sme ich neinvestovali do projektu. </w:t>
      </w:r>
    </w:p>
    <w:p w14:paraId="49A0DFCD" w14:textId="77777777" w:rsidR="001A24C3" w:rsidRDefault="001A24C3" w:rsidP="001A24C3">
      <w:pPr>
        <w:pStyle w:val="TEXTkOICE"/>
        <w:ind w:left="0"/>
      </w:pPr>
    </w:p>
    <w:p w14:paraId="3BB68AF9" w14:textId="77777777" w:rsidR="001A24C3" w:rsidRDefault="001A24C3" w:rsidP="001A24C3">
      <w:pPr>
        <w:pStyle w:val="TEXTkOICE"/>
        <w:ind w:left="0"/>
      </w:pPr>
      <w:r w:rsidRPr="000E1FFA">
        <w:t>Na tento účel</w:t>
      </w:r>
      <w:r>
        <w:t>,</w:t>
      </w:r>
      <w:r w:rsidRPr="000E1FFA">
        <w:t xml:space="preserve"> resp. vyjadrenie hodnoty alternatívneho výnosu, ktorý je zároveň aj nákladom obetovaných príležitostí, je</w:t>
      </w:r>
      <w:r>
        <w:t xml:space="preserve"> využívaná</w:t>
      </w:r>
      <w:r w:rsidRPr="000E1FFA">
        <w:t xml:space="preserve"> diskontná sadzba.</w:t>
      </w:r>
    </w:p>
    <w:p w14:paraId="64FE4194" w14:textId="77777777" w:rsidR="001A24C3" w:rsidRDefault="001A24C3" w:rsidP="001A24C3">
      <w:pPr>
        <w:pStyle w:val="TEXTkOICE"/>
        <w:ind w:left="0"/>
      </w:pPr>
    </w:p>
    <w:p w14:paraId="0926C3C7" w14:textId="77777777" w:rsidR="001A24C3" w:rsidRDefault="001A24C3" w:rsidP="001A24C3">
      <w:pPr>
        <w:pStyle w:val="TEXTkOICE"/>
        <w:ind w:left="0"/>
      </w:pPr>
      <w:r w:rsidRPr="000E1FFA">
        <w:t xml:space="preserve">V prípade, že chceme projekt považovať za vhodný, musí pri zohľadnení časovej hodnoty peňazí projekt vygenerovať väčšie výnosové </w:t>
      </w:r>
      <w:r>
        <w:t>percento</w:t>
      </w:r>
      <w:r w:rsidRPr="000E1FFA">
        <w:t xml:space="preserve"> ako je diskontná sadzba. </w:t>
      </w:r>
      <w:r>
        <w:t>V prípade,</w:t>
      </w:r>
      <w:r w:rsidRPr="000E1FFA">
        <w:t xml:space="preserve"> ak má byť projekt financovaný z nenávratného finančného príspevku, tak vnútorné výnosové </w:t>
      </w:r>
      <w:r>
        <w:t>percento</w:t>
      </w:r>
      <w:r w:rsidRPr="000E1FFA">
        <w:t xml:space="preserve"> (FRR) musí byť menšie ako diskontná sadzba,</w:t>
      </w:r>
      <w:r>
        <w:t xml:space="preserve"> resp. ho ani MS Excel nedokáže vypočítať,</w:t>
      </w:r>
      <w:r w:rsidRPr="000E1FFA">
        <w:t xml:space="preserve"> aby tým vznikla potreba jeho dofinancovania</w:t>
      </w:r>
      <w:r>
        <w:t>. S</w:t>
      </w:r>
      <w:r w:rsidRPr="000E1FFA">
        <w:t xml:space="preserve">amozrejme to platí iba v prípade, že projekt je spoločenský prínosný. Nižšie uvedený výsledok potvrdil </w:t>
      </w:r>
      <w:r>
        <w:t xml:space="preserve">nutnosť financovania </w:t>
      </w:r>
      <w:r w:rsidRPr="000E1FFA">
        <w:t>realizácie projektu z </w:t>
      </w:r>
      <w:r>
        <w:t>n</w:t>
      </w:r>
      <w:r w:rsidRPr="000E1FFA">
        <w:t>enávratného finančného príspevk</w:t>
      </w:r>
      <w:r>
        <w:t>u.</w:t>
      </w:r>
    </w:p>
    <w:p w14:paraId="15C34C18" w14:textId="218CE3A6" w:rsidR="001A24C3" w:rsidRDefault="001A24C3" w:rsidP="00907AA6">
      <w:pPr>
        <w:pStyle w:val="Popis"/>
        <w:keepNext/>
        <w:jc w:val="both"/>
      </w:pPr>
      <w:r>
        <w:t xml:space="preserve">Tabuľka </w:t>
      </w:r>
      <w:r w:rsidR="008B078A">
        <w:rPr>
          <w:noProof/>
        </w:rPr>
        <w:t>62</w:t>
      </w:r>
      <w:r>
        <w:tab/>
      </w:r>
      <w:r w:rsidRPr="00B47CCC">
        <w:t>Výstupy finančnej analýzy (FRR)</w:t>
      </w:r>
      <w:bookmarkEnd w:id="340"/>
    </w:p>
    <w:tbl>
      <w:tblPr>
        <w:tblW w:w="6300" w:type="dxa"/>
        <w:tblCellMar>
          <w:left w:w="70" w:type="dxa"/>
          <w:right w:w="70" w:type="dxa"/>
        </w:tblCellMar>
        <w:tblLook w:val="04A0" w:firstRow="1" w:lastRow="0" w:firstColumn="1" w:lastColumn="0" w:noHBand="0" w:noVBand="1"/>
      </w:tblPr>
      <w:tblGrid>
        <w:gridCol w:w="4820"/>
        <w:gridCol w:w="1480"/>
      </w:tblGrid>
      <w:tr w:rsidR="001A24C3" w:rsidRPr="00E45533" w14:paraId="198AE596" w14:textId="77777777" w:rsidTr="00300963">
        <w:trPr>
          <w:trHeight w:val="204"/>
        </w:trPr>
        <w:tc>
          <w:tcPr>
            <w:tcW w:w="4820" w:type="dxa"/>
            <w:tcBorders>
              <w:top w:val="single" w:sz="4" w:space="0" w:color="auto"/>
              <w:left w:val="single" w:sz="4" w:space="0" w:color="auto"/>
              <w:bottom w:val="single" w:sz="4" w:space="0" w:color="auto"/>
              <w:right w:val="nil"/>
            </w:tcBorders>
            <w:shd w:val="clear" w:color="auto" w:fill="auto"/>
            <w:noWrap/>
            <w:vAlign w:val="bottom"/>
            <w:hideMark/>
          </w:tcPr>
          <w:p w14:paraId="004ADEFC"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Finančné vnútorné výnosové percento investície  (FIRR_C)</w:t>
            </w:r>
          </w:p>
        </w:tc>
        <w:tc>
          <w:tcPr>
            <w:tcW w:w="148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535907BE" w14:textId="77777777" w:rsidR="001A24C3" w:rsidRPr="00E45533" w:rsidRDefault="001A24C3" w:rsidP="00300963">
            <w:pPr>
              <w:jc w:val="right"/>
              <w:rPr>
                <w:rFonts w:ascii="Arial" w:eastAsia="Times New Roman" w:hAnsi="Arial" w:cs="Arial"/>
                <w:sz w:val="16"/>
                <w:szCs w:val="16"/>
                <w:lang w:eastAsia="sk-SK"/>
              </w:rPr>
            </w:pPr>
            <w:r w:rsidRPr="00E45533">
              <w:rPr>
                <w:rFonts w:ascii="Arial" w:eastAsia="Times New Roman" w:hAnsi="Arial" w:cs="Arial"/>
                <w:sz w:val="16"/>
                <w:szCs w:val="16"/>
                <w:lang w:eastAsia="sk-SK"/>
              </w:rPr>
              <w:t>-10,71%</w:t>
            </w:r>
          </w:p>
        </w:tc>
      </w:tr>
    </w:tbl>
    <w:p w14:paraId="00965A07" w14:textId="5C927E34" w:rsidR="001A24C3" w:rsidRDefault="001A24C3" w:rsidP="001A24C3"/>
    <w:p w14:paraId="7B006FAC" w14:textId="77777777" w:rsidR="00907AA6" w:rsidRPr="00B3367D" w:rsidRDefault="00907AA6" w:rsidP="001A24C3"/>
    <w:p w14:paraId="23086A4E" w14:textId="77777777" w:rsidR="001A24C3" w:rsidRDefault="001A24C3" w:rsidP="001A24C3">
      <w:pPr>
        <w:pStyle w:val="Koice4"/>
        <w:spacing w:before="240" w:after="240"/>
        <w:ind w:left="0"/>
      </w:pPr>
      <w:bookmarkStart w:id="341" w:name="_Toc88653015"/>
      <w:r w:rsidRPr="00D67317">
        <w:t>Čistá súčasná hodnota</w:t>
      </w:r>
      <w:bookmarkEnd w:id="341"/>
    </w:p>
    <w:p w14:paraId="14E2E8D0" w14:textId="77777777" w:rsidR="001A24C3" w:rsidRDefault="001A24C3" w:rsidP="001A24C3">
      <w:pPr>
        <w:pStyle w:val="TEXTkOICE"/>
        <w:spacing w:after="240"/>
        <w:ind w:left="0"/>
      </w:pPr>
      <w:r w:rsidRPr="000E1FFA">
        <w:t xml:space="preserve">Čistá súčasná hodnota </w:t>
      </w:r>
      <w:r>
        <w:t xml:space="preserve">investície </w:t>
      </w:r>
      <w:r w:rsidRPr="000E1FFA">
        <w:t xml:space="preserve">je iným vyjadrením výsledku finančnej analýzy. Kým vnútorné výnosové % vyjadruje vhodnosť projektu v %, čistá </w:t>
      </w:r>
      <w:r>
        <w:t>súčasná hodnota ho vyjadruje v EUR</w:t>
      </w:r>
      <w:r w:rsidRPr="000E1FFA">
        <w:t xml:space="preserve">. </w:t>
      </w:r>
    </w:p>
    <w:p w14:paraId="600A3490" w14:textId="77777777" w:rsidR="001A24C3" w:rsidRDefault="001A24C3" w:rsidP="001A24C3">
      <w:pPr>
        <w:pStyle w:val="TEXTkOICE"/>
        <w:spacing w:after="240"/>
        <w:ind w:left="0"/>
      </w:pPr>
      <w:r w:rsidRPr="000E1FFA">
        <w:t>Platí súvzťažnosť, že ak je FRR = diskontnej sadzbe, tak čistá súčasná hodnota FNPV je rovná 0. Ak je vnútorné výnosové % menšie ako diskontná sadzba, tak aj čistá súčasná hodnota je záporná a ak je vnútorné výnosové % väčšie ako diskontná sadzba, č</w:t>
      </w:r>
      <w:r>
        <w:t>istá súčasná hodnota je kladná.</w:t>
      </w:r>
    </w:p>
    <w:p w14:paraId="028F54F7" w14:textId="6172187E" w:rsidR="001A24C3" w:rsidRDefault="001A24C3" w:rsidP="00907AA6">
      <w:pPr>
        <w:pStyle w:val="Popis"/>
        <w:keepNext/>
        <w:jc w:val="both"/>
      </w:pPr>
      <w:bookmarkStart w:id="342" w:name="_Toc83677934"/>
      <w:r>
        <w:t>Tabuľka</w:t>
      </w:r>
      <w:r w:rsidR="008B078A">
        <w:rPr>
          <w:noProof/>
        </w:rPr>
        <w:t xml:space="preserve"> 63</w:t>
      </w:r>
      <w:r>
        <w:tab/>
      </w:r>
      <w:r w:rsidRPr="00B47CCC">
        <w:t>Výstupy finančnej analýzy (FNPV)</w:t>
      </w:r>
      <w:bookmarkEnd w:id="342"/>
    </w:p>
    <w:tbl>
      <w:tblPr>
        <w:tblW w:w="6300" w:type="dxa"/>
        <w:tblCellMar>
          <w:left w:w="70" w:type="dxa"/>
          <w:right w:w="70" w:type="dxa"/>
        </w:tblCellMar>
        <w:tblLook w:val="04A0" w:firstRow="1" w:lastRow="0" w:firstColumn="1" w:lastColumn="0" w:noHBand="0" w:noVBand="1"/>
      </w:tblPr>
      <w:tblGrid>
        <w:gridCol w:w="4820"/>
        <w:gridCol w:w="1480"/>
      </w:tblGrid>
      <w:tr w:rsidR="001A24C3" w:rsidRPr="00E45533" w14:paraId="581E59EA" w14:textId="77777777" w:rsidTr="00300963">
        <w:trPr>
          <w:trHeight w:val="204"/>
        </w:trPr>
        <w:tc>
          <w:tcPr>
            <w:tcW w:w="4820" w:type="dxa"/>
            <w:tcBorders>
              <w:top w:val="single" w:sz="4" w:space="0" w:color="auto"/>
              <w:left w:val="single" w:sz="4" w:space="0" w:color="auto"/>
              <w:bottom w:val="single" w:sz="4" w:space="0" w:color="auto"/>
              <w:right w:val="nil"/>
            </w:tcBorders>
            <w:shd w:val="clear" w:color="auto" w:fill="auto"/>
            <w:noWrap/>
            <w:vAlign w:val="bottom"/>
            <w:hideMark/>
          </w:tcPr>
          <w:p w14:paraId="4FBB3F07" w14:textId="77777777" w:rsidR="001A24C3" w:rsidRPr="00E45533" w:rsidRDefault="001A24C3" w:rsidP="00300963">
            <w:pPr>
              <w:rPr>
                <w:rFonts w:ascii="Arial" w:eastAsia="Times New Roman" w:hAnsi="Arial" w:cs="Arial"/>
                <w:sz w:val="16"/>
                <w:szCs w:val="16"/>
                <w:lang w:eastAsia="sk-SK"/>
              </w:rPr>
            </w:pPr>
            <w:r w:rsidRPr="00E45533">
              <w:rPr>
                <w:rFonts w:ascii="Arial" w:eastAsia="Times New Roman" w:hAnsi="Arial" w:cs="Arial"/>
                <w:sz w:val="16"/>
                <w:szCs w:val="16"/>
                <w:lang w:eastAsia="sk-SK"/>
              </w:rPr>
              <w:t>Finančná čistá súčasná hodnota investície (FRR_C)</w:t>
            </w:r>
          </w:p>
        </w:tc>
        <w:tc>
          <w:tcPr>
            <w:tcW w:w="148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5D6DCB55" w14:textId="77777777" w:rsidR="001A24C3" w:rsidRPr="00E45533" w:rsidRDefault="001A24C3" w:rsidP="00300963">
            <w:pPr>
              <w:jc w:val="right"/>
              <w:rPr>
                <w:rFonts w:ascii="Arial" w:eastAsia="Times New Roman" w:hAnsi="Arial" w:cs="Arial"/>
                <w:sz w:val="16"/>
                <w:szCs w:val="16"/>
                <w:lang w:eastAsia="sk-SK"/>
              </w:rPr>
            </w:pPr>
            <w:r w:rsidRPr="00E45533">
              <w:rPr>
                <w:rFonts w:ascii="Arial" w:eastAsia="Times New Roman" w:hAnsi="Arial" w:cs="Arial"/>
                <w:color w:val="FF0000"/>
                <w:sz w:val="16"/>
                <w:szCs w:val="16"/>
                <w:lang w:eastAsia="sk-SK"/>
              </w:rPr>
              <w:t xml:space="preserve">-109 358 384 </w:t>
            </w:r>
          </w:p>
        </w:tc>
      </w:tr>
    </w:tbl>
    <w:p w14:paraId="1F6C3E47" w14:textId="77777777" w:rsidR="001A24C3" w:rsidRDefault="001A24C3" w:rsidP="001A24C3"/>
    <w:p w14:paraId="169DDC39" w14:textId="77777777" w:rsidR="001A24C3" w:rsidRDefault="001A24C3" w:rsidP="001A24C3"/>
    <w:p w14:paraId="4116338D" w14:textId="77777777" w:rsidR="001A24C3" w:rsidRDefault="001A24C3" w:rsidP="001A24C3">
      <w:pPr>
        <w:suppressAutoHyphens/>
      </w:pPr>
      <w:r>
        <w:br w:type="page"/>
      </w:r>
    </w:p>
    <w:p w14:paraId="0BC46E95" w14:textId="77777777" w:rsidR="001A24C3" w:rsidRPr="00907AA6" w:rsidRDefault="001A24C3" w:rsidP="00907AA6">
      <w:pPr>
        <w:pStyle w:val="Nadpis21"/>
        <w:ind w:left="567" w:hanging="567"/>
        <w:rPr>
          <w:color w:val="00B050"/>
        </w:rPr>
      </w:pPr>
      <w:bookmarkStart w:id="343" w:name="_Toc83677871"/>
      <w:bookmarkStart w:id="344" w:name="_Toc88653016"/>
      <w:r w:rsidRPr="00907AA6">
        <w:rPr>
          <w:color w:val="00B050"/>
        </w:rPr>
        <w:lastRenderedPageBreak/>
        <w:t>Výpočet zdrojov financovania</w:t>
      </w:r>
      <w:bookmarkEnd w:id="343"/>
      <w:bookmarkEnd w:id="344"/>
    </w:p>
    <w:p w14:paraId="09D3131D" w14:textId="77777777" w:rsidR="001A24C3" w:rsidRDefault="001A24C3" w:rsidP="001A24C3">
      <w:pPr>
        <w:pStyle w:val="TEXTkOICE"/>
        <w:spacing w:after="240"/>
        <w:ind w:left="0"/>
      </w:pPr>
      <w:r w:rsidRPr="000E1FFA">
        <w:t>Finančná analýza spracovaná pre účely financovania z nenávratného finančného príspevku má svoje špecifiká oproti jednoduchej finančnej analýze, ktorá posudzuje projekt pre súkromný sektor, kde musí byť finančná analýza kladná, teda hodnota FRR musí byť vyššia ako diskontná sadzba. V prípade financovania z nenávratného finančného príspevku prichádza do úvahy výpočet chýbajúcich zdrojov (grantu) pre finančnú analýzu. Za týmto účelom je samotný výpočet potrebné rozdeliť ešte do niektorých krokov.</w:t>
      </w:r>
    </w:p>
    <w:p w14:paraId="0190EFDE" w14:textId="77777777" w:rsidR="001A24C3" w:rsidRDefault="001A24C3" w:rsidP="001A24C3">
      <w:pPr>
        <w:pStyle w:val="TEXTkOICE"/>
        <w:spacing w:after="240"/>
        <w:ind w:left="0"/>
      </w:pPr>
      <w:r>
        <w:t xml:space="preserve">Výsledky všetkých troch variantov sú v tejto kapitole formou tabuliek „položené“ vedľa seba, aby bolo možné lepšie vidieť rozdiely medzi posudzovanými variantmi. </w:t>
      </w:r>
    </w:p>
    <w:p w14:paraId="304ED132" w14:textId="77777777" w:rsidR="001A24C3" w:rsidRPr="00907AA6" w:rsidRDefault="001A24C3" w:rsidP="00907AA6">
      <w:pPr>
        <w:pStyle w:val="Nadpis31"/>
        <w:ind w:left="709" w:hanging="709"/>
        <w:rPr>
          <w:color w:val="auto"/>
        </w:rPr>
      </w:pPr>
      <w:bookmarkStart w:id="345" w:name="_Toc83677872"/>
      <w:bookmarkStart w:id="346" w:name="_Toc88653017"/>
      <w:r w:rsidRPr="00907AA6">
        <w:rPr>
          <w:color w:val="auto"/>
        </w:rPr>
        <w:t>Definícia a výpočet finančnej medzery</w:t>
      </w:r>
      <w:bookmarkEnd w:id="345"/>
      <w:bookmarkEnd w:id="346"/>
    </w:p>
    <w:p w14:paraId="5ABC31D2" w14:textId="77777777" w:rsidR="001A24C3" w:rsidRPr="000E1FFA" w:rsidRDefault="001A24C3" w:rsidP="001A24C3">
      <w:pPr>
        <w:pStyle w:val="TEXTkOICE"/>
        <w:spacing w:after="240"/>
        <w:ind w:left="0"/>
      </w:pPr>
      <w:r w:rsidRPr="000E1FFA">
        <w:t>Finančná medzera je údaj stanovený v %. Prestavuje % investičných a prevádzkových nákladov, ktoré projekt počas referenčného obdobia nie je schopný</w:t>
      </w:r>
      <w:r>
        <w:t xml:space="preserve"> tzv. </w:t>
      </w:r>
      <w:r w:rsidRPr="000E1FFA">
        <w:t xml:space="preserve">sám na seba zarobiť. Ak by mal projekt mať pri zohľadnení času a časovej hodnoty peňazí návratnosť na úrovni nákladov, tak by museli príjmy projektu </w:t>
      </w:r>
      <w:r>
        <w:t>pokryť</w:t>
      </w:r>
      <w:r w:rsidRPr="000E1FFA">
        <w:t xml:space="preserve"> celé investičné a prevádzkové náklady, ktoré by boli v nominálnych hodnotách </w:t>
      </w:r>
      <w:r>
        <w:t>z</w:t>
      </w:r>
      <w:r w:rsidRPr="000E1FFA">
        <w:t>výšené o diskontnú sadzbu, ktorá predstavuje hodnotu peňazí v čase, ktoré mohli tieto peniaze zarobiť počas referenčného obdobia</w:t>
      </w:r>
      <w:r>
        <w:t>,</w:t>
      </w:r>
      <w:r w:rsidRPr="000E1FFA">
        <w:t xml:space="preserve"> ak by sa investovali do iného projektu.</w:t>
      </w:r>
    </w:p>
    <w:p w14:paraId="00D035A6" w14:textId="77777777" w:rsidR="001A24C3" w:rsidRDefault="001A24C3" w:rsidP="001A24C3">
      <w:pPr>
        <w:pStyle w:val="TEXTkOICE"/>
        <w:ind w:left="0"/>
      </w:pPr>
      <w:r w:rsidRPr="000E1FFA">
        <w:t>Výpočet finančnej medzery pozostáva z viacerých krokov:</w:t>
      </w:r>
    </w:p>
    <w:p w14:paraId="4EA6CFC2" w14:textId="77777777" w:rsidR="001A24C3" w:rsidRPr="002E7E04" w:rsidRDefault="001A24C3" w:rsidP="001A24C3">
      <w:pPr>
        <w:pStyle w:val="ODRKY-KOICE"/>
        <w:ind w:left="284" w:right="-283" w:hanging="284"/>
        <w:jc w:val="both"/>
        <w:rPr>
          <w:sz w:val="22"/>
        </w:rPr>
      </w:pPr>
      <w:r w:rsidRPr="002E7E04">
        <w:rPr>
          <w:sz w:val="22"/>
        </w:rPr>
        <w:t xml:space="preserve">vypočíta sa </w:t>
      </w:r>
      <w:r w:rsidRPr="002E7E04">
        <w:rPr>
          <w:b/>
          <w:sz w:val="22"/>
        </w:rPr>
        <w:t xml:space="preserve">diskontovaný čistý príjem </w:t>
      </w:r>
      <w:r w:rsidRPr="002E7E04">
        <w:rPr>
          <w:sz w:val="22"/>
        </w:rPr>
        <w:t>(v prípade, že ide o projekt generujúci príjmy) tak, že sa od diskontovaných príjmov odrátajú diskontované náklady a priráta sa diskontovaná zostatková hodnota,</w:t>
      </w:r>
    </w:p>
    <w:p w14:paraId="707D36FE" w14:textId="77777777" w:rsidR="001A24C3" w:rsidRPr="002E7E04" w:rsidRDefault="001A24C3" w:rsidP="001A24C3">
      <w:pPr>
        <w:pStyle w:val="ODRKY-KOICE"/>
        <w:ind w:left="284" w:right="-283" w:hanging="284"/>
        <w:jc w:val="both"/>
        <w:rPr>
          <w:sz w:val="22"/>
        </w:rPr>
      </w:pPr>
      <w:r w:rsidRPr="002E7E04">
        <w:rPr>
          <w:sz w:val="22"/>
        </w:rPr>
        <w:t>vzniknutý diskontovaný čistý príjem sa odráta od diskontovaných investičných nákladov a dosiahnu sa maximálne oprávnené výdavky,</w:t>
      </w:r>
    </w:p>
    <w:p w14:paraId="1B427236" w14:textId="7C0DA976" w:rsidR="001A24C3" w:rsidRPr="00AF44EA" w:rsidRDefault="001A24C3" w:rsidP="00AF44EA">
      <w:pPr>
        <w:pStyle w:val="ODRKY-KOICE"/>
        <w:ind w:left="284" w:right="-283" w:hanging="284"/>
        <w:jc w:val="both"/>
        <w:rPr>
          <w:sz w:val="22"/>
        </w:rPr>
      </w:pPr>
      <w:r w:rsidRPr="002E7E04">
        <w:rPr>
          <w:sz w:val="22"/>
        </w:rPr>
        <w:t>tieto maximálne oprávnené výdavky sa vydelia diskontovanými investičnými nákladmi a výsledkom je finančná medzera v % vyjadrení.</w:t>
      </w:r>
    </w:p>
    <w:p w14:paraId="5F244966" w14:textId="6D2FA6C5" w:rsidR="001A24C3" w:rsidRPr="00E45533" w:rsidRDefault="001A24C3" w:rsidP="00907AA6">
      <w:pPr>
        <w:pStyle w:val="Popis"/>
        <w:keepNext/>
        <w:jc w:val="both"/>
      </w:pPr>
      <w:bookmarkStart w:id="347" w:name="_Toc83677935"/>
      <w:r w:rsidRPr="00E45533">
        <w:t xml:space="preserve">Tabuľka </w:t>
      </w:r>
      <w:r w:rsidR="008B078A">
        <w:rPr>
          <w:noProof/>
        </w:rPr>
        <w:t>64</w:t>
      </w:r>
      <w:r w:rsidRPr="00E45533">
        <w:tab/>
        <w:t>Výpočet finančnej medzery</w:t>
      </w:r>
      <w:r w:rsidR="00907AA6">
        <w:t xml:space="preserve"> Variant A</w:t>
      </w:r>
      <w:r w:rsidRPr="00E45533">
        <w:t xml:space="preserve"> „</w:t>
      </w:r>
      <w:r w:rsidR="00907AA6">
        <w:t>ZÁKLADNÁ MODERNIZÁCIA</w:t>
      </w:r>
      <w:r w:rsidRPr="00E45533">
        <w:t>“</w:t>
      </w:r>
      <w:bookmarkEnd w:id="347"/>
    </w:p>
    <w:tbl>
      <w:tblPr>
        <w:tblW w:w="6040" w:type="dxa"/>
        <w:tblCellMar>
          <w:left w:w="70" w:type="dxa"/>
          <w:right w:w="70" w:type="dxa"/>
        </w:tblCellMar>
        <w:tblLook w:val="04A0" w:firstRow="1" w:lastRow="0" w:firstColumn="1" w:lastColumn="0" w:noHBand="0" w:noVBand="1"/>
      </w:tblPr>
      <w:tblGrid>
        <w:gridCol w:w="3320"/>
        <w:gridCol w:w="1360"/>
        <w:gridCol w:w="1360"/>
      </w:tblGrid>
      <w:tr w:rsidR="001A24C3" w:rsidRPr="00773B79" w14:paraId="51844C4A"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E20A859"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5.1 Výpočet finančnej medzery</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15E70D17"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Nediskontované</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5BEDEC04"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Diskontované</w:t>
            </w:r>
          </w:p>
        </w:tc>
      </w:tr>
      <w:tr w:rsidR="001A24C3" w:rsidRPr="00773B79" w14:paraId="784BABB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B6F8FD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 (DIC)</w:t>
            </w:r>
          </w:p>
        </w:tc>
        <w:tc>
          <w:tcPr>
            <w:tcW w:w="1360" w:type="dxa"/>
            <w:tcBorders>
              <w:top w:val="nil"/>
              <w:left w:val="nil"/>
              <w:bottom w:val="single" w:sz="4" w:space="0" w:color="auto"/>
              <w:right w:val="nil"/>
            </w:tcBorders>
            <w:shd w:val="clear" w:color="auto" w:fill="auto"/>
            <w:noWrap/>
            <w:vAlign w:val="bottom"/>
            <w:hideMark/>
          </w:tcPr>
          <w:p w14:paraId="61EF2172"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145 961 402,96</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2DE2FE89"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138 229 972,19</w:t>
            </w:r>
          </w:p>
        </w:tc>
      </w:tr>
      <w:tr w:rsidR="001A24C3" w:rsidRPr="00773B79" w14:paraId="02DC983F"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A07F63C"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Zostatková hodnota</w:t>
            </w:r>
          </w:p>
        </w:tc>
        <w:tc>
          <w:tcPr>
            <w:tcW w:w="1360" w:type="dxa"/>
            <w:tcBorders>
              <w:top w:val="nil"/>
              <w:left w:val="nil"/>
              <w:bottom w:val="single" w:sz="4" w:space="0" w:color="auto"/>
              <w:right w:val="nil"/>
            </w:tcBorders>
            <w:shd w:val="clear" w:color="auto" w:fill="auto"/>
            <w:noWrap/>
            <w:vAlign w:val="bottom"/>
            <w:hideMark/>
          </w:tcPr>
          <w:p w14:paraId="6E7E126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2 896 891,20</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75957CA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2 785 472,31</w:t>
            </w:r>
          </w:p>
        </w:tc>
      </w:tr>
      <w:tr w:rsidR="001A24C3" w:rsidRPr="00773B79" w14:paraId="520FB511"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3C9608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príjmy</w:t>
            </w:r>
          </w:p>
        </w:tc>
        <w:tc>
          <w:tcPr>
            <w:tcW w:w="1360" w:type="dxa"/>
            <w:tcBorders>
              <w:top w:val="nil"/>
              <w:left w:val="nil"/>
              <w:bottom w:val="single" w:sz="4" w:space="0" w:color="auto"/>
              <w:right w:val="nil"/>
            </w:tcBorders>
            <w:shd w:val="clear" w:color="auto" w:fill="auto"/>
            <w:noWrap/>
            <w:vAlign w:val="bottom"/>
            <w:hideMark/>
          </w:tcPr>
          <w:p w14:paraId="3F8A2638"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3 536 947,87</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31E8FBC6"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1 852 852,68</w:t>
            </w:r>
          </w:p>
        </w:tc>
      </w:tr>
      <w:tr w:rsidR="001A24C3" w:rsidRPr="00773B79" w14:paraId="7E858401"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FA23AB9"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výdavky</w:t>
            </w:r>
          </w:p>
        </w:tc>
        <w:tc>
          <w:tcPr>
            <w:tcW w:w="1360" w:type="dxa"/>
            <w:tcBorders>
              <w:top w:val="nil"/>
              <w:left w:val="nil"/>
              <w:bottom w:val="single" w:sz="4" w:space="0" w:color="auto"/>
              <w:right w:val="nil"/>
            </w:tcBorders>
            <w:shd w:val="clear" w:color="auto" w:fill="auto"/>
            <w:noWrap/>
            <w:vAlign w:val="bottom"/>
            <w:hideMark/>
          </w:tcPr>
          <w:p w14:paraId="4DB3941D"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-61 950 002,86</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7D45EC41"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235 214,89</w:t>
            </w:r>
          </w:p>
        </w:tc>
      </w:tr>
      <w:tr w:rsidR="001A24C3" w:rsidRPr="00773B79" w14:paraId="50F4FD9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3260715"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Čistý príjem (DNR)</w:t>
            </w:r>
          </w:p>
        </w:tc>
        <w:tc>
          <w:tcPr>
            <w:tcW w:w="1360" w:type="dxa"/>
            <w:tcBorders>
              <w:top w:val="nil"/>
              <w:left w:val="nil"/>
              <w:bottom w:val="single" w:sz="4" w:space="0" w:color="auto"/>
              <w:right w:val="single" w:sz="4" w:space="0" w:color="auto"/>
            </w:tcBorders>
            <w:shd w:val="clear" w:color="000000" w:fill="D9D9D9"/>
            <w:noWrap/>
            <w:vAlign w:val="bottom"/>
            <w:hideMark/>
          </w:tcPr>
          <w:p w14:paraId="44EAA00C"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nil"/>
              <w:bottom w:val="single" w:sz="4" w:space="0" w:color="auto"/>
              <w:right w:val="single" w:sz="4" w:space="0" w:color="auto"/>
            </w:tcBorders>
            <w:shd w:val="clear" w:color="000000" w:fill="FFFFCC"/>
            <w:noWrap/>
            <w:vAlign w:val="bottom"/>
            <w:hideMark/>
          </w:tcPr>
          <w:p w14:paraId="780ACA04"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4 403 110,09</w:t>
            </w:r>
          </w:p>
        </w:tc>
      </w:tr>
      <w:tr w:rsidR="001A24C3" w:rsidRPr="00773B79" w14:paraId="02388AA8"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1B1EA6A"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 - Čistý príjem (Max EE)</w:t>
            </w:r>
          </w:p>
        </w:tc>
        <w:tc>
          <w:tcPr>
            <w:tcW w:w="1360" w:type="dxa"/>
            <w:tcBorders>
              <w:top w:val="nil"/>
              <w:left w:val="nil"/>
              <w:bottom w:val="single" w:sz="4" w:space="0" w:color="auto"/>
              <w:right w:val="nil"/>
            </w:tcBorders>
            <w:shd w:val="clear" w:color="000000" w:fill="D9D9D9"/>
            <w:noWrap/>
            <w:vAlign w:val="bottom"/>
            <w:hideMark/>
          </w:tcPr>
          <w:p w14:paraId="017ACCD0"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5F0FF50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133 826 862,10</w:t>
            </w:r>
          </w:p>
        </w:tc>
      </w:tr>
      <w:tr w:rsidR="001A24C3" w:rsidRPr="00773B79" w14:paraId="22683412"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E2BFDF0"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Finančná medzera (FG)</w:t>
            </w:r>
          </w:p>
        </w:tc>
        <w:tc>
          <w:tcPr>
            <w:tcW w:w="1360" w:type="dxa"/>
            <w:tcBorders>
              <w:top w:val="nil"/>
              <w:left w:val="nil"/>
              <w:bottom w:val="single" w:sz="4" w:space="0" w:color="auto"/>
              <w:right w:val="nil"/>
            </w:tcBorders>
            <w:shd w:val="clear" w:color="000000" w:fill="D9D9D9"/>
            <w:noWrap/>
            <w:vAlign w:val="bottom"/>
            <w:hideMark/>
          </w:tcPr>
          <w:p w14:paraId="08B9AECB"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56735A9E" w14:textId="77777777" w:rsidR="001A24C3" w:rsidRPr="00773B79" w:rsidRDefault="001A24C3" w:rsidP="00300963">
            <w:pPr>
              <w:jc w:val="right"/>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96,81%</w:t>
            </w:r>
          </w:p>
        </w:tc>
      </w:tr>
    </w:tbl>
    <w:p w14:paraId="12A253C2" w14:textId="77777777" w:rsidR="001A24C3" w:rsidRPr="00E45533" w:rsidRDefault="001A24C3" w:rsidP="001A24C3">
      <w:pPr>
        <w:rPr>
          <w:b/>
          <w:iCs/>
          <w:color w:val="C00000"/>
          <w:sz w:val="20"/>
          <w:szCs w:val="18"/>
        </w:rPr>
      </w:pPr>
    </w:p>
    <w:p w14:paraId="7873FC4F" w14:textId="6DED418F" w:rsidR="001A24C3" w:rsidRPr="00E45533" w:rsidRDefault="001A24C3" w:rsidP="00907AA6">
      <w:pPr>
        <w:pStyle w:val="Popis"/>
        <w:keepNext/>
        <w:jc w:val="both"/>
      </w:pPr>
      <w:bookmarkStart w:id="348" w:name="_Toc83677936"/>
      <w:r w:rsidRPr="00E45533">
        <w:t xml:space="preserve">Tabuľka </w:t>
      </w:r>
      <w:r w:rsidR="008B078A">
        <w:rPr>
          <w:noProof/>
        </w:rPr>
        <w:t>65</w:t>
      </w:r>
      <w:r w:rsidR="008B078A">
        <w:t xml:space="preserve"> </w:t>
      </w:r>
      <w:r w:rsidRPr="00E45533">
        <w:t>Výpočet finančnej medzery</w:t>
      </w:r>
      <w:r w:rsidR="00907AA6">
        <w:t xml:space="preserve"> Variant B</w:t>
      </w:r>
      <w:r w:rsidRPr="00E45533">
        <w:t xml:space="preserve"> „</w:t>
      </w:r>
      <w:r w:rsidR="00907AA6">
        <w:t>MODERNIZÁCIA žel. trate na rýchlosť 120 až 160km/hod</w:t>
      </w:r>
      <w:r w:rsidRPr="00E45533">
        <w:t>“</w:t>
      </w:r>
      <w:bookmarkEnd w:id="348"/>
    </w:p>
    <w:tbl>
      <w:tblPr>
        <w:tblW w:w="6040" w:type="dxa"/>
        <w:tblCellMar>
          <w:left w:w="70" w:type="dxa"/>
          <w:right w:w="70" w:type="dxa"/>
        </w:tblCellMar>
        <w:tblLook w:val="04A0" w:firstRow="1" w:lastRow="0" w:firstColumn="1" w:lastColumn="0" w:noHBand="0" w:noVBand="1"/>
      </w:tblPr>
      <w:tblGrid>
        <w:gridCol w:w="3320"/>
        <w:gridCol w:w="1360"/>
        <w:gridCol w:w="1360"/>
      </w:tblGrid>
      <w:tr w:rsidR="001A24C3" w:rsidRPr="00773B79" w14:paraId="50E1CE6F"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4A363CE"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5.1 Výpočet finančnej medzery</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5B38881D"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Nediskontované</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22CA95CE"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Diskontované</w:t>
            </w:r>
          </w:p>
        </w:tc>
      </w:tr>
      <w:tr w:rsidR="001A24C3" w:rsidRPr="00773B79" w14:paraId="692D8596"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1B966EC"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 (DIC)</w:t>
            </w:r>
          </w:p>
        </w:tc>
        <w:tc>
          <w:tcPr>
            <w:tcW w:w="1360" w:type="dxa"/>
            <w:tcBorders>
              <w:top w:val="nil"/>
              <w:left w:val="nil"/>
              <w:bottom w:val="single" w:sz="4" w:space="0" w:color="auto"/>
              <w:right w:val="nil"/>
            </w:tcBorders>
            <w:shd w:val="clear" w:color="auto" w:fill="auto"/>
            <w:noWrap/>
            <w:vAlign w:val="bottom"/>
            <w:hideMark/>
          </w:tcPr>
          <w:p w14:paraId="40AE231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426 532 863,41</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7385A590"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389 974 725,58</w:t>
            </w:r>
          </w:p>
        </w:tc>
      </w:tr>
      <w:tr w:rsidR="001A24C3" w:rsidRPr="00773B79" w14:paraId="285742D6"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26ACA80"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Zostatková hodnota</w:t>
            </w:r>
          </w:p>
        </w:tc>
        <w:tc>
          <w:tcPr>
            <w:tcW w:w="1360" w:type="dxa"/>
            <w:tcBorders>
              <w:top w:val="nil"/>
              <w:left w:val="nil"/>
              <w:bottom w:val="single" w:sz="4" w:space="0" w:color="auto"/>
              <w:right w:val="nil"/>
            </w:tcBorders>
            <w:shd w:val="clear" w:color="auto" w:fill="auto"/>
            <w:noWrap/>
            <w:vAlign w:val="bottom"/>
            <w:hideMark/>
          </w:tcPr>
          <w:p w14:paraId="25E73F68"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6 922 747,66</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33784762"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6 656 488,14</w:t>
            </w:r>
          </w:p>
        </w:tc>
      </w:tr>
      <w:tr w:rsidR="001A24C3" w:rsidRPr="00773B79" w14:paraId="7B94024F"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6ABC31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príjmy</w:t>
            </w:r>
          </w:p>
        </w:tc>
        <w:tc>
          <w:tcPr>
            <w:tcW w:w="1360" w:type="dxa"/>
            <w:tcBorders>
              <w:top w:val="nil"/>
              <w:left w:val="nil"/>
              <w:bottom w:val="single" w:sz="4" w:space="0" w:color="auto"/>
              <w:right w:val="nil"/>
            </w:tcBorders>
            <w:shd w:val="clear" w:color="auto" w:fill="auto"/>
            <w:noWrap/>
            <w:vAlign w:val="bottom"/>
            <w:hideMark/>
          </w:tcPr>
          <w:p w14:paraId="7669124A"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7 884 309,90</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37EF8A28"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4 067 481,08</w:t>
            </w:r>
          </w:p>
        </w:tc>
      </w:tr>
      <w:tr w:rsidR="001A24C3" w:rsidRPr="00773B79" w14:paraId="2FDBFC51"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78299279"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výdavky</w:t>
            </w:r>
          </w:p>
        </w:tc>
        <w:tc>
          <w:tcPr>
            <w:tcW w:w="1360" w:type="dxa"/>
            <w:tcBorders>
              <w:top w:val="nil"/>
              <w:left w:val="nil"/>
              <w:bottom w:val="single" w:sz="4" w:space="0" w:color="auto"/>
              <w:right w:val="nil"/>
            </w:tcBorders>
            <w:shd w:val="clear" w:color="auto" w:fill="auto"/>
            <w:noWrap/>
            <w:vAlign w:val="bottom"/>
            <w:hideMark/>
          </w:tcPr>
          <w:p w14:paraId="6DE51CDF"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-61 950 002,86</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09918D07"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216 958,88</w:t>
            </w:r>
          </w:p>
        </w:tc>
      </w:tr>
      <w:tr w:rsidR="001A24C3" w:rsidRPr="00773B79" w14:paraId="72E0A303"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56B80C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Čistý príjem (DNR)</w:t>
            </w:r>
          </w:p>
        </w:tc>
        <w:tc>
          <w:tcPr>
            <w:tcW w:w="1360" w:type="dxa"/>
            <w:tcBorders>
              <w:top w:val="nil"/>
              <w:left w:val="nil"/>
              <w:bottom w:val="single" w:sz="4" w:space="0" w:color="auto"/>
              <w:right w:val="single" w:sz="4" w:space="0" w:color="auto"/>
            </w:tcBorders>
            <w:shd w:val="clear" w:color="000000" w:fill="D9D9D9"/>
            <w:noWrap/>
            <w:vAlign w:val="bottom"/>
            <w:hideMark/>
          </w:tcPr>
          <w:p w14:paraId="2838F5F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nil"/>
              <w:bottom w:val="single" w:sz="4" w:space="0" w:color="auto"/>
              <w:right w:val="single" w:sz="4" w:space="0" w:color="auto"/>
            </w:tcBorders>
            <w:shd w:val="clear" w:color="000000" w:fill="FFFFCC"/>
            <w:noWrap/>
            <w:vAlign w:val="bottom"/>
            <w:hideMark/>
          </w:tcPr>
          <w:p w14:paraId="2C41C99F"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10 507 010,34</w:t>
            </w:r>
          </w:p>
        </w:tc>
      </w:tr>
      <w:tr w:rsidR="001A24C3" w:rsidRPr="00773B79" w14:paraId="5BBFEB74"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EDAAA85"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 - Čistý príjem (Max EE)</w:t>
            </w:r>
          </w:p>
        </w:tc>
        <w:tc>
          <w:tcPr>
            <w:tcW w:w="1360" w:type="dxa"/>
            <w:tcBorders>
              <w:top w:val="nil"/>
              <w:left w:val="nil"/>
              <w:bottom w:val="single" w:sz="4" w:space="0" w:color="auto"/>
              <w:right w:val="nil"/>
            </w:tcBorders>
            <w:shd w:val="clear" w:color="000000" w:fill="D9D9D9"/>
            <w:noWrap/>
            <w:vAlign w:val="bottom"/>
            <w:hideMark/>
          </w:tcPr>
          <w:p w14:paraId="15CC70AF"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5F0B9E2C"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379 467 715,24</w:t>
            </w:r>
          </w:p>
        </w:tc>
      </w:tr>
      <w:tr w:rsidR="001A24C3" w:rsidRPr="00773B79" w14:paraId="2C48B183"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CB8A970"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lastRenderedPageBreak/>
              <w:t>Finančná medzera (FG)</w:t>
            </w:r>
          </w:p>
        </w:tc>
        <w:tc>
          <w:tcPr>
            <w:tcW w:w="1360" w:type="dxa"/>
            <w:tcBorders>
              <w:top w:val="nil"/>
              <w:left w:val="nil"/>
              <w:bottom w:val="single" w:sz="4" w:space="0" w:color="auto"/>
              <w:right w:val="nil"/>
            </w:tcBorders>
            <w:shd w:val="clear" w:color="000000" w:fill="D9D9D9"/>
            <w:noWrap/>
            <w:vAlign w:val="bottom"/>
            <w:hideMark/>
          </w:tcPr>
          <w:p w14:paraId="034927E6"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288C5FEC" w14:textId="77777777" w:rsidR="001A24C3" w:rsidRPr="00773B79" w:rsidRDefault="001A24C3" w:rsidP="00300963">
            <w:pPr>
              <w:jc w:val="right"/>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97,31%</w:t>
            </w:r>
          </w:p>
        </w:tc>
      </w:tr>
    </w:tbl>
    <w:p w14:paraId="7BCEB1B9" w14:textId="77777777" w:rsidR="001A24C3" w:rsidRPr="00E45533" w:rsidRDefault="001A24C3" w:rsidP="001A24C3"/>
    <w:p w14:paraId="4384FCD2" w14:textId="02924C54" w:rsidR="001A24C3" w:rsidRPr="00E45533" w:rsidRDefault="001A24C3" w:rsidP="00907AA6">
      <w:pPr>
        <w:pStyle w:val="Popis"/>
        <w:keepNext/>
        <w:spacing w:before="240"/>
        <w:jc w:val="both"/>
      </w:pPr>
      <w:bookmarkStart w:id="349" w:name="_Toc83677937"/>
      <w:r w:rsidRPr="00E45533">
        <w:t xml:space="preserve">Tabuľka </w:t>
      </w:r>
      <w:r w:rsidR="008B078A">
        <w:rPr>
          <w:noProof/>
        </w:rPr>
        <w:t>66</w:t>
      </w:r>
      <w:r w:rsidRPr="00E45533">
        <w:tab/>
        <w:t xml:space="preserve">Výpočet finančnej medzery </w:t>
      </w:r>
      <w:r w:rsidR="00907AA6">
        <w:t xml:space="preserve">Variant C </w:t>
      </w:r>
      <w:r w:rsidRPr="00E45533">
        <w:t>„</w:t>
      </w:r>
      <w:r w:rsidR="00907AA6">
        <w:t>KOMBINOVANÝ – optimalizácia trate</w:t>
      </w:r>
      <w:r w:rsidRPr="00E45533">
        <w:t>“</w:t>
      </w:r>
      <w:bookmarkEnd w:id="349"/>
    </w:p>
    <w:tbl>
      <w:tblPr>
        <w:tblW w:w="6040" w:type="dxa"/>
        <w:tblCellMar>
          <w:left w:w="70" w:type="dxa"/>
          <w:right w:w="70" w:type="dxa"/>
        </w:tblCellMar>
        <w:tblLook w:val="04A0" w:firstRow="1" w:lastRow="0" w:firstColumn="1" w:lastColumn="0" w:noHBand="0" w:noVBand="1"/>
      </w:tblPr>
      <w:tblGrid>
        <w:gridCol w:w="3320"/>
        <w:gridCol w:w="1360"/>
        <w:gridCol w:w="1360"/>
      </w:tblGrid>
      <w:tr w:rsidR="001A24C3" w:rsidRPr="00773B79" w14:paraId="52036A64"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FE3CC72"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5.1 Výpočet finančnej medzery</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4127082E"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Nediskontované</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1171B397"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Diskontované</w:t>
            </w:r>
          </w:p>
        </w:tc>
      </w:tr>
      <w:tr w:rsidR="001A24C3" w:rsidRPr="00773B79" w14:paraId="303A2B43"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815638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 (DIC)</w:t>
            </w:r>
          </w:p>
        </w:tc>
        <w:tc>
          <w:tcPr>
            <w:tcW w:w="1360" w:type="dxa"/>
            <w:tcBorders>
              <w:top w:val="nil"/>
              <w:left w:val="nil"/>
              <w:bottom w:val="single" w:sz="4" w:space="0" w:color="auto"/>
              <w:right w:val="nil"/>
            </w:tcBorders>
            <w:shd w:val="clear" w:color="auto" w:fill="auto"/>
            <w:noWrap/>
            <w:vAlign w:val="bottom"/>
            <w:hideMark/>
          </w:tcPr>
          <w:p w14:paraId="179927A3"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179 255 029,36</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69926504"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167 090 726,09</w:t>
            </w:r>
          </w:p>
        </w:tc>
      </w:tr>
      <w:tr w:rsidR="001A24C3" w:rsidRPr="00773B79" w14:paraId="03B45A40"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29A76E4"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Zostatková hodnota</w:t>
            </w:r>
          </w:p>
        </w:tc>
        <w:tc>
          <w:tcPr>
            <w:tcW w:w="1360" w:type="dxa"/>
            <w:tcBorders>
              <w:top w:val="nil"/>
              <w:left w:val="nil"/>
              <w:bottom w:val="single" w:sz="4" w:space="0" w:color="auto"/>
              <w:right w:val="nil"/>
            </w:tcBorders>
            <w:shd w:val="clear" w:color="auto" w:fill="auto"/>
            <w:noWrap/>
            <w:vAlign w:val="bottom"/>
            <w:hideMark/>
          </w:tcPr>
          <w:p w14:paraId="3ACFE298"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2 997 000,27</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5434ABEC"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2 881 731,03</w:t>
            </w:r>
          </w:p>
        </w:tc>
      </w:tr>
      <w:tr w:rsidR="001A24C3" w:rsidRPr="00773B79" w14:paraId="5E0D5ADD"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8F6F0B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príjmy</w:t>
            </w:r>
          </w:p>
        </w:tc>
        <w:tc>
          <w:tcPr>
            <w:tcW w:w="1360" w:type="dxa"/>
            <w:tcBorders>
              <w:top w:val="nil"/>
              <w:left w:val="nil"/>
              <w:bottom w:val="single" w:sz="4" w:space="0" w:color="auto"/>
              <w:right w:val="nil"/>
            </w:tcBorders>
            <w:shd w:val="clear" w:color="auto" w:fill="auto"/>
            <w:noWrap/>
            <w:vAlign w:val="bottom"/>
            <w:hideMark/>
          </w:tcPr>
          <w:p w14:paraId="747E51EE"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3 848 915,79</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2D1A1E69"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1 993 728,48</w:t>
            </w:r>
          </w:p>
        </w:tc>
      </w:tr>
      <w:tr w:rsidR="001A24C3" w:rsidRPr="00773B79" w14:paraId="02051257"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163BD62"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výdavky</w:t>
            </w:r>
          </w:p>
        </w:tc>
        <w:tc>
          <w:tcPr>
            <w:tcW w:w="1360" w:type="dxa"/>
            <w:tcBorders>
              <w:top w:val="nil"/>
              <w:left w:val="nil"/>
              <w:bottom w:val="single" w:sz="4" w:space="0" w:color="auto"/>
              <w:right w:val="nil"/>
            </w:tcBorders>
            <w:shd w:val="clear" w:color="auto" w:fill="auto"/>
            <w:noWrap/>
            <w:vAlign w:val="bottom"/>
            <w:hideMark/>
          </w:tcPr>
          <w:p w14:paraId="2A651E10"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-61 950 002,86</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043F0DE7"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191 284,15</w:t>
            </w:r>
          </w:p>
        </w:tc>
      </w:tr>
      <w:tr w:rsidR="001A24C3" w:rsidRPr="00773B79" w14:paraId="06CC1392"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79D48A8"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Čistý príjem (DNR)</w:t>
            </w:r>
          </w:p>
        </w:tc>
        <w:tc>
          <w:tcPr>
            <w:tcW w:w="1360" w:type="dxa"/>
            <w:tcBorders>
              <w:top w:val="nil"/>
              <w:left w:val="nil"/>
              <w:bottom w:val="single" w:sz="4" w:space="0" w:color="auto"/>
              <w:right w:val="single" w:sz="4" w:space="0" w:color="auto"/>
            </w:tcBorders>
            <w:shd w:val="clear" w:color="000000" w:fill="D9D9D9"/>
            <w:noWrap/>
            <w:vAlign w:val="bottom"/>
            <w:hideMark/>
          </w:tcPr>
          <w:p w14:paraId="07F91F97"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nil"/>
              <w:bottom w:val="single" w:sz="4" w:space="0" w:color="auto"/>
              <w:right w:val="single" w:sz="4" w:space="0" w:color="auto"/>
            </w:tcBorders>
            <w:shd w:val="clear" w:color="000000" w:fill="FFFFCC"/>
            <w:noWrap/>
            <w:vAlign w:val="bottom"/>
            <w:hideMark/>
          </w:tcPr>
          <w:p w14:paraId="7B3DA411"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4 684 175,36</w:t>
            </w:r>
          </w:p>
        </w:tc>
      </w:tr>
      <w:tr w:rsidR="001A24C3" w:rsidRPr="00773B79" w14:paraId="3531E8CB"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E177106"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 - Čistý príjem (Max EE)</w:t>
            </w:r>
          </w:p>
        </w:tc>
        <w:tc>
          <w:tcPr>
            <w:tcW w:w="1360" w:type="dxa"/>
            <w:tcBorders>
              <w:top w:val="nil"/>
              <w:left w:val="nil"/>
              <w:bottom w:val="single" w:sz="4" w:space="0" w:color="auto"/>
              <w:right w:val="nil"/>
            </w:tcBorders>
            <w:shd w:val="clear" w:color="000000" w:fill="D9D9D9"/>
            <w:noWrap/>
            <w:vAlign w:val="bottom"/>
            <w:hideMark/>
          </w:tcPr>
          <w:p w14:paraId="4457DABB"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796F12D2"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162 406 550,73</w:t>
            </w:r>
          </w:p>
        </w:tc>
      </w:tr>
      <w:tr w:rsidR="001A24C3" w:rsidRPr="00773B79" w14:paraId="2A687A00"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6BC79C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Finančná medzera (FG)</w:t>
            </w:r>
          </w:p>
        </w:tc>
        <w:tc>
          <w:tcPr>
            <w:tcW w:w="1360" w:type="dxa"/>
            <w:tcBorders>
              <w:top w:val="nil"/>
              <w:left w:val="nil"/>
              <w:bottom w:val="single" w:sz="4" w:space="0" w:color="auto"/>
              <w:right w:val="nil"/>
            </w:tcBorders>
            <w:shd w:val="clear" w:color="000000" w:fill="D9D9D9"/>
            <w:noWrap/>
            <w:vAlign w:val="bottom"/>
            <w:hideMark/>
          </w:tcPr>
          <w:p w14:paraId="1799A74F"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c>
          <w:tcPr>
            <w:tcW w:w="1360" w:type="dxa"/>
            <w:tcBorders>
              <w:top w:val="nil"/>
              <w:left w:val="single" w:sz="4" w:space="0" w:color="auto"/>
              <w:bottom w:val="single" w:sz="4" w:space="0" w:color="auto"/>
              <w:right w:val="single" w:sz="4" w:space="0" w:color="auto"/>
            </w:tcBorders>
            <w:shd w:val="clear" w:color="000000" w:fill="FFFFCC"/>
            <w:noWrap/>
            <w:vAlign w:val="bottom"/>
            <w:hideMark/>
          </w:tcPr>
          <w:p w14:paraId="7CB44282" w14:textId="77777777" w:rsidR="001A24C3" w:rsidRPr="00773B79" w:rsidRDefault="001A24C3" w:rsidP="00300963">
            <w:pPr>
              <w:jc w:val="right"/>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97,20%</w:t>
            </w:r>
          </w:p>
        </w:tc>
      </w:tr>
    </w:tbl>
    <w:p w14:paraId="051D26BF" w14:textId="77777777" w:rsidR="001A24C3" w:rsidRPr="00E45533" w:rsidRDefault="001A24C3" w:rsidP="001A24C3">
      <w:pPr>
        <w:rPr>
          <w:b/>
          <w:iCs/>
          <w:color w:val="C00000"/>
          <w:sz w:val="20"/>
          <w:szCs w:val="18"/>
        </w:rPr>
      </w:pPr>
    </w:p>
    <w:p w14:paraId="4A643192" w14:textId="77777777" w:rsidR="001A24C3" w:rsidRPr="00907AA6" w:rsidRDefault="001A24C3" w:rsidP="00907AA6">
      <w:pPr>
        <w:pStyle w:val="Nadpis31"/>
        <w:ind w:left="709" w:hanging="709"/>
        <w:rPr>
          <w:color w:val="auto"/>
        </w:rPr>
      </w:pPr>
      <w:bookmarkStart w:id="350" w:name="_Toc83677873"/>
      <w:bookmarkStart w:id="351" w:name="_Toc88653018"/>
      <w:r w:rsidRPr="00907AA6">
        <w:rPr>
          <w:color w:val="auto"/>
        </w:rPr>
        <w:t>Výpočet sumy rozhodnutia</w:t>
      </w:r>
      <w:bookmarkEnd w:id="350"/>
      <w:bookmarkEnd w:id="351"/>
    </w:p>
    <w:p w14:paraId="00CE931F" w14:textId="77777777" w:rsidR="001A24C3" w:rsidRPr="00E45533" w:rsidRDefault="001A24C3" w:rsidP="001A24C3">
      <w:pPr>
        <w:pStyle w:val="TEXTkOICE"/>
        <w:spacing w:after="240"/>
        <w:ind w:left="0"/>
      </w:pPr>
      <w:r w:rsidRPr="00E45533">
        <w:t>Keď sa aplikuje %-na výška finančnej medzery na oprávnené náklady získavame sumu rozhodnutia, teda sumu, ktorá je priznaná ako grant.</w:t>
      </w:r>
    </w:p>
    <w:p w14:paraId="42382DA5" w14:textId="463410AC" w:rsidR="00907AA6" w:rsidRPr="00E45533" w:rsidRDefault="001A24C3" w:rsidP="00907AA6">
      <w:pPr>
        <w:pStyle w:val="Popis"/>
        <w:keepNext/>
        <w:jc w:val="both"/>
      </w:pPr>
      <w:bookmarkStart w:id="352" w:name="_Toc83677938"/>
      <w:r w:rsidRPr="00E45533">
        <w:t xml:space="preserve">Tabuľka </w:t>
      </w:r>
      <w:r w:rsidR="008B078A">
        <w:rPr>
          <w:noProof/>
        </w:rPr>
        <w:t>67</w:t>
      </w:r>
      <w:r w:rsidRPr="00E45533">
        <w:tab/>
        <w:t xml:space="preserve">Výpočet sumy rozhodnutia </w:t>
      </w:r>
      <w:bookmarkEnd w:id="352"/>
      <w:r w:rsidR="00907AA6">
        <w:t>Variant A</w:t>
      </w:r>
      <w:r w:rsidR="00907AA6" w:rsidRPr="00E45533">
        <w:t xml:space="preserve"> „</w:t>
      </w:r>
      <w:r w:rsidR="00907AA6">
        <w:t>ZÁKLADNÁ MODERNIZÁCIA</w:t>
      </w:r>
      <w:r w:rsidR="00907AA6" w:rsidRPr="00E45533">
        <w:t>“</w:t>
      </w:r>
    </w:p>
    <w:tbl>
      <w:tblPr>
        <w:tblW w:w="4680" w:type="dxa"/>
        <w:tblCellMar>
          <w:left w:w="70" w:type="dxa"/>
          <w:right w:w="70" w:type="dxa"/>
        </w:tblCellMar>
        <w:tblLook w:val="04A0" w:firstRow="1" w:lastRow="0" w:firstColumn="1" w:lastColumn="0" w:noHBand="0" w:noVBand="1"/>
      </w:tblPr>
      <w:tblGrid>
        <w:gridCol w:w="3320"/>
        <w:gridCol w:w="1360"/>
      </w:tblGrid>
      <w:tr w:rsidR="001A24C3" w:rsidRPr="00773B79" w14:paraId="4A3431D9"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56F6522"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5.2 Príspevok Spoločenstva (EÚ)</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2D87B4EA"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r>
      <w:tr w:rsidR="001A24C3" w:rsidRPr="00773B79" w14:paraId="534A0F5E"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F693E8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Oprávnené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13919692"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154 897 559,42</w:t>
            </w:r>
          </w:p>
        </w:tc>
      </w:tr>
      <w:tr w:rsidR="001A24C3" w:rsidRPr="00773B79" w14:paraId="3D5D8FA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B3C690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Suma v rozhodnutí (NFP)</w:t>
            </w:r>
          </w:p>
        </w:tc>
        <w:tc>
          <w:tcPr>
            <w:tcW w:w="1360" w:type="dxa"/>
            <w:tcBorders>
              <w:top w:val="nil"/>
              <w:left w:val="nil"/>
              <w:bottom w:val="single" w:sz="4" w:space="0" w:color="auto"/>
              <w:right w:val="single" w:sz="4" w:space="0" w:color="auto"/>
            </w:tcBorders>
            <w:shd w:val="clear" w:color="auto" w:fill="auto"/>
            <w:noWrap/>
            <w:vAlign w:val="bottom"/>
            <w:hideMark/>
          </w:tcPr>
          <w:p w14:paraId="37972B1C"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149 963 528,13</w:t>
            </w:r>
          </w:p>
        </w:tc>
      </w:tr>
      <w:tr w:rsidR="001A24C3" w:rsidRPr="00773B79" w14:paraId="1A4690A7"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95D32F7"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Pomer spolufinancovania</w:t>
            </w:r>
          </w:p>
        </w:tc>
        <w:tc>
          <w:tcPr>
            <w:tcW w:w="1360" w:type="dxa"/>
            <w:tcBorders>
              <w:top w:val="nil"/>
              <w:left w:val="nil"/>
              <w:bottom w:val="single" w:sz="4" w:space="0" w:color="auto"/>
              <w:right w:val="single" w:sz="4" w:space="0" w:color="auto"/>
            </w:tcBorders>
            <w:shd w:val="clear" w:color="auto" w:fill="auto"/>
            <w:noWrap/>
            <w:vAlign w:val="bottom"/>
            <w:hideMark/>
          </w:tcPr>
          <w:p w14:paraId="17790F24"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85,00%</w:t>
            </w:r>
          </w:p>
        </w:tc>
      </w:tr>
      <w:tr w:rsidR="001A24C3" w:rsidRPr="00773B79" w14:paraId="04E4332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0280F77"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Príspevok Spoločenstva (EÚ)</w:t>
            </w:r>
          </w:p>
        </w:tc>
        <w:tc>
          <w:tcPr>
            <w:tcW w:w="1360" w:type="dxa"/>
            <w:tcBorders>
              <w:top w:val="nil"/>
              <w:left w:val="nil"/>
              <w:bottom w:val="single" w:sz="4" w:space="0" w:color="auto"/>
              <w:right w:val="single" w:sz="4" w:space="0" w:color="auto"/>
            </w:tcBorders>
            <w:shd w:val="clear" w:color="auto" w:fill="auto"/>
            <w:noWrap/>
            <w:vAlign w:val="bottom"/>
            <w:hideMark/>
          </w:tcPr>
          <w:p w14:paraId="3BE615EF"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127 468 998,91</w:t>
            </w:r>
          </w:p>
        </w:tc>
      </w:tr>
      <w:tr w:rsidR="001A24C3" w:rsidRPr="00773B79" w14:paraId="6863139D"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18B94B8"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Pomer spolufinancovania</w:t>
            </w:r>
          </w:p>
        </w:tc>
        <w:tc>
          <w:tcPr>
            <w:tcW w:w="1360" w:type="dxa"/>
            <w:tcBorders>
              <w:top w:val="nil"/>
              <w:left w:val="nil"/>
              <w:bottom w:val="single" w:sz="4" w:space="0" w:color="auto"/>
              <w:right w:val="single" w:sz="4" w:space="0" w:color="auto"/>
            </w:tcBorders>
            <w:shd w:val="clear" w:color="auto" w:fill="auto"/>
            <w:noWrap/>
            <w:vAlign w:val="bottom"/>
            <w:hideMark/>
          </w:tcPr>
          <w:p w14:paraId="22D5351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15,00%</w:t>
            </w:r>
          </w:p>
        </w:tc>
      </w:tr>
      <w:tr w:rsidR="001A24C3" w:rsidRPr="00773B79" w14:paraId="33691957"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BF460D3"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Príspevok štátneho rozpočtu</w:t>
            </w:r>
          </w:p>
        </w:tc>
        <w:tc>
          <w:tcPr>
            <w:tcW w:w="1360" w:type="dxa"/>
            <w:tcBorders>
              <w:top w:val="nil"/>
              <w:left w:val="nil"/>
              <w:bottom w:val="single" w:sz="4" w:space="0" w:color="auto"/>
              <w:right w:val="single" w:sz="4" w:space="0" w:color="auto"/>
            </w:tcBorders>
            <w:shd w:val="clear" w:color="auto" w:fill="auto"/>
            <w:noWrap/>
            <w:vAlign w:val="bottom"/>
            <w:hideMark/>
          </w:tcPr>
          <w:p w14:paraId="293362FC"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22 494 529,22</w:t>
            </w:r>
          </w:p>
        </w:tc>
      </w:tr>
      <w:tr w:rsidR="001A24C3" w:rsidRPr="00773B79" w14:paraId="2A90073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1FDF67F"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Financovanie nad GAP (KT alebo VZ)</w:t>
            </w:r>
          </w:p>
        </w:tc>
        <w:tc>
          <w:tcPr>
            <w:tcW w:w="1360" w:type="dxa"/>
            <w:tcBorders>
              <w:top w:val="nil"/>
              <w:left w:val="nil"/>
              <w:bottom w:val="single" w:sz="4" w:space="0" w:color="auto"/>
              <w:right w:val="single" w:sz="4" w:space="0" w:color="auto"/>
            </w:tcBorders>
            <w:shd w:val="clear" w:color="auto" w:fill="auto"/>
            <w:noWrap/>
            <w:vAlign w:val="bottom"/>
            <w:hideMark/>
          </w:tcPr>
          <w:p w14:paraId="66E64272"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4 934 031,28</w:t>
            </w:r>
          </w:p>
        </w:tc>
      </w:tr>
    </w:tbl>
    <w:p w14:paraId="7272008D" w14:textId="77777777" w:rsidR="001A24C3" w:rsidRPr="00E45533" w:rsidRDefault="001A24C3" w:rsidP="001A24C3">
      <w:pPr>
        <w:pStyle w:val="TEXTkOICE"/>
        <w:ind w:left="0"/>
      </w:pPr>
    </w:p>
    <w:p w14:paraId="326D99B1" w14:textId="4E84FC56" w:rsidR="00907AA6" w:rsidRPr="00E45533" w:rsidRDefault="001A24C3" w:rsidP="00907AA6">
      <w:pPr>
        <w:pStyle w:val="Popis"/>
        <w:keepNext/>
        <w:jc w:val="both"/>
      </w:pPr>
      <w:bookmarkStart w:id="353" w:name="_Toc83677939"/>
      <w:r w:rsidRPr="00E45533">
        <w:t xml:space="preserve">Tabuľka </w:t>
      </w:r>
      <w:r w:rsidR="008B078A">
        <w:rPr>
          <w:noProof/>
        </w:rPr>
        <w:t>68</w:t>
      </w:r>
      <w:r w:rsidRPr="00E45533">
        <w:tab/>
        <w:t xml:space="preserve">Výpočet sumy rozhodnutia </w:t>
      </w:r>
      <w:bookmarkEnd w:id="353"/>
      <w:r w:rsidR="00907AA6">
        <w:t>Variant B</w:t>
      </w:r>
      <w:r w:rsidR="00907AA6" w:rsidRPr="00E45533">
        <w:t xml:space="preserve"> „</w:t>
      </w:r>
      <w:r w:rsidR="00907AA6">
        <w:t>MODERNIZÁCIA žel. trate na rýchlosť 120 až 160km/hod</w:t>
      </w:r>
      <w:r w:rsidR="00907AA6" w:rsidRPr="00E45533">
        <w:t>“</w:t>
      </w:r>
    </w:p>
    <w:tbl>
      <w:tblPr>
        <w:tblW w:w="4680" w:type="dxa"/>
        <w:tblCellMar>
          <w:left w:w="70" w:type="dxa"/>
          <w:right w:w="70" w:type="dxa"/>
        </w:tblCellMar>
        <w:tblLook w:val="04A0" w:firstRow="1" w:lastRow="0" w:firstColumn="1" w:lastColumn="0" w:noHBand="0" w:noVBand="1"/>
      </w:tblPr>
      <w:tblGrid>
        <w:gridCol w:w="3320"/>
        <w:gridCol w:w="1360"/>
      </w:tblGrid>
      <w:tr w:rsidR="001A24C3" w:rsidRPr="00773B79" w14:paraId="0D1F96A7"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D07E30E"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5.2 Príspevok Spoločenstva (EÚ)</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029E473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r>
      <w:tr w:rsidR="001A24C3" w:rsidRPr="00773B79" w14:paraId="72F3BCA9"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FE32D96"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Oprávnené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19587E58"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469 976 800,99</w:t>
            </w:r>
          </w:p>
        </w:tc>
      </w:tr>
      <w:tr w:rsidR="001A24C3" w:rsidRPr="00773B79" w14:paraId="004146A6"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B999AEB"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Suma v rozhodnutí (NFP)</w:t>
            </w:r>
          </w:p>
        </w:tc>
        <w:tc>
          <w:tcPr>
            <w:tcW w:w="1360" w:type="dxa"/>
            <w:tcBorders>
              <w:top w:val="nil"/>
              <w:left w:val="nil"/>
              <w:bottom w:val="single" w:sz="4" w:space="0" w:color="auto"/>
              <w:right w:val="single" w:sz="4" w:space="0" w:color="auto"/>
            </w:tcBorders>
            <w:shd w:val="clear" w:color="auto" w:fill="auto"/>
            <w:noWrap/>
            <w:vAlign w:val="bottom"/>
            <w:hideMark/>
          </w:tcPr>
          <w:p w14:paraId="1ED8DA74"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457 314 310,88</w:t>
            </w:r>
          </w:p>
        </w:tc>
      </w:tr>
      <w:tr w:rsidR="001A24C3" w:rsidRPr="00773B79" w14:paraId="1BC10D70"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33FEBC0"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Pomer spolufinancovania</w:t>
            </w:r>
          </w:p>
        </w:tc>
        <w:tc>
          <w:tcPr>
            <w:tcW w:w="1360" w:type="dxa"/>
            <w:tcBorders>
              <w:top w:val="nil"/>
              <w:left w:val="nil"/>
              <w:bottom w:val="single" w:sz="4" w:space="0" w:color="auto"/>
              <w:right w:val="single" w:sz="4" w:space="0" w:color="auto"/>
            </w:tcBorders>
            <w:shd w:val="clear" w:color="auto" w:fill="auto"/>
            <w:noWrap/>
            <w:vAlign w:val="bottom"/>
            <w:hideMark/>
          </w:tcPr>
          <w:p w14:paraId="26440D5A"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85%</w:t>
            </w:r>
          </w:p>
        </w:tc>
      </w:tr>
      <w:tr w:rsidR="001A24C3" w:rsidRPr="00773B79" w14:paraId="12A7CB9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82D5010"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Príspevok Spoločenstva (EÚ)</w:t>
            </w:r>
          </w:p>
        </w:tc>
        <w:tc>
          <w:tcPr>
            <w:tcW w:w="1360" w:type="dxa"/>
            <w:tcBorders>
              <w:top w:val="nil"/>
              <w:left w:val="nil"/>
              <w:bottom w:val="single" w:sz="4" w:space="0" w:color="auto"/>
              <w:right w:val="single" w:sz="4" w:space="0" w:color="auto"/>
            </w:tcBorders>
            <w:shd w:val="clear" w:color="auto" w:fill="auto"/>
            <w:noWrap/>
            <w:vAlign w:val="bottom"/>
            <w:hideMark/>
          </w:tcPr>
          <w:p w14:paraId="5D654F80"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388 717 164,25</w:t>
            </w:r>
          </w:p>
        </w:tc>
      </w:tr>
      <w:tr w:rsidR="001A24C3" w:rsidRPr="00773B79" w14:paraId="0634D84E"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4A3A8E37"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Pomer spolufinancovania</w:t>
            </w:r>
          </w:p>
        </w:tc>
        <w:tc>
          <w:tcPr>
            <w:tcW w:w="1360" w:type="dxa"/>
            <w:tcBorders>
              <w:top w:val="nil"/>
              <w:left w:val="nil"/>
              <w:bottom w:val="single" w:sz="4" w:space="0" w:color="auto"/>
              <w:right w:val="single" w:sz="4" w:space="0" w:color="auto"/>
            </w:tcBorders>
            <w:shd w:val="clear" w:color="auto" w:fill="auto"/>
            <w:noWrap/>
            <w:vAlign w:val="bottom"/>
            <w:hideMark/>
          </w:tcPr>
          <w:p w14:paraId="436EA175"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15%</w:t>
            </w:r>
          </w:p>
        </w:tc>
      </w:tr>
      <w:tr w:rsidR="001A24C3" w:rsidRPr="00773B79" w14:paraId="4334E542"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45AD0CC"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Príspevok štátneho rozpočtu</w:t>
            </w:r>
          </w:p>
        </w:tc>
        <w:tc>
          <w:tcPr>
            <w:tcW w:w="1360" w:type="dxa"/>
            <w:tcBorders>
              <w:top w:val="nil"/>
              <w:left w:val="nil"/>
              <w:bottom w:val="single" w:sz="4" w:space="0" w:color="auto"/>
              <w:right w:val="single" w:sz="4" w:space="0" w:color="auto"/>
            </w:tcBorders>
            <w:shd w:val="clear" w:color="auto" w:fill="auto"/>
            <w:noWrap/>
            <w:vAlign w:val="bottom"/>
            <w:hideMark/>
          </w:tcPr>
          <w:p w14:paraId="1B08FF3F"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68 597 146,63</w:t>
            </w:r>
          </w:p>
        </w:tc>
      </w:tr>
      <w:tr w:rsidR="001A24C3" w:rsidRPr="00773B79" w14:paraId="338DC952"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F4BF8DB"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Financovanie nad GAP (KT alebo VZ)</w:t>
            </w:r>
          </w:p>
        </w:tc>
        <w:tc>
          <w:tcPr>
            <w:tcW w:w="1360" w:type="dxa"/>
            <w:tcBorders>
              <w:top w:val="nil"/>
              <w:left w:val="nil"/>
              <w:bottom w:val="single" w:sz="4" w:space="0" w:color="auto"/>
              <w:right w:val="single" w:sz="4" w:space="0" w:color="auto"/>
            </w:tcBorders>
            <w:shd w:val="clear" w:color="auto" w:fill="auto"/>
            <w:noWrap/>
            <w:vAlign w:val="bottom"/>
            <w:hideMark/>
          </w:tcPr>
          <w:p w14:paraId="0096C846"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12 662 490,11</w:t>
            </w:r>
          </w:p>
        </w:tc>
      </w:tr>
    </w:tbl>
    <w:p w14:paraId="617128DA" w14:textId="77777777" w:rsidR="001A24C3" w:rsidRPr="00E45533" w:rsidRDefault="001A24C3" w:rsidP="001A24C3">
      <w:pPr>
        <w:rPr>
          <w:b/>
          <w:iCs/>
          <w:color w:val="C00000"/>
          <w:sz w:val="20"/>
          <w:szCs w:val="18"/>
        </w:rPr>
      </w:pPr>
    </w:p>
    <w:p w14:paraId="66749196" w14:textId="466E01F6" w:rsidR="00907AA6" w:rsidRPr="00E45533" w:rsidRDefault="001A24C3" w:rsidP="00907AA6">
      <w:pPr>
        <w:pStyle w:val="Popis"/>
        <w:keepNext/>
        <w:spacing w:before="240"/>
        <w:jc w:val="both"/>
      </w:pPr>
      <w:bookmarkStart w:id="354" w:name="_Toc83677940"/>
      <w:r w:rsidRPr="00E45533">
        <w:t xml:space="preserve">Tabuľka </w:t>
      </w:r>
      <w:r w:rsidR="008B078A">
        <w:rPr>
          <w:noProof/>
        </w:rPr>
        <w:t>69</w:t>
      </w:r>
      <w:r w:rsidRPr="00E45533">
        <w:tab/>
        <w:t xml:space="preserve">Výpočet sumy rozhodnutia </w:t>
      </w:r>
      <w:bookmarkEnd w:id="354"/>
      <w:r w:rsidR="00907AA6">
        <w:t xml:space="preserve">Variant C </w:t>
      </w:r>
      <w:r w:rsidR="00907AA6" w:rsidRPr="00E45533">
        <w:t>„</w:t>
      </w:r>
      <w:r w:rsidR="00907AA6">
        <w:t>KOMBINOVANÝ – optimalizácia trate</w:t>
      </w:r>
      <w:r w:rsidR="00907AA6" w:rsidRPr="00E45533">
        <w:t>“</w:t>
      </w:r>
    </w:p>
    <w:tbl>
      <w:tblPr>
        <w:tblW w:w="4680" w:type="dxa"/>
        <w:tblCellMar>
          <w:left w:w="70" w:type="dxa"/>
          <w:right w:w="70" w:type="dxa"/>
        </w:tblCellMar>
        <w:tblLook w:val="04A0" w:firstRow="1" w:lastRow="0" w:firstColumn="1" w:lastColumn="0" w:noHBand="0" w:noVBand="1"/>
      </w:tblPr>
      <w:tblGrid>
        <w:gridCol w:w="3320"/>
        <w:gridCol w:w="1360"/>
      </w:tblGrid>
      <w:tr w:rsidR="001A24C3" w:rsidRPr="00773B79" w14:paraId="36F71351"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2457CA25"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5.2 Príspevok Spoločenstva (EÚ)</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56F2AD81"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 </w:t>
            </w:r>
          </w:p>
        </w:tc>
      </w:tr>
      <w:tr w:rsidR="001A24C3" w:rsidRPr="00773B79" w14:paraId="2F95918C"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FACE204"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Oprávnené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66679A41"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192 286 004,19</w:t>
            </w:r>
          </w:p>
        </w:tc>
      </w:tr>
      <w:tr w:rsidR="001A24C3" w:rsidRPr="00773B79" w14:paraId="364960C4"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7FD6AD9"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Suma v rozhodnutí (NFP)</w:t>
            </w:r>
          </w:p>
        </w:tc>
        <w:tc>
          <w:tcPr>
            <w:tcW w:w="1360" w:type="dxa"/>
            <w:tcBorders>
              <w:top w:val="nil"/>
              <w:left w:val="nil"/>
              <w:bottom w:val="single" w:sz="4" w:space="0" w:color="auto"/>
              <w:right w:val="single" w:sz="4" w:space="0" w:color="auto"/>
            </w:tcBorders>
            <w:shd w:val="clear" w:color="auto" w:fill="auto"/>
            <w:noWrap/>
            <w:vAlign w:val="bottom"/>
            <w:hideMark/>
          </w:tcPr>
          <w:p w14:paraId="6FF8C924"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186 895 511,35</w:t>
            </w:r>
          </w:p>
        </w:tc>
      </w:tr>
      <w:tr w:rsidR="001A24C3" w:rsidRPr="00773B79" w14:paraId="1720C542"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8120E41"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Pomer spolufinancovania</w:t>
            </w:r>
          </w:p>
        </w:tc>
        <w:tc>
          <w:tcPr>
            <w:tcW w:w="1360" w:type="dxa"/>
            <w:tcBorders>
              <w:top w:val="nil"/>
              <w:left w:val="nil"/>
              <w:bottom w:val="single" w:sz="4" w:space="0" w:color="auto"/>
              <w:right w:val="single" w:sz="4" w:space="0" w:color="auto"/>
            </w:tcBorders>
            <w:shd w:val="clear" w:color="auto" w:fill="auto"/>
            <w:noWrap/>
            <w:vAlign w:val="bottom"/>
            <w:hideMark/>
          </w:tcPr>
          <w:p w14:paraId="27B99F4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0,85</w:t>
            </w:r>
          </w:p>
        </w:tc>
      </w:tr>
      <w:tr w:rsidR="001A24C3" w:rsidRPr="00773B79" w14:paraId="277595A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F3C339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Príspevok Spoločenstva (EÚ)</w:t>
            </w:r>
          </w:p>
        </w:tc>
        <w:tc>
          <w:tcPr>
            <w:tcW w:w="1360" w:type="dxa"/>
            <w:tcBorders>
              <w:top w:val="nil"/>
              <w:left w:val="nil"/>
              <w:bottom w:val="single" w:sz="4" w:space="0" w:color="auto"/>
              <w:right w:val="single" w:sz="4" w:space="0" w:color="auto"/>
            </w:tcBorders>
            <w:shd w:val="clear" w:color="auto" w:fill="auto"/>
            <w:noWrap/>
            <w:vAlign w:val="bottom"/>
            <w:hideMark/>
          </w:tcPr>
          <w:p w14:paraId="2395088C"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158 861 184,65</w:t>
            </w:r>
          </w:p>
        </w:tc>
      </w:tr>
      <w:tr w:rsidR="001A24C3" w:rsidRPr="00773B79" w14:paraId="4C1F8974"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4FB5413"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Pomer spolufinancovania</w:t>
            </w:r>
          </w:p>
        </w:tc>
        <w:tc>
          <w:tcPr>
            <w:tcW w:w="1360" w:type="dxa"/>
            <w:tcBorders>
              <w:top w:val="nil"/>
              <w:left w:val="nil"/>
              <w:bottom w:val="single" w:sz="4" w:space="0" w:color="auto"/>
              <w:right w:val="single" w:sz="4" w:space="0" w:color="auto"/>
            </w:tcBorders>
            <w:shd w:val="clear" w:color="auto" w:fill="auto"/>
            <w:noWrap/>
            <w:vAlign w:val="bottom"/>
            <w:hideMark/>
          </w:tcPr>
          <w:p w14:paraId="18D55B62"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0,15</w:t>
            </w:r>
          </w:p>
        </w:tc>
      </w:tr>
      <w:tr w:rsidR="001A24C3" w:rsidRPr="00773B79" w14:paraId="5F67D554"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70E91296"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Príspevok štátneho rozpočtu</w:t>
            </w:r>
          </w:p>
        </w:tc>
        <w:tc>
          <w:tcPr>
            <w:tcW w:w="1360" w:type="dxa"/>
            <w:tcBorders>
              <w:top w:val="nil"/>
              <w:left w:val="nil"/>
              <w:bottom w:val="single" w:sz="4" w:space="0" w:color="auto"/>
              <w:right w:val="single" w:sz="4" w:space="0" w:color="auto"/>
            </w:tcBorders>
            <w:shd w:val="clear" w:color="auto" w:fill="auto"/>
            <w:noWrap/>
            <w:vAlign w:val="bottom"/>
            <w:hideMark/>
          </w:tcPr>
          <w:p w14:paraId="387AF077"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28 034 326,70</w:t>
            </w:r>
          </w:p>
        </w:tc>
      </w:tr>
      <w:tr w:rsidR="001A24C3" w:rsidRPr="00773B79" w14:paraId="608FEC97"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D6FD806"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Financovanie nad GAP (KT alebo VZ)</w:t>
            </w:r>
          </w:p>
        </w:tc>
        <w:tc>
          <w:tcPr>
            <w:tcW w:w="1360" w:type="dxa"/>
            <w:tcBorders>
              <w:top w:val="nil"/>
              <w:left w:val="nil"/>
              <w:bottom w:val="single" w:sz="4" w:space="0" w:color="auto"/>
              <w:right w:val="single" w:sz="4" w:space="0" w:color="auto"/>
            </w:tcBorders>
            <w:shd w:val="clear" w:color="auto" w:fill="auto"/>
            <w:noWrap/>
            <w:vAlign w:val="bottom"/>
            <w:hideMark/>
          </w:tcPr>
          <w:p w14:paraId="36BF3639"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5 390 492,84</w:t>
            </w:r>
          </w:p>
        </w:tc>
      </w:tr>
    </w:tbl>
    <w:p w14:paraId="0C744C6D" w14:textId="77777777" w:rsidR="001A24C3" w:rsidRPr="00E45533" w:rsidRDefault="001A24C3" w:rsidP="001A24C3">
      <w:pPr>
        <w:rPr>
          <w:b/>
          <w:iCs/>
          <w:color w:val="C00000"/>
          <w:sz w:val="20"/>
          <w:szCs w:val="18"/>
        </w:rPr>
      </w:pPr>
    </w:p>
    <w:p w14:paraId="6EAA8D06" w14:textId="77777777" w:rsidR="001A24C3" w:rsidRPr="00E45533" w:rsidRDefault="001A24C3" w:rsidP="001A24C3">
      <w:pPr>
        <w:rPr>
          <w:b/>
          <w:iCs/>
          <w:color w:val="C00000"/>
          <w:sz w:val="20"/>
          <w:szCs w:val="18"/>
        </w:rPr>
      </w:pPr>
    </w:p>
    <w:p w14:paraId="1FF11AAA" w14:textId="77777777" w:rsidR="001A24C3" w:rsidRPr="00907AA6" w:rsidRDefault="001A24C3" w:rsidP="001A24C3">
      <w:pPr>
        <w:pStyle w:val="Nadpis31"/>
        <w:rPr>
          <w:color w:val="auto"/>
        </w:rPr>
      </w:pPr>
      <w:bookmarkStart w:id="355" w:name="_Toc83677874"/>
      <w:bookmarkStart w:id="356" w:name="_Toc88653019"/>
      <w:r w:rsidRPr="00907AA6">
        <w:rPr>
          <w:color w:val="auto"/>
        </w:rPr>
        <w:lastRenderedPageBreak/>
        <w:t>Výpočet zdrojov financovania</w:t>
      </w:r>
      <w:bookmarkEnd w:id="355"/>
      <w:bookmarkEnd w:id="356"/>
    </w:p>
    <w:p w14:paraId="7F98AC6B" w14:textId="77777777" w:rsidR="001A24C3" w:rsidRPr="00E45533" w:rsidRDefault="001A24C3" w:rsidP="001A24C3">
      <w:pPr>
        <w:pStyle w:val="TEXTkOICE"/>
      </w:pPr>
      <w:r w:rsidRPr="00E45533">
        <w:t>Vypočítaný grant sa následne rozdelí medzi jednotlivé zdroje financovania podľa príslušnej schémy. Ide o tieto zdroje financovania:</w:t>
      </w:r>
    </w:p>
    <w:p w14:paraId="1F1B7BB6" w14:textId="77777777" w:rsidR="001A24C3" w:rsidRPr="00E45533" w:rsidRDefault="001A24C3" w:rsidP="001A24C3">
      <w:pPr>
        <w:pStyle w:val="ODRKY-KOICE"/>
        <w:rPr>
          <w:sz w:val="22"/>
        </w:rPr>
      </w:pPr>
      <w:r w:rsidRPr="00E45533">
        <w:rPr>
          <w:sz w:val="22"/>
        </w:rPr>
        <w:t>EÚ príspevok,</w:t>
      </w:r>
    </w:p>
    <w:p w14:paraId="7C65ABE3" w14:textId="77777777" w:rsidR="001A24C3" w:rsidRPr="00E45533" w:rsidRDefault="001A24C3" w:rsidP="001A24C3">
      <w:pPr>
        <w:pStyle w:val="ODRKY-KOICE"/>
        <w:rPr>
          <w:sz w:val="22"/>
        </w:rPr>
      </w:pPr>
      <w:r w:rsidRPr="00E45533">
        <w:rPr>
          <w:sz w:val="22"/>
        </w:rPr>
        <w:t>spolufinancovanie Štátneho rozpočtu SR,</w:t>
      </w:r>
    </w:p>
    <w:p w14:paraId="63801B33" w14:textId="77777777" w:rsidR="001A24C3" w:rsidRPr="00E45533" w:rsidRDefault="001A24C3" w:rsidP="001A24C3">
      <w:pPr>
        <w:pStyle w:val="ODRKY-KOICE"/>
        <w:rPr>
          <w:sz w:val="22"/>
        </w:rPr>
      </w:pPr>
      <w:r w:rsidRPr="00E45533">
        <w:rPr>
          <w:sz w:val="22"/>
        </w:rPr>
        <w:t>spolufinancovanie prijímateľa, ak je relevantný podľa stratégie financovania.</w:t>
      </w:r>
    </w:p>
    <w:p w14:paraId="44A0578F" w14:textId="77777777" w:rsidR="001A24C3" w:rsidRPr="00E45533" w:rsidRDefault="001A24C3" w:rsidP="001A24C3">
      <w:pPr>
        <w:rPr>
          <w:b/>
          <w:iCs/>
          <w:color w:val="C00000"/>
          <w:sz w:val="20"/>
          <w:szCs w:val="18"/>
        </w:rPr>
      </w:pPr>
    </w:p>
    <w:p w14:paraId="564BCF3B" w14:textId="2A688367" w:rsidR="001A24C3" w:rsidRPr="00E45533" w:rsidRDefault="001A24C3" w:rsidP="00907AA6">
      <w:pPr>
        <w:pStyle w:val="Popis"/>
        <w:keepNext/>
        <w:jc w:val="both"/>
      </w:pPr>
      <w:bookmarkStart w:id="357" w:name="_Toc83677941"/>
      <w:r w:rsidRPr="00E45533">
        <w:t xml:space="preserve">Tabuľka </w:t>
      </w:r>
      <w:r w:rsidR="008B078A">
        <w:rPr>
          <w:noProof/>
        </w:rPr>
        <w:t>70</w:t>
      </w:r>
      <w:r w:rsidRPr="00E45533">
        <w:tab/>
        <w:t xml:space="preserve">Rozdelenie zdrojov financovania </w:t>
      </w:r>
      <w:bookmarkEnd w:id="357"/>
      <w:r w:rsidR="00907AA6">
        <w:t>Variant A</w:t>
      </w:r>
      <w:r w:rsidR="00907AA6" w:rsidRPr="00E45533">
        <w:t xml:space="preserve"> „</w:t>
      </w:r>
      <w:r w:rsidR="00907AA6">
        <w:t>ZÁKLADNÁ MODERNIZÁCIA</w:t>
      </w:r>
      <w:r w:rsidR="00907AA6" w:rsidRPr="00E45533">
        <w:t>“</w:t>
      </w:r>
    </w:p>
    <w:tbl>
      <w:tblPr>
        <w:tblW w:w="4680" w:type="dxa"/>
        <w:tblCellMar>
          <w:left w:w="70" w:type="dxa"/>
          <w:right w:w="70" w:type="dxa"/>
        </w:tblCellMar>
        <w:tblLook w:val="04A0" w:firstRow="1" w:lastRow="0" w:firstColumn="1" w:lastColumn="0" w:noHBand="0" w:noVBand="1"/>
      </w:tblPr>
      <w:tblGrid>
        <w:gridCol w:w="3320"/>
        <w:gridCol w:w="1360"/>
      </w:tblGrid>
      <w:tr w:rsidR="001A24C3" w:rsidRPr="00773B79" w14:paraId="5686B49F"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3559F2CF"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5.3 Štruktúra financovania*</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56C4CA03"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Celkom</w:t>
            </w:r>
          </w:p>
        </w:tc>
      </w:tr>
      <w:tr w:rsidR="001A24C3" w:rsidRPr="00773B79" w14:paraId="104A65A9"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8CC284F"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1B330B6F"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162 429 760,42</w:t>
            </w:r>
          </w:p>
        </w:tc>
      </w:tr>
      <w:tr w:rsidR="001A24C3" w:rsidRPr="00773B79" w14:paraId="20EA893B"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12AD10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Úver**</w:t>
            </w:r>
          </w:p>
        </w:tc>
        <w:tc>
          <w:tcPr>
            <w:tcW w:w="1360" w:type="dxa"/>
            <w:tcBorders>
              <w:top w:val="nil"/>
              <w:left w:val="nil"/>
              <w:bottom w:val="single" w:sz="4" w:space="0" w:color="auto"/>
              <w:right w:val="single" w:sz="4" w:space="0" w:color="auto"/>
            </w:tcBorders>
            <w:shd w:val="clear" w:color="auto" w:fill="auto"/>
            <w:noWrap/>
            <w:vAlign w:val="bottom"/>
            <w:hideMark/>
          </w:tcPr>
          <w:p w14:paraId="32A28C3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0,00</w:t>
            </w:r>
          </w:p>
        </w:tc>
      </w:tr>
      <w:tr w:rsidR="001A24C3" w:rsidRPr="00773B79" w14:paraId="3FB9C305"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609F4F15"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Príspevok z fondov EÚ</w:t>
            </w:r>
          </w:p>
        </w:tc>
        <w:tc>
          <w:tcPr>
            <w:tcW w:w="1360" w:type="dxa"/>
            <w:tcBorders>
              <w:top w:val="nil"/>
              <w:left w:val="nil"/>
              <w:bottom w:val="single" w:sz="4" w:space="0" w:color="auto"/>
              <w:right w:val="single" w:sz="4" w:space="0" w:color="auto"/>
            </w:tcBorders>
            <w:shd w:val="clear" w:color="auto" w:fill="auto"/>
            <w:noWrap/>
            <w:vAlign w:val="bottom"/>
            <w:hideMark/>
          </w:tcPr>
          <w:p w14:paraId="5AA9D0BD"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127 468 998,91</w:t>
            </w:r>
          </w:p>
        </w:tc>
      </w:tr>
      <w:tr w:rsidR="001A24C3" w:rsidRPr="00773B79" w14:paraId="2C812BBE"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47B60EB"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Verejné zdroje SR</w:t>
            </w:r>
          </w:p>
        </w:tc>
        <w:tc>
          <w:tcPr>
            <w:tcW w:w="1360" w:type="dxa"/>
            <w:tcBorders>
              <w:top w:val="nil"/>
              <w:left w:val="nil"/>
              <w:bottom w:val="single" w:sz="4" w:space="0" w:color="auto"/>
              <w:right w:val="single" w:sz="4" w:space="0" w:color="auto"/>
            </w:tcBorders>
            <w:shd w:val="clear" w:color="auto" w:fill="auto"/>
            <w:noWrap/>
            <w:vAlign w:val="bottom"/>
            <w:hideMark/>
          </w:tcPr>
          <w:p w14:paraId="1C4209DD"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34 960 761,51</w:t>
            </w:r>
          </w:p>
        </w:tc>
      </w:tr>
    </w:tbl>
    <w:p w14:paraId="7277E44C" w14:textId="77777777" w:rsidR="001A24C3" w:rsidRPr="00E45533" w:rsidRDefault="001A24C3" w:rsidP="001A24C3">
      <w:pPr>
        <w:rPr>
          <w:b/>
          <w:iCs/>
          <w:color w:val="C00000"/>
          <w:sz w:val="20"/>
          <w:szCs w:val="18"/>
        </w:rPr>
      </w:pPr>
    </w:p>
    <w:p w14:paraId="047AF193" w14:textId="47D5A53F" w:rsidR="00907AA6" w:rsidRPr="00E45533" w:rsidRDefault="001A24C3" w:rsidP="00907AA6">
      <w:pPr>
        <w:pStyle w:val="Popis"/>
        <w:keepNext/>
        <w:jc w:val="both"/>
      </w:pPr>
      <w:bookmarkStart w:id="358" w:name="_Toc83677942"/>
      <w:r w:rsidRPr="00E45533">
        <w:t xml:space="preserve">Tabuľka </w:t>
      </w:r>
      <w:r w:rsidR="008B078A">
        <w:rPr>
          <w:noProof/>
        </w:rPr>
        <w:t>71</w:t>
      </w:r>
      <w:r w:rsidRPr="00E45533">
        <w:tab/>
        <w:t xml:space="preserve">Rozdelenie zdrojov financovania </w:t>
      </w:r>
      <w:bookmarkEnd w:id="358"/>
      <w:r w:rsidR="00907AA6">
        <w:t>Variant B</w:t>
      </w:r>
      <w:r w:rsidR="00907AA6" w:rsidRPr="00E45533">
        <w:t xml:space="preserve"> „</w:t>
      </w:r>
      <w:r w:rsidR="00907AA6">
        <w:t>MODERNIZÁCIA žel. trate na rýchlosť 120 až 160km/hod</w:t>
      </w:r>
      <w:r w:rsidR="00907AA6" w:rsidRPr="00E45533">
        <w:t>“</w:t>
      </w:r>
    </w:p>
    <w:tbl>
      <w:tblPr>
        <w:tblW w:w="4680" w:type="dxa"/>
        <w:tblCellMar>
          <w:left w:w="70" w:type="dxa"/>
          <w:right w:w="70" w:type="dxa"/>
        </w:tblCellMar>
        <w:tblLook w:val="04A0" w:firstRow="1" w:lastRow="0" w:firstColumn="1" w:lastColumn="0" w:noHBand="0" w:noVBand="1"/>
      </w:tblPr>
      <w:tblGrid>
        <w:gridCol w:w="3320"/>
        <w:gridCol w:w="1360"/>
      </w:tblGrid>
      <w:tr w:rsidR="001A24C3" w:rsidRPr="00773B79" w14:paraId="7741B318"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10ABBE43"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5.3 Štruktúra financovania*</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27AEC82A"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Celkom</w:t>
            </w:r>
          </w:p>
        </w:tc>
      </w:tr>
      <w:tr w:rsidR="001A24C3" w:rsidRPr="00773B79" w14:paraId="51DEEE99"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E8096A2"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161F8285"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477 509 001,99</w:t>
            </w:r>
          </w:p>
        </w:tc>
      </w:tr>
      <w:tr w:rsidR="001A24C3" w:rsidRPr="00773B79" w14:paraId="7361C175"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70744BF4"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Úver**</w:t>
            </w:r>
          </w:p>
        </w:tc>
        <w:tc>
          <w:tcPr>
            <w:tcW w:w="1360" w:type="dxa"/>
            <w:tcBorders>
              <w:top w:val="nil"/>
              <w:left w:val="nil"/>
              <w:bottom w:val="single" w:sz="4" w:space="0" w:color="auto"/>
              <w:right w:val="single" w:sz="4" w:space="0" w:color="auto"/>
            </w:tcBorders>
            <w:shd w:val="clear" w:color="auto" w:fill="auto"/>
            <w:noWrap/>
            <w:vAlign w:val="bottom"/>
            <w:hideMark/>
          </w:tcPr>
          <w:p w14:paraId="3892D0D1"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0,00</w:t>
            </w:r>
          </w:p>
        </w:tc>
      </w:tr>
      <w:tr w:rsidR="001A24C3" w:rsidRPr="00773B79" w14:paraId="5F009594"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0847960D"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Príspevok z fondov EÚ</w:t>
            </w:r>
          </w:p>
        </w:tc>
        <w:tc>
          <w:tcPr>
            <w:tcW w:w="1360" w:type="dxa"/>
            <w:tcBorders>
              <w:top w:val="nil"/>
              <w:left w:val="nil"/>
              <w:bottom w:val="single" w:sz="4" w:space="0" w:color="auto"/>
              <w:right w:val="single" w:sz="4" w:space="0" w:color="auto"/>
            </w:tcBorders>
            <w:shd w:val="clear" w:color="auto" w:fill="auto"/>
            <w:noWrap/>
            <w:vAlign w:val="bottom"/>
            <w:hideMark/>
          </w:tcPr>
          <w:p w14:paraId="3D541D9B"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388 717 164,25</w:t>
            </w:r>
          </w:p>
        </w:tc>
      </w:tr>
      <w:tr w:rsidR="001A24C3" w:rsidRPr="00773B79" w14:paraId="2D2C58DD"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3477398A"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Verejné zdroje SR</w:t>
            </w:r>
          </w:p>
        </w:tc>
        <w:tc>
          <w:tcPr>
            <w:tcW w:w="1360" w:type="dxa"/>
            <w:tcBorders>
              <w:top w:val="nil"/>
              <w:left w:val="nil"/>
              <w:bottom w:val="single" w:sz="4" w:space="0" w:color="auto"/>
              <w:right w:val="single" w:sz="4" w:space="0" w:color="auto"/>
            </w:tcBorders>
            <w:shd w:val="clear" w:color="auto" w:fill="auto"/>
            <w:noWrap/>
            <w:vAlign w:val="bottom"/>
            <w:hideMark/>
          </w:tcPr>
          <w:p w14:paraId="5CE736C0"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88 791 837,74</w:t>
            </w:r>
          </w:p>
        </w:tc>
      </w:tr>
    </w:tbl>
    <w:p w14:paraId="1959EC75" w14:textId="77777777" w:rsidR="001A24C3" w:rsidRPr="00E45533" w:rsidRDefault="001A24C3" w:rsidP="001A24C3">
      <w:pPr>
        <w:rPr>
          <w:b/>
          <w:iCs/>
          <w:color w:val="C00000"/>
          <w:sz w:val="20"/>
          <w:szCs w:val="18"/>
        </w:rPr>
      </w:pPr>
    </w:p>
    <w:p w14:paraId="05583973" w14:textId="089E73AD" w:rsidR="00907AA6" w:rsidRPr="00E45533" w:rsidRDefault="001A24C3" w:rsidP="00907AA6">
      <w:pPr>
        <w:pStyle w:val="Popis"/>
        <w:keepNext/>
        <w:spacing w:before="240"/>
        <w:jc w:val="both"/>
      </w:pPr>
      <w:bookmarkStart w:id="359" w:name="_Toc83677943"/>
      <w:r w:rsidRPr="00E45533">
        <w:t>Tabuľka</w:t>
      </w:r>
      <w:r w:rsidR="008B078A">
        <w:rPr>
          <w:noProof/>
        </w:rPr>
        <w:t>72</w:t>
      </w:r>
      <w:r w:rsidRPr="00E45533">
        <w:tab/>
        <w:t xml:space="preserve">Rozdelenie zdrojov financovania </w:t>
      </w:r>
      <w:bookmarkEnd w:id="359"/>
      <w:r w:rsidR="00907AA6">
        <w:t xml:space="preserve">Variant C </w:t>
      </w:r>
      <w:r w:rsidR="00907AA6" w:rsidRPr="00E45533">
        <w:t>„</w:t>
      </w:r>
      <w:r w:rsidR="00907AA6">
        <w:t>KOMBINOVANÝ – optimalizácia trate</w:t>
      </w:r>
      <w:r w:rsidR="00907AA6" w:rsidRPr="00E45533">
        <w:t>“</w:t>
      </w:r>
    </w:p>
    <w:tbl>
      <w:tblPr>
        <w:tblW w:w="4680" w:type="dxa"/>
        <w:tblCellMar>
          <w:left w:w="70" w:type="dxa"/>
          <w:right w:w="70" w:type="dxa"/>
        </w:tblCellMar>
        <w:tblLook w:val="04A0" w:firstRow="1" w:lastRow="0" w:firstColumn="1" w:lastColumn="0" w:noHBand="0" w:noVBand="1"/>
      </w:tblPr>
      <w:tblGrid>
        <w:gridCol w:w="3320"/>
        <w:gridCol w:w="1360"/>
      </w:tblGrid>
      <w:tr w:rsidR="001A24C3" w:rsidRPr="00773B79" w14:paraId="5194FFBE" w14:textId="77777777" w:rsidTr="00300963">
        <w:trPr>
          <w:trHeight w:val="204"/>
        </w:trPr>
        <w:tc>
          <w:tcPr>
            <w:tcW w:w="33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01F715B"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5.3 Štruktúra financovania*</w:t>
            </w:r>
          </w:p>
        </w:tc>
        <w:tc>
          <w:tcPr>
            <w:tcW w:w="1360" w:type="dxa"/>
            <w:tcBorders>
              <w:top w:val="single" w:sz="4" w:space="0" w:color="auto"/>
              <w:left w:val="nil"/>
              <w:bottom w:val="single" w:sz="4" w:space="0" w:color="auto"/>
              <w:right w:val="single" w:sz="4" w:space="0" w:color="auto"/>
            </w:tcBorders>
            <w:shd w:val="clear" w:color="000000" w:fill="D9D9D9"/>
            <w:noWrap/>
            <w:vAlign w:val="bottom"/>
            <w:hideMark/>
          </w:tcPr>
          <w:p w14:paraId="614C924A" w14:textId="77777777" w:rsidR="001A24C3" w:rsidRPr="00773B79" w:rsidRDefault="001A24C3" w:rsidP="00300963">
            <w:pPr>
              <w:jc w:val="center"/>
              <w:rPr>
                <w:rFonts w:ascii="Arial" w:eastAsia="Times New Roman" w:hAnsi="Arial" w:cs="Arial"/>
                <w:sz w:val="16"/>
                <w:szCs w:val="16"/>
                <w:lang w:eastAsia="sk-SK"/>
              </w:rPr>
            </w:pPr>
            <w:r w:rsidRPr="00773B79">
              <w:rPr>
                <w:rFonts w:ascii="Arial" w:eastAsia="Times New Roman" w:hAnsi="Arial" w:cs="Arial"/>
                <w:sz w:val="16"/>
                <w:szCs w:val="16"/>
                <w:lang w:eastAsia="sk-SK"/>
              </w:rPr>
              <w:t>Celkom</w:t>
            </w:r>
          </w:p>
        </w:tc>
      </w:tr>
      <w:tr w:rsidR="001A24C3" w:rsidRPr="00773B79" w14:paraId="016AA6CE"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5C23F436"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výdavky</w:t>
            </w:r>
          </w:p>
        </w:tc>
        <w:tc>
          <w:tcPr>
            <w:tcW w:w="1360" w:type="dxa"/>
            <w:tcBorders>
              <w:top w:val="nil"/>
              <w:left w:val="nil"/>
              <w:bottom w:val="single" w:sz="4" w:space="0" w:color="auto"/>
              <w:right w:val="single" w:sz="4" w:space="0" w:color="auto"/>
            </w:tcBorders>
            <w:shd w:val="clear" w:color="auto" w:fill="auto"/>
            <w:noWrap/>
            <w:vAlign w:val="bottom"/>
            <w:hideMark/>
          </w:tcPr>
          <w:p w14:paraId="6A5CB3CD"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199 818 205,19</w:t>
            </w:r>
          </w:p>
        </w:tc>
      </w:tr>
      <w:tr w:rsidR="001A24C3" w:rsidRPr="00773B79" w14:paraId="13A12A47"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738DCC74"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Úver**</w:t>
            </w:r>
          </w:p>
        </w:tc>
        <w:tc>
          <w:tcPr>
            <w:tcW w:w="1360" w:type="dxa"/>
            <w:tcBorders>
              <w:top w:val="nil"/>
              <w:left w:val="nil"/>
              <w:bottom w:val="single" w:sz="4" w:space="0" w:color="auto"/>
              <w:right w:val="single" w:sz="4" w:space="0" w:color="auto"/>
            </w:tcBorders>
            <w:shd w:val="clear" w:color="auto" w:fill="auto"/>
            <w:noWrap/>
            <w:vAlign w:val="bottom"/>
            <w:hideMark/>
          </w:tcPr>
          <w:p w14:paraId="21E97102"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0,00</w:t>
            </w:r>
          </w:p>
        </w:tc>
      </w:tr>
      <w:tr w:rsidR="001A24C3" w:rsidRPr="00773B79" w14:paraId="5C28AC4A"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28DFA363"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Príspevok z fondov EÚ</w:t>
            </w:r>
          </w:p>
        </w:tc>
        <w:tc>
          <w:tcPr>
            <w:tcW w:w="1360" w:type="dxa"/>
            <w:tcBorders>
              <w:top w:val="nil"/>
              <w:left w:val="nil"/>
              <w:bottom w:val="single" w:sz="4" w:space="0" w:color="auto"/>
              <w:right w:val="single" w:sz="4" w:space="0" w:color="auto"/>
            </w:tcBorders>
            <w:shd w:val="clear" w:color="auto" w:fill="auto"/>
            <w:noWrap/>
            <w:vAlign w:val="bottom"/>
            <w:hideMark/>
          </w:tcPr>
          <w:p w14:paraId="268BCC48"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158 861 184,65</w:t>
            </w:r>
          </w:p>
        </w:tc>
      </w:tr>
      <w:tr w:rsidR="001A24C3" w:rsidRPr="00773B79" w14:paraId="48BECE41" w14:textId="77777777" w:rsidTr="00300963">
        <w:trPr>
          <w:trHeight w:val="204"/>
        </w:trPr>
        <w:tc>
          <w:tcPr>
            <w:tcW w:w="3320" w:type="dxa"/>
            <w:tcBorders>
              <w:top w:val="nil"/>
              <w:left w:val="single" w:sz="4" w:space="0" w:color="auto"/>
              <w:bottom w:val="single" w:sz="4" w:space="0" w:color="auto"/>
              <w:right w:val="single" w:sz="4" w:space="0" w:color="auto"/>
            </w:tcBorders>
            <w:shd w:val="clear" w:color="auto" w:fill="auto"/>
            <w:noWrap/>
            <w:vAlign w:val="bottom"/>
            <w:hideMark/>
          </w:tcPr>
          <w:p w14:paraId="1F666D53"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 toho: Verejné zdroje SR</w:t>
            </w:r>
          </w:p>
        </w:tc>
        <w:tc>
          <w:tcPr>
            <w:tcW w:w="1360" w:type="dxa"/>
            <w:tcBorders>
              <w:top w:val="nil"/>
              <w:left w:val="nil"/>
              <w:bottom w:val="single" w:sz="4" w:space="0" w:color="auto"/>
              <w:right w:val="single" w:sz="4" w:space="0" w:color="auto"/>
            </w:tcBorders>
            <w:shd w:val="clear" w:color="auto" w:fill="auto"/>
            <w:noWrap/>
            <w:vAlign w:val="bottom"/>
            <w:hideMark/>
          </w:tcPr>
          <w:p w14:paraId="377CC5D8"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40 957 020,54</w:t>
            </w:r>
          </w:p>
        </w:tc>
      </w:tr>
    </w:tbl>
    <w:p w14:paraId="5AFB64D6" w14:textId="77777777" w:rsidR="001A24C3" w:rsidRPr="00E1541C" w:rsidRDefault="001A24C3" w:rsidP="001A24C3">
      <w:pPr>
        <w:rPr>
          <w:b/>
          <w:iCs/>
          <w:color w:val="C00000"/>
          <w:sz w:val="20"/>
          <w:szCs w:val="18"/>
        </w:rPr>
      </w:pPr>
    </w:p>
    <w:p w14:paraId="79583BAF" w14:textId="77777777" w:rsidR="001A24C3" w:rsidRPr="00FD01B0" w:rsidRDefault="001A24C3" w:rsidP="001A24C3">
      <w:pPr>
        <w:pStyle w:val="TEXTkOICE"/>
        <w:ind w:left="0"/>
      </w:pPr>
      <w:r w:rsidRPr="00FD01B0">
        <w:t>Už v zmysle vyššie uvedených záverov sme konštatovali, že ide o projekt vo všetkých var</w:t>
      </w:r>
      <w:r>
        <w:t>iantných riešeniach, ktorý generuje príjem, a z uvedeného dôvodu musí byť dofinancovaný do výšky nákladov, ktoré počas referenčného obdobia projekt nedokáže zarobiť. Samotné dofinancovanie závisí od hodnoty vypočítanej finančnej medzery. Výhodnosť a preferenciu jednotlivých variantov posudzovať až na základe ekonomickej analýzy.</w:t>
      </w:r>
    </w:p>
    <w:p w14:paraId="48F68F87" w14:textId="77777777" w:rsidR="001A24C3" w:rsidRPr="00E1541C" w:rsidRDefault="001A24C3" w:rsidP="001A24C3">
      <w:r>
        <w:rPr>
          <w:rFonts w:ascii="Times New Roman" w:hAnsi="Times New Roman"/>
          <w:sz w:val="28"/>
          <w:szCs w:val="28"/>
        </w:rPr>
        <w:br w:type="page"/>
      </w:r>
    </w:p>
    <w:p w14:paraId="35ECF7B3" w14:textId="77777777" w:rsidR="001A24C3" w:rsidRPr="00BE28C1" w:rsidRDefault="001A24C3" w:rsidP="00BE28C1">
      <w:pPr>
        <w:pStyle w:val="Nadpis21"/>
        <w:ind w:left="567" w:hanging="567"/>
        <w:rPr>
          <w:color w:val="00B050"/>
        </w:rPr>
      </w:pPr>
      <w:bookmarkStart w:id="360" w:name="_Toc83677875"/>
      <w:bookmarkStart w:id="361" w:name="_Toc88653020"/>
      <w:r w:rsidRPr="00BE28C1">
        <w:rPr>
          <w:color w:val="00B050"/>
        </w:rPr>
        <w:lastRenderedPageBreak/>
        <w:t>Ekonomická analýza</w:t>
      </w:r>
      <w:bookmarkEnd w:id="360"/>
      <w:bookmarkEnd w:id="361"/>
    </w:p>
    <w:p w14:paraId="5EE756B5" w14:textId="77777777" w:rsidR="001A24C3" w:rsidRDefault="001A24C3" w:rsidP="001A24C3">
      <w:pPr>
        <w:pStyle w:val="TEXTkOICE"/>
        <w:spacing w:after="240"/>
        <w:ind w:left="0"/>
      </w:pPr>
      <w:r w:rsidRPr="00B33106">
        <w:t>Ekonomická analýz</w:t>
      </w:r>
      <w:r>
        <w:t xml:space="preserve">a </w:t>
      </w:r>
      <w:r w:rsidRPr="00B33106">
        <w:t>na základe získaných vstupov v štandardizovanej štruktúre prostredníctvom výpočtov v súlade s riadiacou dokumentáciou vyhodnotí spoločenský prínos projektu. V ekonomickej analýze je použitá diskontná sadzba vo výške 5 %, ktorá zároveň predstavuje aj výšku nákladov obetovaných príležitostí pri realizácii projektu.</w:t>
      </w:r>
    </w:p>
    <w:p w14:paraId="6BF63EEF" w14:textId="147E3E98" w:rsidR="001A24C3" w:rsidRPr="00BE28C1" w:rsidRDefault="001A24C3" w:rsidP="001A24C3">
      <w:pPr>
        <w:pStyle w:val="Nadpis31"/>
        <w:rPr>
          <w:color w:val="auto"/>
        </w:rPr>
      </w:pPr>
      <w:bookmarkStart w:id="362" w:name="_Toc83677876"/>
      <w:bookmarkStart w:id="363" w:name="_Toc88653021"/>
      <w:r w:rsidRPr="00BE28C1">
        <w:rPr>
          <w:color w:val="auto"/>
        </w:rPr>
        <w:t>Variant</w:t>
      </w:r>
      <w:r w:rsidR="00BE28C1" w:rsidRPr="00BE28C1">
        <w:rPr>
          <w:color w:val="auto"/>
        </w:rPr>
        <w:t xml:space="preserve"> A</w:t>
      </w:r>
      <w:r w:rsidRPr="00BE28C1">
        <w:rPr>
          <w:color w:val="auto"/>
        </w:rPr>
        <w:t xml:space="preserve"> </w:t>
      </w:r>
      <w:bookmarkEnd w:id="362"/>
      <w:r w:rsidR="00BE28C1" w:rsidRPr="00BE28C1">
        <w:rPr>
          <w:color w:val="auto"/>
        </w:rPr>
        <w:t>„ZÁKLADNÁ MODERNIZÁCIA“</w:t>
      </w:r>
      <w:r w:rsidRPr="00BE28C1">
        <w:rPr>
          <w:color w:val="auto"/>
        </w:rPr>
        <w:t>“</w:t>
      </w:r>
      <w:bookmarkEnd w:id="363"/>
    </w:p>
    <w:p w14:paraId="60D94737" w14:textId="77777777" w:rsidR="001A24C3" w:rsidRPr="00BE28C1" w:rsidRDefault="001A24C3" w:rsidP="00BE28C1">
      <w:pPr>
        <w:pStyle w:val="Nadpis41"/>
        <w:numPr>
          <w:ilvl w:val="3"/>
          <w:numId w:val="82"/>
        </w:numPr>
        <w:ind w:left="709" w:hanging="709"/>
        <w:rPr>
          <w:color w:val="auto"/>
        </w:rPr>
      </w:pPr>
      <w:bookmarkStart w:id="364" w:name="_Toc88653022"/>
      <w:bookmarkStart w:id="365" w:name="_Toc83677944"/>
      <w:r w:rsidRPr="00BE28C1">
        <w:rPr>
          <w:color w:val="auto"/>
        </w:rPr>
        <w:t>Investičné náklady</w:t>
      </w:r>
      <w:bookmarkEnd w:id="364"/>
    </w:p>
    <w:p w14:paraId="0A8DF482" w14:textId="7546F1A5" w:rsidR="001A24C3" w:rsidRDefault="001A24C3" w:rsidP="001A24C3">
      <w:r w:rsidRPr="000E1FFA">
        <w:t>Investičné náklady sú náklady vynaložené za účelom realizácie projektu. V prípade projektov financovaných z fondov Európskej únie a</w:t>
      </w:r>
      <w:r>
        <w:t xml:space="preserve"> v </w:t>
      </w:r>
      <w:r w:rsidRPr="000E1FFA">
        <w:t xml:space="preserve">nadväznosti na metodiku spracovávania CBA </w:t>
      </w:r>
      <w:r>
        <w:t>sem</w:t>
      </w:r>
      <w:r w:rsidRPr="000E1FFA">
        <w:t xml:space="preserve"> patria </w:t>
      </w:r>
      <w:r>
        <w:t xml:space="preserve">náklady vzniknuté </w:t>
      </w:r>
      <w:r w:rsidR="00BE28C1">
        <w:t>na základnú modernizáciu</w:t>
      </w:r>
      <w:r>
        <w:t xml:space="preserve"> železničnej trate v úseku Krásno nad Kysucou (mimo) – Čadca – štátna hranica SR/ČR v rozsahu zachovania aktuálnych parametrov trate vo všetkých 3 úsekoch (1. Krásno nad Kysucou (mimo) – Čadca (mimo) vrátane nového prestupného terminálu autobus/vlak v Krásne na Kysucou, 2. Stanica Čadca, 3. Čadca – štátna hranica SR/ČR), náklady na riadenie projektu, publicitu a pod. v súlade s cieľmi projektu. </w:t>
      </w:r>
      <w:bookmarkStart w:id="366" w:name="_Hlk88426451"/>
      <w:r>
        <w:t xml:space="preserve">Tieto náklady sú však upravené pomocou konverzných faktorov.  </w:t>
      </w:r>
    </w:p>
    <w:bookmarkEnd w:id="366"/>
    <w:p w14:paraId="02E9C572" w14:textId="77777777" w:rsidR="001A24C3" w:rsidRDefault="001A24C3" w:rsidP="001A24C3">
      <w:pPr>
        <w:pStyle w:val="TEXTkOICE"/>
        <w:ind w:left="0"/>
      </w:pPr>
    </w:p>
    <w:p w14:paraId="5D484BF4" w14:textId="3C47A99A" w:rsidR="001A24C3" w:rsidRDefault="001A24C3" w:rsidP="00BE28C1">
      <w:pPr>
        <w:pStyle w:val="Popis"/>
        <w:keepNext/>
        <w:jc w:val="both"/>
      </w:pPr>
      <w:r>
        <w:t xml:space="preserve">Tabuľka </w:t>
      </w:r>
      <w:r w:rsidR="008B078A">
        <w:rPr>
          <w:noProof/>
        </w:rPr>
        <w:t>73</w:t>
      </w:r>
      <w:r>
        <w:tab/>
        <w:t>Investičné náklady ekonomické</w:t>
      </w:r>
      <w:bookmarkEnd w:id="365"/>
    </w:p>
    <w:tbl>
      <w:tblPr>
        <w:tblW w:w="0" w:type="auto"/>
        <w:tblCellMar>
          <w:left w:w="70" w:type="dxa"/>
          <w:right w:w="70" w:type="dxa"/>
        </w:tblCellMar>
        <w:tblLook w:val="04A0" w:firstRow="1" w:lastRow="0" w:firstColumn="1" w:lastColumn="0" w:noHBand="0" w:noVBand="1"/>
      </w:tblPr>
      <w:tblGrid>
        <w:gridCol w:w="3215"/>
        <w:gridCol w:w="975"/>
        <w:gridCol w:w="908"/>
        <w:gridCol w:w="908"/>
        <w:gridCol w:w="407"/>
        <w:gridCol w:w="407"/>
        <w:gridCol w:w="407"/>
        <w:gridCol w:w="407"/>
        <w:gridCol w:w="407"/>
      </w:tblGrid>
      <w:tr w:rsidR="001A24C3" w:rsidRPr="00020E9B" w14:paraId="5262E808" w14:textId="77777777" w:rsidTr="00300963">
        <w:trPr>
          <w:trHeight w:val="204"/>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3996A98F" w14:textId="77777777" w:rsidR="001A24C3" w:rsidRPr="00020E9B" w:rsidRDefault="001A24C3" w:rsidP="00300963">
            <w:pPr>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1.2 Investičné náklady (EUR) - ekonomické</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3F39C3A" w14:textId="77777777" w:rsidR="001A24C3" w:rsidRPr="00020E9B" w:rsidRDefault="001A24C3" w:rsidP="00300963">
            <w:pPr>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Celkom</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3BD4FA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2023</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0A4EFA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2024</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28A2EB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2025</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7A2FB91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2026</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3DB81B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2025</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70B25E9" w14:textId="77777777" w:rsidR="001A24C3" w:rsidRPr="00020E9B" w:rsidRDefault="001A24C3" w:rsidP="00300963">
            <w:pPr>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31BA47D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2052</w:t>
            </w:r>
          </w:p>
        </w:tc>
      </w:tr>
      <w:tr w:rsidR="001A24C3" w:rsidRPr="00020E9B" w14:paraId="56491501"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76C6E72" w14:textId="77777777" w:rsidR="001A24C3" w:rsidRPr="00020E9B" w:rsidRDefault="001A24C3" w:rsidP="00300963">
            <w:pPr>
              <w:rPr>
                <w:rFonts w:ascii="Arial" w:eastAsia="Times New Roman" w:hAnsi="Arial" w:cs="Arial"/>
                <w:sz w:val="12"/>
                <w:szCs w:val="12"/>
                <w:lang w:eastAsia="sk-SK"/>
              </w:rPr>
            </w:pPr>
            <w:r w:rsidRPr="00020E9B">
              <w:rPr>
                <w:rFonts w:ascii="Arial" w:eastAsia="Times New Roman" w:hAnsi="Arial" w:cs="Arial"/>
                <w:sz w:val="12"/>
                <w:szCs w:val="12"/>
                <w:lang w:eastAsia="sk-SK"/>
              </w:rPr>
              <w:t>Plánovacie/projektové poplatky</w:t>
            </w:r>
          </w:p>
        </w:tc>
        <w:tc>
          <w:tcPr>
            <w:tcW w:w="0" w:type="auto"/>
            <w:tcBorders>
              <w:top w:val="nil"/>
              <w:left w:val="nil"/>
              <w:bottom w:val="single" w:sz="4" w:space="0" w:color="auto"/>
              <w:right w:val="single" w:sz="4" w:space="0" w:color="auto"/>
            </w:tcBorders>
            <w:shd w:val="clear" w:color="auto" w:fill="auto"/>
            <w:noWrap/>
            <w:vAlign w:val="bottom"/>
            <w:hideMark/>
          </w:tcPr>
          <w:p w14:paraId="55D5E8B3"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9 424 516,50</w:t>
            </w:r>
          </w:p>
        </w:tc>
        <w:tc>
          <w:tcPr>
            <w:tcW w:w="0" w:type="auto"/>
            <w:tcBorders>
              <w:top w:val="nil"/>
              <w:left w:val="nil"/>
              <w:bottom w:val="single" w:sz="4" w:space="0" w:color="auto"/>
              <w:right w:val="single" w:sz="4" w:space="0" w:color="auto"/>
            </w:tcBorders>
            <w:shd w:val="clear" w:color="auto" w:fill="auto"/>
            <w:noWrap/>
            <w:vAlign w:val="bottom"/>
            <w:hideMark/>
          </w:tcPr>
          <w:p w14:paraId="0A4CFA57"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9 424 516,50</w:t>
            </w:r>
          </w:p>
        </w:tc>
        <w:tc>
          <w:tcPr>
            <w:tcW w:w="0" w:type="auto"/>
            <w:tcBorders>
              <w:top w:val="nil"/>
              <w:left w:val="nil"/>
              <w:bottom w:val="single" w:sz="4" w:space="0" w:color="auto"/>
              <w:right w:val="single" w:sz="4" w:space="0" w:color="auto"/>
            </w:tcBorders>
            <w:shd w:val="clear" w:color="auto" w:fill="auto"/>
            <w:noWrap/>
            <w:vAlign w:val="bottom"/>
            <w:hideMark/>
          </w:tcPr>
          <w:p w14:paraId="462C90E1"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6BEE733"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4B852BD"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E4AF3E1"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C7AC2B2"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C8C1D33"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r>
      <w:tr w:rsidR="001A24C3" w:rsidRPr="00020E9B" w14:paraId="150907E1"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B79B5C" w14:textId="77777777" w:rsidR="001A24C3" w:rsidRPr="00020E9B" w:rsidRDefault="001A24C3" w:rsidP="00300963">
            <w:pPr>
              <w:rPr>
                <w:rFonts w:ascii="Arial" w:eastAsia="Times New Roman" w:hAnsi="Arial" w:cs="Arial"/>
                <w:sz w:val="12"/>
                <w:szCs w:val="12"/>
                <w:lang w:eastAsia="sk-SK"/>
              </w:rPr>
            </w:pPr>
            <w:r w:rsidRPr="00020E9B">
              <w:rPr>
                <w:rFonts w:ascii="Arial" w:eastAsia="Times New Roman" w:hAnsi="Arial" w:cs="Arial"/>
                <w:sz w:val="12"/>
                <w:szCs w:val="12"/>
                <w:lang w:eastAsia="sk-SK"/>
              </w:rPr>
              <w:t>Pozemky</w:t>
            </w:r>
          </w:p>
        </w:tc>
        <w:tc>
          <w:tcPr>
            <w:tcW w:w="0" w:type="auto"/>
            <w:tcBorders>
              <w:top w:val="nil"/>
              <w:left w:val="nil"/>
              <w:bottom w:val="single" w:sz="4" w:space="0" w:color="auto"/>
              <w:right w:val="single" w:sz="4" w:space="0" w:color="auto"/>
            </w:tcBorders>
            <w:shd w:val="clear" w:color="auto" w:fill="auto"/>
            <w:noWrap/>
            <w:vAlign w:val="bottom"/>
            <w:hideMark/>
          </w:tcPr>
          <w:p w14:paraId="3ACFE3A7"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1 590 900,00</w:t>
            </w:r>
          </w:p>
        </w:tc>
        <w:tc>
          <w:tcPr>
            <w:tcW w:w="0" w:type="auto"/>
            <w:tcBorders>
              <w:top w:val="nil"/>
              <w:left w:val="nil"/>
              <w:bottom w:val="single" w:sz="4" w:space="0" w:color="auto"/>
              <w:right w:val="single" w:sz="4" w:space="0" w:color="auto"/>
            </w:tcBorders>
            <w:shd w:val="clear" w:color="auto" w:fill="auto"/>
            <w:noWrap/>
            <w:vAlign w:val="bottom"/>
            <w:hideMark/>
          </w:tcPr>
          <w:p w14:paraId="545D3F3B"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1 590 900,00</w:t>
            </w:r>
          </w:p>
        </w:tc>
        <w:tc>
          <w:tcPr>
            <w:tcW w:w="0" w:type="auto"/>
            <w:tcBorders>
              <w:top w:val="nil"/>
              <w:left w:val="nil"/>
              <w:bottom w:val="single" w:sz="4" w:space="0" w:color="auto"/>
              <w:right w:val="single" w:sz="4" w:space="0" w:color="auto"/>
            </w:tcBorders>
            <w:shd w:val="clear" w:color="auto" w:fill="auto"/>
            <w:noWrap/>
            <w:vAlign w:val="bottom"/>
            <w:hideMark/>
          </w:tcPr>
          <w:p w14:paraId="184F91CD"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F99375F"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3EDFF71"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C6D7A48"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EF8C2BE"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853E1C5"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r>
      <w:tr w:rsidR="001A24C3" w:rsidRPr="00020E9B" w14:paraId="642165CF"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7FF6E4" w14:textId="77777777" w:rsidR="001A24C3" w:rsidRPr="00020E9B" w:rsidRDefault="001A24C3" w:rsidP="00300963">
            <w:pPr>
              <w:rPr>
                <w:rFonts w:ascii="Arial" w:eastAsia="Times New Roman" w:hAnsi="Arial" w:cs="Arial"/>
                <w:sz w:val="12"/>
                <w:szCs w:val="12"/>
                <w:lang w:eastAsia="sk-SK"/>
              </w:rPr>
            </w:pPr>
            <w:r w:rsidRPr="00020E9B">
              <w:rPr>
                <w:rFonts w:ascii="Arial" w:eastAsia="Times New Roman" w:hAnsi="Arial" w:cs="Arial"/>
                <w:sz w:val="12"/>
                <w:szCs w:val="12"/>
                <w:lang w:eastAsia="sk-SK"/>
              </w:rPr>
              <w:t>Príprava staveniska</w:t>
            </w:r>
          </w:p>
        </w:tc>
        <w:tc>
          <w:tcPr>
            <w:tcW w:w="0" w:type="auto"/>
            <w:tcBorders>
              <w:top w:val="nil"/>
              <w:left w:val="nil"/>
              <w:bottom w:val="single" w:sz="4" w:space="0" w:color="auto"/>
              <w:right w:val="single" w:sz="4" w:space="0" w:color="auto"/>
            </w:tcBorders>
            <w:shd w:val="clear" w:color="auto" w:fill="auto"/>
            <w:noWrap/>
            <w:vAlign w:val="bottom"/>
            <w:hideMark/>
          </w:tcPr>
          <w:p w14:paraId="462F4C7D"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F963213"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00BD47F"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0E404EC"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69DA416"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8AC8501"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D776D3A"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9A61932"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r>
      <w:tr w:rsidR="001A24C3" w:rsidRPr="00020E9B" w14:paraId="30373F95"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4B9D73" w14:textId="77777777" w:rsidR="001A24C3" w:rsidRPr="00020E9B" w:rsidRDefault="001A24C3" w:rsidP="00300963">
            <w:pPr>
              <w:rPr>
                <w:rFonts w:ascii="Arial" w:eastAsia="Times New Roman" w:hAnsi="Arial" w:cs="Arial"/>
                <w:sz w:val="12"/>
                <w:szCs w:val="12"/>
                <w:lang w:eastAsia="sk-SK"/>
              </w:rPr>
            </w:pPr>
            <w:r w:rsidRPr="00020E9B">
              <w:rPr>
                <w:rFonts w:ascii="Arial" w:eastAsia="Times New Roman" w:hAnsi="Arial" w:cs="Arial"/>
                <w:sz w:val="12"/>
                <w:szCs w:val="12"/>
                <w:lang w:eastAsia="sk-SK"/>
              </w:rPr>
              <w:t>Stavebné práce</w:t>
            </w:r>
          </w:p>
        </w:tc>
        <w:tc>
          <w:tcPr>
            <w:tcW w:w="0" w:type="auto"/>
            <w:tcBorders>
              <w:top w:val="nil"/>
              <w:left w:val="nil"/>
              <w:bottom w:val="single" w:sz="4" w:space="0" w:color="auto"/>
              <w:right w:val="single" w:sz="4" w:space="0" w:color="auto"/>
            </w:tcBorders>
            <w:shd w:val="clear" w:color="auto" w:fill="auto"/>
            <w:noWrap/>
            <w:vAlign w:val="bottom"/>
            <w:hideMark/>
          </w:tcPr>
          <w:p w14:paraId="1FE42A28"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116 998 967,15</w:t>
            </w:r>
          </w:p>
        </w:tc>
        <w:tc>
          <w:tcPr>
            <w:tcW w:w="0" w:type="auto"/>
            <w:tcBorders>
              <w:top w:val="nil"/>
              <w:left w:val="nil"/>
              <w:bottom w:val="single" w:sz="4" w:space="0" w:color="auto"/>
              <w:right w:val="single" w:sz="4" w:space="0" w:color="auto"/>
            </w:tcBorders>
            <w:shd w:val="clear" w:color="auto" w:fill="auto"/>
            <w:noWrap/>
            <w:vAlign w:val="bottom"/>
            <w:hideMark/>
          </w:tcPr>
          <w:p w14:paraId="0F32113B"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66 967 679,60</w:t>
            </w:r>
          </w:p>
        </w:tc>
        <w:tc>
          <w:tcPr>
            <w:tcW w:w="0" w:type="auto"/>
            <w:tcBorders>
              <w:top w:val="nil"/>
              <w:left w:val="nil"/>
              <w:bottom w:val="single" w:sz="4" w:space="0" w:color="auto"/>
              <w:right w:val="single" w:sz="4" w:space="0" w:color="auto"/>
            </w:tcBorders>
            <w:shd w:val="clear" w:color="auto" w:fill="auto"/>
            <w:noWrap/>
            <w:vAlign w:val="bottom"/>
            <w:hideMark/>
          </w:tcPr>
          <w:p w14:paraId="0ECBCFF7"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50 031 287,56</w:t>
            </w:r>
          </w:p>
        </w:tc>
        <w:tc>
          <w:tcPr>
            <w:tcW w:w="0" w:type="auto"/>
            <w:tcBorders>
              <w:top w:val="nil"/>
              <w:left w:val="nil"/>
              <w:bottom w:val="single" w:sz="4" w:space="0" w:color="auto"/>
              <w:right w:val="single" w:sz="4" w:space="0" w:color="auto"/>
            </w:tcBorders>
            <w:shd w:val="clear" w:color="auto" w:fill="auto"/>
            <w:noWrap/>
            <w:vAlign w:val="bottom"/>
            <w:hideMark/>
          </w:tcPr>
          <w:p w14:paraId="3BF5EDCE"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4B0BEB7"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B916C3D"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4F2405E"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C9C38AE"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r>
      <w:tr w:rsidR="001A24C3" w:rsidRPr="00020E9B" w14:paraId="2533FC9D"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28EFED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Mosty železobetónové</w:t>
            </w:r>
          </w:p>
        </w:tc>
        <w:tc>
          <w:tcPr>
            <w:tcW w:w="0" w:type="auto"/>
            <w:tcBorders>
              <w:top w:val="nil"/>
              <w:left w:val="nil"/>
              <w:bottom w:val="single" w:sz="4" w:space="0" w:color="auto"/>
              <w:right w:val="single" w:sz="4" w:space="0" w:color="auto"/>
            </w:tcBorders>
            <w:shd w:val="clear" w:color="auto" w:fill="auto"/>
            <w:noWrap/>
            <w:vAlign w:val="bottom"/>
            <w:hideMark/>
          </w:tcPr>
          <w:p w14:paraId="52D32B1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A27DE0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67E7F6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DE959D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C298B3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0CF8B1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517A27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6BF553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3C6F33E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6ED55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Mosty oceľové a mosty priepusty</w:t>
            </w:r>
          </w:p>
        </w:tc>
        <w:tc>
          <w:tcPr>
            <w:tcW w:w="0" w:type="auto"/>
            <w:tcBorders>
              <w:top w:val="nil"/>
              <w:left w:val="nil"/>
              <w:bottom w:val="single" w:sz="4" w:space="0" w:color="auto"/>
              <w:right w:val="single" w:sz="4" w:space="0" w:color="auto"/>
            </w:tcBorders>
            <w:shd w:val="clear" w:color="auto" w:fill="auto"/>
            <w:noWrap/>
            <w:vAlign w:val="bottom"/>
            <w:hideMark/>
          </w:tcPr>
          <w:p w14:paraId="74FB87A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22 843 641,66</w:t>
            </w:r>
          </w:p>
        </w:tc>
        <w:tc>
          <w:tcPr>
            <w:tcW w:w="0" w:type="auto"/>
            <w:tcBorders>
              <w:top w:val="nil"/>
              <w:left w:val="nil"/>
              <w:bottom w:val="single" w:sz="4" w:space="0" w:color="auto"/>
              <w:right w:val="single" w:sz="4" w:space="0" w:color="auto"/>
            </w:tcBorders>
            <w:shd w:val="clear" w:color="auto" w:fill="auto"/>
            <w:noWrap/>
            <w:vAlign w:val="bottom"/>
            <w:hideMark/>
          </w:tcPr>
          <w:p w14:paraId="7090071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10 820 282,52</w:t>
            </w:r>
          </w:p>
        </w:tc>
        <w:tc>
          <w:tcPr>
            <w:tcW w:w="0" w:type="auto"/>
            <w:tcBorders>
              <w:top w:val="nil"/>
              <w:left w:val="nil"/>
              <w:bottom w:val="single" w:sz="4" w:space="0" w:color="auto"/>
              <w:right w:val="single" w:sz="4" w:space="0" w:color="auto"/>
            </w:tcBorders>
            <w:shd w:val="clear" w:color="auto" w:fill="auto"/>
            <w:noWrap/>
            <w:vAlign w:val="bottom"/>
            <w:hideMark/>
          </w:tcPr>
          <w:p w14:paraId="606C7C6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12 023 359,15</w:t>
            </w:r>
          </w:p>
        </w:tc>
        <w:tc>
          <w:tcPr>
            <w:tcW w:w="0" w:type="auto"/>
            <w:tcBorders>
              <w:top w:val="nil"/>
              <w:left w:val="nil"/>
              <w:bottom w:val="single" w:sz="4" w:space="0" w:color="auto"/>
              <w:right w:val="single" w:sz="4" w:space="0" w:color="auto"/>
            </w:tcBorders>
            <w:shd w:val="clear" w:color="auto" w:fill="auto"/>
            <w:noWrap/>
            <w:vAlign w:val="bottom"/>
            <w:hideMark/>
          </w:tcPr>
          <w:p w14:paraId="3CEC87A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91CF98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79D33B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4D5C97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89FFB0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6968550C"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12733B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Tunely</w:t>
            </w:r>
          </w:p>
        </w:tc>
        <w:tc>
          <w:tcPr>
            <w:tcW w:w="0" w:type="auto"/>
            <w:tcBorders>
              <w:top w:val="nil"/>
              <w:left w:val="nil"/>
              <w:bottom w:val="single" w:sz="4" w:space="0" w:color="auto"/>
              <w:right w:val="single" w:sz="4" w:space="0" w:color="auto"/>
            </w:tcBorders>
            <w:shd w:val="clear" w:color="auto" w:fill="auto"/>
            <w:noWrap/>
            <w:vAlign w:val="bottom"/>
            <w:hideMark/>
          </w:tcPr>
          <w:p w14:paraId="27F86EB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0BC3DE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09F44B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91D22F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DD318E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670029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220CB3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F213E8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54AB1A48"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2939A6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Budovy</w:t>
            </w:r>
          </w:p>
        </w:tc>
        <w:tc>
          <w:tcPr>
            <w:tcW w:w="0" w:type="auto"/>
            <w:tcBorders>
              <w:top w:val="nil"/>
              <w:left w:val="nil"/>
              <w:bottom w:val="single" w:sz="4" w:space="0" w:color="auto"/>
              <w:right w:val="single" w:sz="4" w:space="0" w:color="auto"/>
            </w:tcBorders>
            <w:shd w:val="clear" w:color="auto" w:fill="auto"/>
            <w:noWrap/>
            <w:vAlign w:val="bottom"/>
            <w:hideMark/>
          </w:tcPr>
          <w:p w14:paraId="5396601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17 091,31</w:t>
            </w:r>
          </w:p>
        </w:tc>
        <w:tc>
          <w:tcPr>
            <w:tcW w:w="0" w:type="auto"/>
            <w:tcBorders>
              <w:top w:val="nil"/>
              <w:left w:val="nil"/>
              <w:bottom w:val="single" w:sz="4" w:space="0" w:color="auto"/>
              <w:right w:val="single" w:sz="4" w:space="0" w:color="auto"/>
            </w:tcBorders>
            <w:shd w:val="clear" w:color="auto" w:fill="auto"/>
            <w:noWrap/>
            <w:vAlign w:val="bottom"/>
            <w:hideMark/>
          </w:tcPr>
          <w:p w14:paraId="4AF13EE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17 091,31</w:t>
            </w:r>
          </w:p>
        </w:tc>
        <w:tc>
          <w:tcPr>
            <w:tcW w:w="0" w:type="auto"/>
            <w:tcBorders>
              <w:top w:val="nil"/>
              <w:left w:val="nil"/>
              <w:bottom w:val="single" w:sz="4" w:space="0" w:color="auto"/>
              <w:right w:val="single" w:sz="4" w:space="0" w:color="auto"/>
            </w:tcBorders>
            <w:shd w:val="clear" w:color="auto" w:fill="auto"/>
            <w:noWrap/>
            <w:vAlign w:val="bottom"/>
            <w:hideMark/>
          </w:tcPr>
          <w:p w14:paraId="2407EB82"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EE292C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5267B4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053D3C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AEFEDE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1869FB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435525C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31C297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Nástupištia</w:t>
            </w:r>
          </w:p>
        </w:tc>
        <w:tc>
          <w:tcPr>
            <w:tcW w:w="0" w:type="auto"/>
            <w:tcBorders>
              <w:top w:val="nil"/>
              <w:left w:val="nil"/>
              <w:bottom w:val="single" w:sz="4" w:space="0" w:color="auto"/>
              <w:right w:val="single" w:sz="4" w:space="0" w:color="auto"/>
            </w:tcBorders>
            <w:shd w:val="clear" w:color="auto" w:fill="auto"/>
            <w:noWrap/>
            <w:vAlign w:val="bottom"/>
            <w:hideMark/>
          </w:tcPr>
          <w:p w14:paraId="2A7007A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2 048 392,22</w:t>
            </w:r>
          </w:p>
        </w:tc>
        <w:tc>
          <w:tcPr>
            <w:tcW w:w="0" w:type="auto"/>
            <w:tcBorders>
              <w:top w:val="nil"/>
              <w:left w:val="nil"/>
              <w:bottom w:val="single" w:sz="4" w:space="0" w:color="auto"/>
              <w:right w:val="single" w:sz="4" w:space="0" w:color="auto"/>
            </w:tcBorders>
            <w:shd w:val="clear" w:color="auto" w:fill="auto"/>
            <w:noWrap/>
            <w:vAlign w:val="bottom"/>
            <w:hideMark/>
          </w:tcPr>
          <w:p w14:paraId="26E3A0A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754 541,85</w:t>
            </w:r>
          </w:p>
        </w:tc>
        <w:tc>
          <w:tcPr>
            <w:tcW w:w="0" w:type="auto"/>
            <w:tcBorders>
              <w:top w:val="nil"/>
              <w:left w:val="nil"/>
              <w:bottom w:val="single" w:sz="4" w:space="0" w:color="auto"/>
              <w:right w:val="single" w:sz="4" w:space="0" w:color="auto"/>
            </w:tcBorders>
            <w:shd w:val="clear" w:color="auto" w:fill="auto"/>
            <w:noWrap/>
            <w:vAlign w:val="bottom"/>
            <w:hideMark/>
          </w:tcPr>
          <w:p w14:paraId="0597564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1 293 850,37</w:t>
            </w:r>
          </w:p>
        </w:tc>
        <w:tc>
          <w:tcPr>
            <w:tcW w:w="0" w:type="auto"/>
            <w:tcBorders>
              <w:top w:val="nil"/>
              <w:left w:val="nil"/>
              <w:bottom w:val="single" w:sz="4" w:space="0" w:color="auto"/>
              <w:right w:val="single" w:sz="4" w:space="0" w:color="auto"/>
            </w:tcBorders>
            <w:shd w:val="clear" w:color="auto" w:fill="auto"/>
            <w:noWrap/>
            <w:vAlign w:val="bottom"/>
            <w:hideMark/>
          </w:tcPr>
          <w:p w14:paraId="19D698D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8B189C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DFE864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8734C5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A44253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601422E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497C30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Cestné komunikácie</w:t>
            </w:r>
          </w:p>
        </w:tc>
        <w:tc>
          <w:tcPr>
            <w:tcW w:w="0" w:type="auto"/>
            <w:tcBorders>
              <w:top w:val="nil"/>
              <w:left w:val="nil"/>
              <w:bottom w:val="single" w:sz="4" w:space="0" w:color="auto"/>
              <w:right w:val="single" w:sz="4" w:space="0" w:color="auto"/>
            </w:tcBorders>
            <w:shd w:val="clear" w:color="auto" w:fill="auto"/>
            <w:noWrap/>
            <w:vAlign w:val="bottom"/>
            <w:hideMark/>
          </w:tcPr>
          <w:p w14:paraId="3D2194B2"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1 382 043,60</w:t>
            </w:r>
          </w:p>
        </w:tc>
        <w:tc>
          <w:tcPr>
            <w:tcW w:w="0" w:type="auto"/>
            <w:tcBorders>
              <w:top w:val="nil"/>
              <w:left w:val="nil"/>
              <w:bottom w:val="single" w:sz="4" w:space="0" w:color="auto"/>
              <w:right w:val="single" w:sz="4" w:space="0" w:color="auto"/>
            </w:tcBorders>
            <w:shd w:val="clear" w:color="auto" w:fill="auto"/>
            <w:noWrap/>
            <w:vAlign w:val="bottom"/>
            <w:hideMark/>
          </w:tcPr>
          <w:p w14:paraId="4C52507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1 382 043,60</w:t>
            </w:r>
          </w:p>
        </w:tc>
        <w:tc>
          <w:tcPr>
            <w:tcW w:w="0" w:type="auto"/>
            <w:tcBorders>
              <w:top w:val="nil"/>
              <w:left w:val="nil"/>
              <w:bottom w:val="single" w:sz="4" w:space="0" w:color="auto"/>
              <w:right w:val="single" w:sz="4" w:space="0" w:color="auto"/>
            </w:tcBorders>
            <w:shd w:val="clear" w:color="auto" w:fill="auto"/>
            <w:noWrap/>
            <w:vAlign w:val="bottom"/>
            <w:hideMark/>
          </w:tcPr>
          <w:p w14:paraId="0CE6FE3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4B2606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A29885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660568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8E492F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3E62B32"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765A070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F8C2752"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 xml:space="preserve">Trať – železničný spodok </w:t>
            </w:r>
          </w:p>
        </w:tc>
        <w:tc>
          <w:tcPr>
            <w:tcW w:w="0" w:type="auto"/>
            <w:tcBorders>
              <w:top w:val="nil"/>
              <w:left w:val="nil"/>
              <w:bottom w:val="single" w:sz="4" w:space="0" w:color="auto"/>
              <w:right w:val="single" w:sz="4" w:space="0" w:color="auto"/>
            </w:tcBorders>
            <w:shd w:val="clear" w:color="auto" w:fill="auto"/>
            <w:noWrap/>
            <w:vAlign w:val="bottom"/>
            <w:hideMark/>
          </w:tcPr>
          <w:p w14:paraId="3ECD7D7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14 386 036,55</w:t>
            </w:r>
          </w:p>
        </w:tc>
        <w:tc>
          <w:tcPr>
            <w:tcW w:w="0" w:type="auto"/>
            <w:tcBorders>
              <w:top w:val="nil"/>
              <w:left w:val="nil"/>
              <w:bottom w:val="single" w:sz="4" w:space="0" w:color="auto"/>
              <w:right w:val="single" w:sz="4" w:space="0" w:color="auto"/>
            </w:tcBorders>
            <w:shd w:val="clear" w:color="auto" w:fill="auto"/>
            <w:noWrap/>
            <w:vAlign w:val="bottom"/>
            <w:hideMark/>
          </w:tcPr>
          <w:p w14:paraId="6C52D75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9 842 493,01</w:t>
            </w:r>
          </w:p>
        </w:tc>
        <w:tc>
          <w:tcPr>
            <w:tcW w:w="0" w:type="auto"/>
            <w:tcBorders>
              <w:top w:val="nil"/>
              <w:left w:val="nil"/>
              <w:bottom w:val="single" w:sz="4" w:space="0" w:color="auto"/>
              <w:right w:val="single" w:sz="4" w:space="0" w:color="auto"/>
            </w:tcBorders>
            <w:shd w:val="clear" w:color="auto" w:fill="auto"/>
            <w:noWrap/>
            <w:vAlign w:val="bottom"/>
            <w:hideMark/>
          </w:tcPr>
          <w:p w14:paraId="411BABF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4 543 543,54</w:t>
            </w:r>
          </w:p>
        </w:tc>
        <w:tc>
          <w:tcPr>
            <w:tcW w:w="0" w:type="auto"/>
            <w:tcBorders>
              <w:top w:val="nil"/>
              <w:left w:val="nil"/>
              <w:bottom w:val="single" w:sz="4" w:space="0" w:color="auto"/>
              <w:right w:val="single" w:sz="4" w:space="0" w:color="auto"/>
            </w:tcBorders>
            <w:shd w:val="clear" w:color="auto" w:fill="auto"/>
            <w:noWrap/>
            <w:vAlign w:val="bottom"/>
            <w:hideMark/>
          </w:tcPr>
          <w:p w14:paraId="5DA05B9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BE7D48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7D0285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7A946F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4150B2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687AEC0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6CC56E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 xml:space="preserve">Trať – železničný zvršok </w:t>
            </w:r>
          </w:p>
        </w:tc>
        <w:tc>
          <w:tcPr>
            <w:tcW w:w="0" w:type="auto"/>
            <w:tcBorders>
              <w:top w:val="nil"/>
              <w:left w:val="nil"/>
              <w:bottom w:val="single" w:sz="4" w:space="0" w:color="auto"/>
              <w:right w:val="single" w:sz="4" w:space="0" w:color="auto"/>
            </w:tcBorders>
            <w:shd w:val="clear" w:color="auto" w:fill="auto"/>
            <w:noWrap/>
            <w:vAlign w:val="bottom"/>
            <w:hideMark/>
          </w:tcPr>
          <w:p w14:paraId="182FDC1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27 872 167,98</w:t>
            </w:r>
          </w:p>
        </w:tc>
        <w:tc>
          <w:tcPr>
            <w:tcW w:w="0" w:type="auto"/>
            <w:tcBorders>
              <w:top w:val="nil"/>
              <w:left w:val="nil"/>
              <w:bottom w:val="single" w:sz="4" w:space="0" w:color="auto"/>
              <w:right w:val="single" w:sz="4" w:space="0" w:color="auto"/>
            </w:tcBorders>
            <w:shd w:val="clear" w:color="auto" w:fill="auto"/>
            <w:noWrap/>
            <w:vAlign w:val="bottom"/>
            <w:hideMark/>
          </w:tcPr>
          <w:p w14:paraId="7F1AA93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16 951 327,90</w:t>
            </w:r>
          </w:p>
        </w:tc>
        <w:tc>
          <w:tcPr>
            <w:tcW w:w="0" w:type="auto"/>
            <w:tcBorders>
              <w:top w:val="nil"/>
              <w:left w:val="nil"/>
              <w:bottom w:val="single" w:sz="4" w:space="0" w:color="auto"/>
              <w:right w:val="single" w:sz="4" w:space="0" w:color="auto"/>
            </w:tcBorders>
            <w:shd w:val="clear" w:color="auto" w:fill="auto"/>
            <w:noWrap/>
            <w:vAlign w:val="bottom"/>
            <w:hideMark/>
          </w:tcPr>
          <w:p w14:paraId="3CDB1E9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10 920 840,07</w:t>
            </w:r>
          </w:p>
        </w:tc>
        <w:tc>
          <w:tcPr>
            <w:tcW w:w="0" w:type="auto"/>
            <w:tcBorders>
              <w:top w:val="nil"/>
              <w:left w:val="nil"/>
              <w:bottom w:val="single" w:sz="4" w:space="0" w:color="auto"/>
              <w:right w:val="single" w:sz="4" w:space="0" w:color="auto"/>
            </w:tcBorders>
            <w:shd w:val="clear" w:color="auto" w:fill="auto"/>
            <w:noWrap/>
            <w:vAlign w:val="bottom"/>
            <w:hideMark/>
          </w:tcPr>
          <w:p w14:paraId="3D315EE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A12617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E30F542"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73DAA3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3B7AD2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0F94CCB8"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BE1612"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Podporné a oporné múry, spevnenie svahu</w:t>
            </w:r>
          </w:p>
        </w:tc>
        <w:tc>
          <w:tcPr>
            <w:tcW w:w="0" w:type="auto"/>
            <w:tcBorders>
              <w:top w:val="nil"/>
              <w:left w:val="nil"/>
              <w:bottom w:val="single" w:sz="4" w:space="0" w:color="auto"/>
              <w:right w:val="single" w:sz="4" w:space="0" w:color="auto"/>
            </w:tcBorders>
            <w:shd w:val="clear" w:color="auto" w:fill="auto"/>
            <w:noWrap/>
            <w:vAlign w:val="bottom"/>
            <w:hideMark/>
          </w:tcPr>
          <w:p w14:paraId="6D61939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4 645 034,30</w:t>
            </w:r>
          </w:p>
        </w:tc>
        <w:tc>
          <w:tcPr>
            <w:tcW w:w="0" w:type="auto"/>
            <w:tcBorders>
              <w:top w:val="nil"/>
              <w:left w:val="nil"/>
              <w:bottom w:val="single" w:sz="4" w:space="0" w:color="auto"/>
              <w:right w:val="single" w:sz="4" w:space="0" w:color="auto"/>
            </w:tcBorders>
            <w:shd w:val="clear" w:color="auto" w:fill="auto"/>
            <w:noWrap/>
            <w:vAlign w:val="bottom"/>
            <w:hideMark/>
          </w:tcPr>
          <w:p w14:paraId="53680D0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575 326,12</w:t>
            </w:r>
          </w:p>
        </w:tc>
        <w:tc>
          <w:tcPr>
            <w:tcW w:w="0" w:type="auto"/>
            <w:tcBorders>
              <w:top w:val="nil"/>
              <w:left w:val="nil"/>
              <w:bottom w:val="single" w:sz="4" w:space="0" w:color="auto"/>
              <w:right w:val="single" w:sz="4" w:space="0" w:color="auto"/>
            </w:tcBorders>
            <w:shd w:val="clear" w:color="auto" w:fill="auto"/>
            <w:noWrap/>
            <w:vAlign w:val="bottom"/>
            <w:hideMark/>
          </w:tcPr>
          <w:p w14:paraId="59C7B0A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4 069 708,18</w:t>
            </w:r>
          </w:p>
        </w:tc>
        <w:tc>
          <w:tcPr>
            <w:tcW w:w="0" w:type="auto"/>
            <w:tcBorders>
              <w:top w:val="nil"/>
              <w:left w:val="nil"/>
              <w:bottom w:val="single" w:sz="4" w:space="0" w:color="auto"/>
              <w:right w:val="single" w:sz="4" w:space="0" w:color="auto"/>
            </w:tcBorders>
            <w:shd w:val="clear" w:color="auto" w:fill="auto"/>
            <w:noWrap/>
            <w:vAlign w:val="bottom"/>
            <w:hideMark/>
          </w:tcPr>
          <w:p w14:paraId="5CD1204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DD1332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DA4C28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4C6861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F12CEC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1A566AD4"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7E698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Elektrifikácia – trakčné napájacie stanice, trakčné vedenia</w:t>
            </w:r>
          </w:p>
        </w:tc>
        <w:tc>
          <w:tcPr>
            <w:tcW w:w="0" w:type="auto"/>
            <w:tcBorders>
              <w:top w:val="nil"/>
              <w:left w:val="nil"/>
              <w:bottom w:val="single" w:sz="4" w:space="0" w:color="auto"/>
              <w:right w:val="single" w:sz="4" w:space="0" w:color="auto"/>
            </w:tcBorders>
            <w:shd w:val="clear" w:color="auto" w:fill="auto"/>
            <w:noWrap/>
            <w:vAlign w:val="bottom"/>
            <w:hideMark/>
          </w:tcPr>
          <w:p w14:paraId="3EA2A90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23 465 456,85</w:t>
            </w:r>
          </w:p>
        </w:tc>
        <w:tc>
          <w:tcPr>
            <w:tcW w:w="0" w:type="auto"/>
            <w:tcBorders>
              <w:top w:val="nil"/>
              <w:left w:val="nil"/>
              <w:bottom w:val="single" w:sz="4" w:space="0" w:color="auto"/>
              <w:right w:val="single" w:sz="4" w:space="0" w:color="auto"/>
            </w:tcBorders>
            <w:shd w:val="clear" w:color="auto" w:fill="auto"/>
            <w:noWrap/>
            <w:vAlign w:val="bottom"/>
            <w:hideMark/>
          </w:tcPr>
          <w:p w14:paraId="013BFEC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12 906 001,27</w:t>
            </w:r>
          </w:p>
        </w:tc>
        <w:tc>
          <w:tcPr>
            <w:tcW w:w="0" w:type="auto"/>
            <w:tcBorders>
              <w:top w:val="nil"/>
              <w:left w:val="nil"/>
              <w:bottom w:val="single" w:sz="4" w:space="0" w:color="auto"/>
              <w:right w:val="single" w:sz="4" w:space="0" w:color="auto"/>
            </w:tcBorders>
            <w:shd w:val="clear" w:color="auto" w:fill="auto"/>
            <w:noWrap/>
            <w:vAlign w:val="bottom"/>
            <w:hideMark/>
          </w:tcPr>
          <w:p w14:paraId="75A94AA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10 559 455,58</w:t>
            </w:r>
          </w:p>
        </w:tc>
        <w:tc>
          <w:tcPr>
            <w:tcW w:w="0" w:type="auto"/>
            <w:tcBorders>
              <w:top w:val="nil"/>
              <w:left w:val="nil"/>
              <w:bottom w:val="single" w:sz="4" w:space="0" w:color="auto"/>
              <w:right w:val="single" w:sz="4" w:space="0" w:color="auto"/>
            </w:tcBorders>
            <w:shd w:val="clear" w:color="auto" w:fill="auto"/>
            <w:noWrap/>
            <w:vAlign w:val="bottom"/>
            <w:hideMark/>
          </w:tcPr>
          <w:p w14:paraId="7AA2551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0A6558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82CDD1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C2B61A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74EEFE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45FD499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04D0EC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Oznamovacie a telekomunikačné zariadenia</w:t>
            </w:r>
          </w:p>
        </w:tc>
        <w:tc>
          <w:tcPr>
            <w:tcW w:w="0" w:type="auto"/>
            <w:tcBorders>
              <w:top w:val="nil"/>
              <w:left w:val="nil"/>
              <w:bottom w:val="single" w:sz="4" w:space="0" w:color="auto"/>
              <w:right w:val="single" w:sz="4" w:space="0" w:color="auto"/>
            </w:tcBorders>
            <w:shd w:val="clear" w:color="auto" w:fill="auto"/>
            <w:noWrap/>
            <w:vAlign w:val="bottom"/>
            <w:hideMark/>
          </w:tcPr>
          <w:p w14:paraId="273D826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1 933 110,65</w:t>
            </w:r>
          </w:p>
        </w:tc>
        <w:tc>
          <w:tcPr>
            <w:tcW w:w="0" w:type="auto"/>
            <w:tcBorders>
              <w:top w:val="nil"/>
              <w:left w:val="nil"/>
              <w:bottom w:val="single" w:sz="4" w:space="0" w:color="auto"/>
              <w:right w:val="single" w:sz="4" w:space="0" w:color="auto"/>
            </w:tcBorders>
            <w:shd w:val="clear" w:color="auto" w:fill="auto"/>
            <w:noWrap/>
            <w:vAlign w:val="bottom"/>
            <w:hideMark/>
          </w:tcPr>
          <w:p w14:paraId="7DC0582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543 779,03</w:t>
            </w:r>
          </w:p>
        </w:tc>
        <w:tc>
          <w:tcPr>
            <w:tcW w:w="0" w:type="auto"/>
            <w:tcBorders>
              <w:top w:val="nil"/>
              <w:left w:val="nil"/>
              <w:bottom w:val="single" w:sz="4" w:space="0" w:color="auto"/>
              <w:right w:val="single" w:sz="4" w:space="0" w:color="auto"/>
            </w:tcBorders>
            <w:shd w:val="clear" w:color="auto" w:fill="auto"/>
            <w:noWrap/>
            <w:vAlign w:val="bottom"/>
            <w:hideMark/>
          </w:tcPr>
          <w:p w14:paraId="5703856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1 389 331,62</w:t>
            </w:r>
          </w:p>
        </w:tc>
        <w:tc>
          <w:tcPr>
            <w:tcW w:w="0" w:type="auto"/>
            <w:tcBorders>
              <w:top w:val="nil"/>
              <w:left w:val="nil"/>
              <w:bottom w:val="single" w:sz="4" w:space="0" w:color="auto"/>
              <w:right w:val="single" w:sz="4" w:space="0" w:color="auto"/>
            </w:tcBorders>
            <w:shd w:val="clear" w:color="auto" w:fill="auto"/>
            <w:noWrap/>
            <w:vAlign w:val="bottom"/>
            <w:hideMark/>
          </w:tcPr>
          <w:p w14:paraId="3D2165C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54B822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CCDD93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01380F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746E64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3DAB768F"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0FD5A3B"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Signalizačné a zabezpečovacie zariadenia</w:t>
            </w:r>
          </w:p>
        </w:tc>
        <w:tc>
          <w:tcPr>
            <w:tcW w:w="0" w:type="auto"/>
            <w:tcBorders>
              <w:top w:val="nil"/>
              <w:left w:val="nil"/>
              <w:bottom w:val="single" w:sz="4" w:space="0" w:color="auto"/>
              <w:right w:val="single" w:sz="4" w:space="0" w:color="auto"/>
            </w:tcBorders>
            <w:shd w:val="clear" w:color="auto" w:fill="auto"/>
            <w:noWrap/>
            <w:vAlign w:val="bottom"/>
            <w:hideMark/>
          </w:tcPr>
          <w:p w14:paraId="327B3D0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5 308 779,85</w:t>
            </w:r>
          </w:p>
        </w:tc>
        <w:tc>
          <w:tcPr>
            <w:tcW w:w="0" w:type="auto"/>
            <w:tcBorders>
              <w:top w:val="nil"/>
              <w:left w:val="nil"/>
              <w:bottom w:val="single" w:sz="4" w:space="0" w:color="auto"/>
              <w:right w:val="single" w:sz="4" w:space="0" w:color="auto"/>
            </w:tcBorders>
            <w:shd w:val="clear" w:color="auto" w:fill="auto"/>
            <w:noWrap/>
            <w:vAlign w:val="bottom"/>
            <w:hideMark/>
          </w:tcPr>
          <w:p w14:paraId="3CE2480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1 324 731,68</w:t>
            </w:r>
          </w:p>
        </w:tc>
        <w:tc>
          <w:tcPr>
            <w:tcW w:w="0" w:type="auto"/>
            <w:tcBorders>
              <w:top w:val="nil"/>
              <w:left w:val="nil"/>
              <w:bottom w:val="single" w:sz="4" w:space="0" w:color="auto"/>
              <w:right w:val="single" w:sz="4" w:space="0" w:color="auto"/>
            </w:tcBorders>
            <w:shd w:val="clear" w:color="auto" w:fill="auto"/>
            <w:noWrap/>
            <w:vAlign w:val="bottom"/>
            <w:hideMark/>
          </w:tcPr>
          <w:p w14:paraId="4FF3389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3 984 048,17</w:t>
            </w:r>
          </w:p>
        </w:tc>
        <w:tc>
          <w:tcPr>
            <w:tcW w:w="0" w:type="auto"/>
            <w:tcBorders>
              <w:top w:val="nil"/>
              <w:left w:val="nil"/>
              <w:bottom w:val="single" w:sz="4" w:space="0" w:color="auto"/>
              <w:right w:val="single" w:sz="4" w:space="0" w:color="auto"/>
            </w:tcBorders>
            <w:shd w:val="clear" w:color="auto" w:fill="auto"/>
            <w:noWrap/>
            <w:vAlign w:val="bottom"/>
            <w:hideMark/>
          </w:tcPr>
          <w:p w14:paraId="40CF148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35476A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A58FA8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28FCB5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1776D5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05E313C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F01A6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Zariadenia energetiky a elektrotechniky</w:t>
            </w:r>
          </w:p>
        </w:tc>
        <w:tc>
          <w:tcPr>
            <w:tcW w:w="0" w:type="auto"/>
            <w:tcBorders>
              <w:top w:val="nil"/>
              <w:left w:val="nil"/>
              <w:bottom w:val="single" w:sz="4" w:space="0" w:color="auto"/>
              <w:right w:val="single" w:sz="4" w:space="0" w:color="auto"/>
            </w:tcBorders>
            <w:shd w:val="clear" w:color="auto" w:fill="auto"/>
            <w:noWrap/>
            <w:vAlign w:val="bottom"/>
            <w:hideMark/>
          </w:tcPr>
          <w:p w14:paraId="17319BB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52F7B3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997E97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3E4624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B9C2FA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1DC703B"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0CA768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232E75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617F528D"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37ACB8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 xml:space="preserve">Stroje a zariadenia </w:t>
            </w:r>
          </w:p>
        </w:tc>
        <w:tc>
          <w:tcPr>
            <w:tcW w:w="0" w:type="auto"/>
            <w:tcBorders>
              <w:top w:val="nil"/>
              <w:left w:val="nil"/>
              <w:bottom w:val="single" w:sz="4" w:space="0" w:color="auto"/>
              <w:right w:val="single" w:sz="4" w:space="0" w:color="auto"/>
            </w:tcBorders>
            <w:shd w:val="clear" w:color="auto" w:fill="auto"/>
            <w:noWrap/>
            <w:vAlign w:val="bottom"/>
            <w:hideMark/>
          </w:tcPr>
          <w:p w14:paraId="48DFCFA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D2DA45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B0573D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B39023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516404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1ADF21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92E0D1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6B8FAE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248ED1C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8EE01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Protihlukové a iné prvky ochrany životného prostredia</w:t>
            </w:r>
          </w:p>
        </w:tc>
        <w:tc>
          <w:tcPr>
            <w:tcW w:w="0" w:type="auto"/>
            <w:tcBorders>
              <w:top w:val="nil"/>
              <w:left w:val="nil"/>
              <w:bottom w:val="single" w:sz="4" w:space="0" w:color="auto"/>
              <w:right w:val="single" w:sz="4" w:space="0" w:color="auto"/>
            </w:tcBorders>
            <w:shd w:val="clear" w:color="auto" w:fill="auto"/>
            <w:noWrap/>
            <w:vAlign w:val="bottom"/>
            <w:hideMark/>
          </w:tcPr>
          <w:p w14:paraId="403879C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1 360 404,02</w:t>
            </w:r>
          </w:p>
        </w:tc>
        <w:tc>
          <w:tcPr>
            <w:tcW w:w="0" w:type="auto"/>
            <w:tcBorders>
              <w:top w:val="nil"/>
              <w:left w:val="nil"/>
              <w:bottom w:val="single" w:sz="4" w:space="0" w:color="auto"/>
              <w:right w:val="single" w:sz="4" w:space="0" w:color="auto"/>
            </w:tcBorders>
            <w:shd w:val="clear" w:color="auto" w:fill="auto"/>
            <w:noWrap/>
            <w:vAlign w:val="bottom"/>
            <w:hideMark/>
          </w:tcPr>
          <w:p w14:paraId="51A5690A"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113 253,15</w:t>
            </w:r>
          </w:p>
        </w:tc>
        <w:tc>
          <w:tcPr>
            <w:tcW w:w="0" w:type="auto"/>
            <w:tcBorders>
              <w:top w:val="nil"/>
              <w:left w:val="nil"/>
              <w:bottom w:val="single" w:sz="4" w:space="0" w:color="auto"/>
              <w:right w:val="single" w:sz="4" w:space="0" w:color="auto"/>
            </w:tcBorders>
            <w:shd w:val="clear" w:color="auto" w:fill="auto"/>
            <w:noWrap/>
            <w:vAlign w:val="bottom"/>
            <w:hideMark/>
          </w:tcPr>
          <w:p w14:paraId="51BB8DFB"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1 247 150,87</w:t>
            </w:r>
          </w:p>
        </w:tc>
        <w:tc>
          <w:tcPr>
            <w:tcW w:w="0" w:type="auto"/>
            <w:tcBorders>
              <w:top w:val="nil"/>
              <w:left w:val="nil"/>
              <w:bottom w:val="single" w:sz="4" w:space="0" w:color="auto"/>
              <w:right w:val="single" w:sz="4" w:space="0" w:color="auto"/>
            </w:tcBorders>
            <w:shd w:val="clear" w:color="auto" w:fill="auto"/>
            <w:noWrap/>
            <w:vAlign w:val="bottom"/>
            <w:hideMark/>
          </w:tcPr>
          <w:p w14:paraId="2342BEDC"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2A0CE3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E1515E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9F763D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2BF00CE"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3A1A52E1"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6128B5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Ostatné</w:t>
            </w:r>
          </w:p>
        </w:tc>
        <w:tc>
          <w:tcPr>
            <w:tcW w:w="0" w:type="auto"/>
            <w:tcBorders>
              <w:top w:val="nil"/>
              <w:left w:val="nil"/>
              <w:bottom w:val="single" w:sz="4" w:space="0" w:color="auto"/>
              <w:right w:val="single" w:sz="4" w:space="0" w:color="auto"/>
            </w:tcBorders>
            <w:shd w:val="clear" w:color="auto" w:fill="auto"/>
            <w:noWrap/>
            <w:vAlign w:val="bottom"/>
            <w:hideMark/>
          </w:tcPr>
          <w:p w14:paraId="607896D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D3EC6B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C5923F5"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2C5359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2A49AB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FCF802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673F157"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8FE9801"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1498347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EEA468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Vyvolané investície</w:t>
            </w:r>
          </w:p>
        </w:tc>
        <w:tc>
          <w:tcPr>
            <w:tcW w:w="0" w:type="auto"/>
            <w:tcBorders>
              <w:top w:val="nil"/>
              <w:left w:val="nil"/>
              <w:bottom w:val="single" w:sz="4" w:space="0" w:color="auto"/>
              <w:right w:val="single" w:sz="4" w:space="0" w:color="auto"/>
            </w:tcBorders>
            <w:shd w:val="clear" w:color="auto" w:fill="auto"/>
            <w:noWrap/>
            <w:vAlign w:val="bottom"/>
            <w:hideMark/>
          </w:tcPr>
          <w:p w14:paraId="1CA052C8"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11 736 808,15</w:t>
            </w:r>
          </w:p>
        </w:tc>
        <w:tc>
          <w:tcPr>
            <w:tcW w:w="0" w:type="auto"/>
            <w:tcBorders>
              <w:top w:val="nil"/>
              <w:left w:val="nil"/>
              <w:bottom w:val="single" w:sz="4" w:space="0" w:color="auto"/>
              <w:right w:val="single" w:sz="4" w:space="0" w:color="auto"/>
            </w:tcBorders>
            <w:shd w:val="clear" w:color="auto" w:fill="auto"/>
            <w:noWrap/>
            <w:vAlign w:val="bottom"/>
            <w:hideMark/>
          </w:tcPr>
          <w:p w14:paraId="4D947CCD"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11 736 808,15</w:t>
            </w:r>
          </w:p>
        </w:tc>
        <w:tc>
          <w:tcPr>
            <w:tcW w:w="0" w:type="auto"/>
            <w:tcBorders>
              <w:top w:val="nil"/>
              <w:left w:val="nil"/>
              <w:bottom w:val="single" w:sz="4" w:space="0" w:color="auto"/>
              <w:right w:val="single" w:sz="4" w:space="0" w:color="auto"/>
            </w:tcBorders>
            <w:shd w:val="clear" w:color="auto" w:fill="auto"/>
            <w:noWrap/>
            <w:vAlign w:val="bottom"/>
            <w:hideMark/>
          </w:tcPr>
          <w:p w14:paraId="54849C83"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E7537D6"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1EBFC4F"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53B4E60"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F3A6D19"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F784914" w14:textId="77777777" w:rsidR="001A24C3" w:rsidRPr="00020E9B" w:rsidRDefault="001A24C3" w:rsidP="00300963">
            <w:pPr>
              <w:jc w:val="right"/>
              <w:rPr>
                <w:rFonts w:ascii="Arial" w:eastAsia="Times New Roman" w:hAnsi="Arial" w:cs="Arial"/>
                <w:i/>
                <w:iCs/>
                <w:sz w:val="12"/>
                <w:szCs w:val="12"/>
                <w:lang w:eastAsia="sk-SK"/>
              </w:rPr>
            </w:pPr>
            <w:r w:rsidRPr="00020E9B">
              <w:rPr>
                <w:rFonts w:ascii="Arial" w:eastAsia="Times New Roman" w:hAnsi="Arial" w:cs="Arial"/>
                <w:i/>
                <w:iCs/>
                <w:sz w:val="12"/>
                <w:szCs w:val="12"/>
                <w:lang w:eastAsia="sk-SK"/>
              </w:rPr>
              <w:t>0,00</w:t>
            </w:r>
          </w:p>
        </w:tc>
      </w:tr>
      <w:tr w:rsidR="001A24C3" w:rsidRPr="00020E9B" w14:paraId="425E786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E20CB63" w14:textId="77777777" w:rsidR="001A24C3" w:rsidRPr="00020E9B" w:rsidRDefault="001A24C3" w:rsidP="00300963">
            <w:pPr>
              <w:rPr>
                <w:rFonts w:ascii="Arial" w:eastAsia="Times New Roman" w:hAnsi="Arial" w:cs="Arial"/>
                <w:sz w:val="12"/>
                <w:szCs w:val="12"/>
                <w:lang w:eastAsia="sk-SK"/>
              </w:rPr>
            </w:pPr>
            <w:r w:rsidRPr="00020E9B">
              <w:rPr>
                <w:rFonts w:ascii="Arial" w:eastAsia="Times New Roman" w:hAnsi="Arial" w:cs="Arial"/>
                <w:sz w:val="12"/>
                <w:szCs w:val="12"/>
                <w:lang w:eastAsia="sk-SK"/>
              </w:rPr>
              <w:t>Dozor</w:t>
            </w:r>
          </w:p>
        </w:tc>
        <w:tc>
          <w:tcPr>
            <w:tcW w:w="0" w:type="auto"/>
            <w:tcBorders>
              <w:top w:val="nil"/>
              <w:left w:val="nil"/>
              <w:bottom w:val="single" w:sz="4" w:space="0" w:color="auto"/>
              <w:right w:val="single" w:sz="4" w:space="0" w:color="auto"/>
            </w:tcBorders>
            <w:shd w:val="clear" w:color="auto" w:fill="auto"/>
            <w:noWrap/>
            <w:vAlign w:val="bottom"/>
            <w:hideMark/>
          </w:tcPr>
          <w:p w14:paraId="3B2763DD"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3 509 969,01</w:t>
            </w:r>
          </w:p>
        </w:tc>
        <w:tc>
          <w:tcPr>
            <w:tcW w:w="0" w:type="auto"/>
            <w:tcBorders>
              <w:top w:val="nil"/>
              <w:left w:val="nil"/>
              <w:bottom w:val="single" w:sz="4" w:space="0" w:color="auto"/>
              <w:right w:val="single" w:sz="4" w:space="0" w:color="auto"/>
            </w:tcBorders>
            <w:shd w:val="clear" w:color="auto" w:fill="auto"/>
            <w:noWrap/>
            <w:vAlign w:val="bottom"/>
            <w:hideMark/>
          </w:tcPr>
          <w:p w14:paraId="712EF963"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2 009 030,39</w:t>
            </w:r>
          </w:p>
        </w:tc>
        <w:tc>
          <w:tcPr>
            <w:tcW w:w="0" w:type="auto"/>
            <w:tcBorders>
              <w:top w:val="nil"/>
              <w:left w:val="nil"/>
              <w:bottom w:val="single" w:sz="4" w:space="0" w:color="auto"/>
              <w:right w:val="single" w:sz="4" w:space="0" w:color="auto"/>
            </w:tcBorders>
            <w:shd w:val="clear" w:color="auto" w:fill="auto"/>
            <w:noWrap/>
            <w:vAlign w:val="bottom"/>
            <w:hideMark/>
          </w:tcPr>
          <w:p w14:paraId="32223E95"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1 500 938,63</w:t>
            </w:r>
          </w:p>
        </w:tc>
        <w:tc>
          <w:tcPr>
            <w:tcW w:w="0" w:type="auto"/>
            <w:tcBorders>
              <w:top w:val="nil"/>
              <w:left w:val="nil"/>
              <w:bottom w:val="single" w:sz="4" w:space="0" w:color="auto"/>
              <w:right w:val="single" w:sz="4" w:space="0" w:color="auto"/>
            </w:tcBorders>
            <w:shd w:val="clear" w:color="auto" w:fill="auto"/>
            <w:noWrap/>
            <w:vAlign w:val="bottom"/>
            <w:hideMark/>
          </w:tcPr>
          <w:p w14:paraId="66C79818"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222B2E1"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8351344"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730F405"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C0E0EE6"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r>
      <w:tr w:rsidR="001A24C3" w:rsidRPr="00020E9B" w14:paraId="52B8179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D3DE228" w14:textId="77777777" w:rsidR="001A24C3" w:rsidRPr="00020E9B" w:rsidRDefault="001A24C3" w:rsidP="00300963">
            <w:pPr>
              <w:rPr>
                <w:rFonts w:ascii="Arial" w:eastAsia="Times New Roman" w:hAnsi="Arial" w:cs="Arial"/>
                <w:sz w:val="12"/>
                <w:szCs w:val="12"/>
                <w:lang w:eastAsia="sk-SK"/>
              </w:rPr>
            </w:pPr>
            <w:r w:rsidRPr="00020E9B">
              <w:rPr>
                <w:rFonts w:ascii="Arial" w:eastAsia="Times New Roman" w:hAnsi="Arial" w:cs="Arial"/>
                <w:sz w:val="12"/>
                <w:szCs w:val="12"/>
                <w:lang w:eastAsia="sk-SK"/>
              </w:rPr>
              <w:t>Iné služby (Technická pomoc, Publicita, Externé riadenie)</w:t>
            </w:r>
          </w:p>
        </w:tc>
        <w:tc>
          <w:tcPr>
            <w:tcW w:w="0" w:type="auto"/>
            <w:tcBorders>
              <w:top w:val="nil"/>
              <w:left w:val="nil"/>
              <w:bottom w:val="single" w:sz="4" w:space="0" w:color="auto"/>
              <w:right w:val="single" w:sz="4" w:space="0" w:color="auto"/>
            </w:tcBorders>
            <w:shd w:val="clear" w:color="auto" w:fill="auto"/>
            <w:noWrap/>
            <w:vAlign w:val="bottom"/>
            <w:hideMark/>
          </w:tcPr>
          <w:p w14:paraId="0A19F11A"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0431A62"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957F452"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E44DC02"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2B919FC"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226A98B"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04320E6"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A51E482" w14:textId="77777777" w:rsidR="001A24C3" w:rsidRPr="00020E9B" w:rsidRDefault="001A24C3" w:rsidP="00300963">
            <w:pPr>
              <w:jc w:val="right"/>
              <w:rPr>
                <w:rFonts w:ascii="Arial" w:eastAsia="Times New Roman" w:hAnsi="Arial" w:cs="Arial"/>
                <w:sz w:val="12"/>
                <w:szCs w:val="12"/>
                <w:lang w:eastAsia="sk-SK"/>
              </w:rPr>
            </w:pPr>
            <w:r w:rsidRPr="00020E9B">
              <w:rPr>
                <w:rFonts w:ascii="Arial" w:eastAsia="Times New Roman" w:hAnsi="Arial" w:cs="Arial"/>
                <w:sz w:val="12"/>
                <w:szCs w:val="12"/>
                <w:lang w:eastAsia="sk-SK"/>
              </w:rPr>
              <w:t>0,00</w:t>
            </w:r>
          </w:p>
        </w:tc>
      </w:tr>
      <w:tr w:rsidR="001A24C3" w:rsidRPr="00020E9B" w14:paraId="0BF0A09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B6E80FA" w14:textId="77777777" w:rsidR="001A24C3" w:rsidRPr="00020E9B" w:rsidRDefault="001A24C3" w:rsidP="00300963">
            <w:pPr>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Celkové investičné náklady</w:t>
            </w:r>
          </w:p>
        </w:tc>
        <w:tc>
          <w:tcPr>
            <w:tcW w:w="0" w:type="auto"/>
            <w:tcBorders>
              <w:top w:val="nil"/>
              <w:left w:val="nil"/>
              <w:bottom w:val="single" w:sz="4" w:space="0" w:color="auto"/>
              <w:right w:val="single" w:sz="4" w:space="0" w:color="auto"/>
            </w:tcBorders>
            <w:shd w:val="clear" w:color="auto" w:fill="auto"/>
            <w:noWrap/>
            <w:vAlign w:val="bottom"/>
            <w:hideMark/>
          </w:tcPr>
          <w:p w14:paraId="5956F7B2"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131 524 352,67</w:t>
            </w:r>
          </w:p>
        </w:tc>
        <w:tc>
          <w:tcPr>
            <w:tcW w:w="0" w:type="auto"/>
            <w:tcBorders>
              <w:top w:val="nil"/>
              <w:left w:val="nil"/>
              <w:bottom w:val="single" w:sz="4" w:space="0" w:color="auto"/>
              <w:right w:val="single" w:sz="4" w:space="0" w:color="auto"/>
            </w:tcBorders>
            <w:shd w:val="clear" w:color="auto" w:fill="auto"/>
            <w:noWrap/>
            <w:vAlign w:val="bottom"/>
            <w:hideMark/>
          </w:tcPr>
          <w:p w14:paraId="786951AF"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79 992 126,49</w:t>
            </w:r>
          </w:p>
        </w:tc>
        <w:tc>
          <w:tcPr>
            <w:tcW w:w="0" w:type="auto"/>
            <w:tcBorders>
              <w:top w:val="nil"/>
              <w:left w:val="nil"/>
              <w:bottom w:val="single" w:sz="4" w:space="0" w:color="auto"/>
              <w:right w:val="single" w:sz="4" w:space="0" w:color="auto"/>
            </w:tcBorders>
            <w:shd w:val="clear" w:color="auto" w:fill="auto"/>
            <w:noWrap/>
            <w:vAlign w:val="bottom"/>
            <w:hideMark/>
          </w:tcPr>
          <w:p w14:paraId="7B6FA799"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51 532 226,18</w:t>
            </w:r>
          </w:p>
        </w:tc>
        <w:tc>
          <w:tcPr>
            <w:tcW w:w="0" w:type="auto"/>
            <w:tcBorders>
              <w:top w:val="nil"/>
              <w:left w:val="nil"/>
              <w:bottom w:val="single" w:sz="4" w:space="0" w:color="auto"/>
              <w:right w:val="single" w:sz="4" w:space="0" w:color="auto"/>
            </w:tcBorders>
            <w:shd w:val="clear" w:color="auto" w:fill="auto"/>
            <w:noWrap/>
            <w:vAlign w:val="bottom"/>
            <w:hideMark/>
          </w:tcPr>
          <w:p w14:paraId="057D90B2"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D24B6BC"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4831B5F"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4BDD384"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1685E26" w14:textId="77777777" w:rsidR="001A24C3" w:rsidRPr="00020E9B" w:rsidRDefault="001A24C3" w:rsidP="00300963">
            <w:pPr>
              <w:jc w:val="right"/>
              <w:rPr>
                <w:rFonts w:ascii="Arial" w:eastAsia="Times New Roman" w:hAnsi="Arial" w:cs="Arial"/>
                <w:b/>
                <w:bCs/>
                <w:sz w:val="12"/>
                <w:szCs w:val="12"/>
                <w:lang w:eastAsia="sk-SK"/>
              </w:rPr>
            </w:pPr>
            <w:r w:rsidRPr="00020E9B">
              <w:rPr>
                <w:rFonts w:ascii="Arial" w:eastAsia="Times New Roman" w:hAnsi="Arial" w:cs="Arial"/>
                <w:b/>
                <w:bCs/>
                <w:sz w:val="12"/>
                <w:szCs w:val="12"/>
                <w:lang w:eastAsia="sk-SK"/>
              </w:rPr>
              <w:t>0,00</w:t>
            </w:r>
          </w:p>
        </w:tc>
      </w:tr>
    </w:tbl>
    <w:p w14:paraId="294C761A" w14:textId="77777777" w:rsidR="001A24C3" w:rsidRPr="001A20C2" w:rsidRDefault="001A24C3" w:rsidP="001A24C3">
      <w:pPr>
        <w:rPr>
          <w:lang w:eastAsia="sk-SK" w:bidi="sk-SK"/>
        </w:rPr>
      </w:pPr>
    </w:p>
    <w:p w14:paraId="755B895A" w14:textId="26B8F136" w:rsidR="001A24C3" w:rsidRPr="00BE28C1" w:rsidRDefault="00BE28C1" w:rsidP="00BE28C1">
      <w:pPr>
        <w:pStyle w:val="Nadpis41"/>
        <w:ind w:left="709" w:hanging="709"/>
        <w:rPr>
          <w:color w:val="auto"/>
          <w:sz w:val="24"/>
          <w:szCs w:val="24"/>
        </w:rPr>
      </w:pPr>
      <w:r>
        <w:rPr>
          <w:color w:val="auto"/>
          <w:sz w:val="24"/>
          <w:szCs w:val="24"/>
        </w:rPr>
        <w:t xml:space="preserve">  </w:t>
      </w:r>
      <w:bookmarkStart w:id="367" w:name="_Toc88653023"/>
      <w:r w:rsidR="001A24C3" w:rsidRPr="00BE28C1">
        <w:rPr>
          <w:color w:val="auto"/>
          <w:sz w:val="24"/>
          <w:szCs w:val="24"/>
        </w:rPr>
        <w:t>Prevádzkové náklady</w:t>
      </w:r>
      <w:bookmarkEnd w:id="367"/>
    </w:p>
    <w:p w14:paraId="53B12D97" w14:textId="77777777" w:rsidR="001A24C3" w:rsidRDefault="001A24C3" w:rsidP="001A24C3">
      <w:r w:rsidRPr="000E1FFA">
        <w:t>Predstavujú náklady,</w:t>
      </w:r>
      <w:r>
        <w:t xml:space="preserve"> ktoré sú rozčlenené na bežné prevádzkové výdavky a výmeny časti infraštruktúry po skončení doby životnosti (ak skončí skôr ako uplynie referenčné obdobie, </w:t>
      </w:r>
      <w:r>
        <w:lastRenderedPageBreak/>
        <w:t xml:space="preserve">ktoré je pri tomto type projektov 30 rokov). Tieto náklady sú však upravené pomocou konverzných faktorov.  </w:t>
      </w:r>
    </w:p>
    <w:p w14:paraId="55B80017" w14:textId="2BA62873" w:rsidR="001A24C3" w:rsidRDefault="001A24C3" w:rsidP="00BE28C1">
      <w:pPr>
        <w:pStyle w:val="Popis"/>
        <w:keepNext/>
        <w:jc w:val="both"/>
      </w:pPr>
      <w:bookmarkStart w:id="368" w:name="_Toc83677945"/>
      <w:r>
        <w:t xml:space="preserve">Tabuľka </w:t>
      </w:r>
      <w:r w:rsidR="008B078A">
        <w:rPr>
          <w:noProof/>
        </w:rPr>
        <w:t>74</w:t>
      </w:r>
      <w:r>
        <w:tab/>
        <w:t>Prevádzkové náklady ekonomické (prírastkové)</w:t>
      </w:r>
      <w:bookmarkEnd w:id="368"/>
    </w:p>
    <w:tbl>
      <w:tblPr>
        <w:tblW w:w="5360" w:type="dxa"/>
        <w:tblCellMar>
          <w:left w:w="70" w:type="dxa"/>
          <w:right w:w="70" w:type="dxa"/>
        </w:tblCellMar>
        <w:tblLook w:val="04A0" w:firstRow="1" w:lastRow="0" w:firstColumn="1" w:lastColumn="0" w:noHBand="0" w:noVBand="1"/>
      </w:tblPr>
      <w:tblGrid>
        <w:gridCol w:w="4060"/>
        <w:gridCol w:w="1300"/>
      </w:tblGrid>
      <w:tr w:rsidR="001A24C3" w:rsidRPr="00020E9B" w14:paraId="10EE0B4B"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E84E25" w14:textId="77777777" w:rsidR="001A24C3" w:rsidRPr="00020E9B" w:rsidRDefault="001A24C3" w:rsidP="00300963">
            <w:pPr>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3.4 Prevádzkové náklady (ekonomické)</w:t>
            </w:r>
          </w:p>
        </w:tc>
        <w:tc>
          <w:tcPr>
            <w:tcW w:w="1300" w:type="dxa"/>
            <w:tcBorders>
              <w:top w:val="single" w:sz="4" w:space="0" w:color="auto"/>
              <w:left w:val="nil"/>
              <w:bottom w:val="single" w:sz="4" w:space="0" w:color="auto"/>
              <w:right w:val="single" w:sz="4" w:space="0" w:color="auto"/>
            </w:tcBorders>
            <w:shd w:val="clear" w:color="auto" w:fill="auto"/>
            <w:noWrap/>
            <w:vAlign w:val="bottom"/>
            <w:hideMark/>
          </w:tcPr>
          <w:p w14:paraId="010AA87A" w14:textId="77777777" w:rsidR="001A24C3" w:rsidRPr="00020E9B" w:rsidRDefault="001A24C3" w:rsidP="00300963">
            <w:pPr>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 </w:t>
            </w:r>
          </w:p>
        </w:tc>
      </w:tr>
      <w:tr w:rsidR="001A24C3" w:rsidRPr="00020E9B" w14:paraId="1A773F03"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FFFFCC"/>
            <w:noWrap/>
            <w:vAlign w:val="bottom"/>
            <w:hideMark/>
          </w:tcPr>
          <w:p w14:paraId="1733EDDA" w14:textId="77777777" w:rsidR="001A24C3" w:rsidRPr="00020E9B" w:rsidRDefault="001A24C3" w:rsidP="00300963">
            <w:pPr>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Inkrementálne (PRÍRASTKOVÉ)</w:t>
            </w:r>
          </w:p>
        </w:tc>
        <w:tc>
          <w:tcPr>
            <w:tcW w:w="1300" w:type="dxa"/>
            <w:tcBorders>
              <w:top w:val="nil"/>
              <w:left w:val="nil"/>
              <w:bottom w:val="single" w:sz="4" w:space="0" w:color="auto"/>
              <w:right w:val="single" w:sz="4" w:space="0" w:color="auto"/>
            </w:tcBorders>
            <w:shd w:val="clear" w:color="000000" w:fill="FFFFCC"/>
            <w:noWrap/>
            <w:vAlign w:val="bottom"/>
            <w:hideMark/>
          </w:tcPr>
          <w:p w14:paraId="3E388C9D" w14:textId="77777777" w:rsidR="001A24C3" w:rsidRPr="00020E9B" w:rsidRDefault="001A24C3" w:rsidP="00300963">
            <w:pPr>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Celkom</w:t>
            </w:r>
          </w:p>
        </w:tc>
      </w:tr>
      <w:tr w:rsidR="001A24C3" w:rsidRPr="00020E9B" w14:paraId="158C24E3"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BB91B52" w14:textId="77777777" w:rsidR="001A24C3" w:rsidRPr="00020E9B" w:rsidRDefault="001A24C3" w:rsidP="00300963">
            <w:pPr>
              <w:rPr>
                <w:rFonts w:ascii="Arial" w:eastAsia="Times New Roman" w:hAnsi="Arial" w:cs="Arial"/>
                <w:sz w:val="16"/>
                <w:szCs w:val="16"/>
                <w:lang w:eastAsia="sk-SK"/>
              </w:rPr>
            </w:pPr>
            <w:r w:rsidRPr="00020E9B">
              <w:rPr>
                <w:rFonts w:ascii="Arial" w:eastAsia="Times New Roman" w:hAnsi="Arial" w:cs="Arial"/>
                <w:sz w:val="16"/>
                <w:szCs w:val="16"/>
                <w:lang w:eastAsia="sk-SK"/>
              </w:rPr>
              <w:t>Prevádzkové náklady</w:t>
            </w:r>
          </w:p>
        </w:tc>
        <w:tc>
          <w:tcPr>
            <w:tcW w:w="1300" w:type="dxa"/>
            <w:tcBorders>
              <w:top w:val="nil"/>
              <w:left w:val="nil"/>
              <w:bottom w:val="single" w:sz="4" w:space="0" w:color="auto"/>
              <w:right w:val="single" w:sz="4" w:space="0" w:color="auto"/>
            </w:tcBorders>
            <w:shd w:val="clear" w:color="auto" w:fill="auto"/>
            <w:noWrap/>
            <w:vAlign w:val="bottom"/>
            <w:hideMark/>
          </w:tcPr>
          <w:p w14:paraId="375A12B3" w14:textId="77777777" w:rsidR="001A24C3" w:rsidRPr="00020E9B" w:rsidRDefault="001A24C3" w:rsidP="00300963">
            <w:pPr>
              <w:jc w:val="right"/>
              <w:rPr>
                <w:rFonts w:ascii="Arial" w:eastAsia="Times New Roman" w:hAnsi="Arial" w:cs="Arial"/>
                <w:sz w:val="16"/>
                <w:szCs w:val="16"/>
                <w:lang w:eastAsia="sk-SK"/>
              </w:rPr>
            </w:pPr>
            <w:r w:rsidRPr="00020E9B">
              <w:rPr>
                <w:rFonts w:ascii="Arial" w:eastAsia="Times New Roman" w:hAnsi="Arial" w:cs="Arial"/>
                <w:sz w:val="16"/>
                <w:szCs w:val="16"/>
                <w:lang w:eastAsia="sk-SK"/>
              </w:rPr>
              <w:t>0,00</w:t>
            </w:r>
          </w:p>
        </w:tc>
      </w:tr>
      <w:tr w:rsidR="001A24C3" w:rsidRPr="00020E9B" w14:paraId="56368D45"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C6FD35C" w14:textId="77777777" w:rsidR="001A24C3" w:rsidRPr="00020E9B" w:rsidRDefault="001A24C3" w:rsidP="00300963">
            <w:pPr>
              <w:rPr>
                <w:rFonts w:ascii="Arial" w:eastAsia="Times New Roman" w:hAnsi="Arial" w:cs="Arial"/>
                <w:sz w:val="16"/>
                <w:szCs w:val="16"/>
                <w:lang w:eastAsia="sk-SK"/>
              </w:rPr>
            </w:pPr>
            <w:r w:rsidRPr="00020E9B">
              <w:rPr>
                <w:rFonts w:ascii="Arial" w:eastAsia="Times New Roman" w:hAnsi="Arial" w:cs="Arial"/>
                <w:sz w:val="16"/>
                <w:szCs w:val="16"/>
                <w:lang w:eastAsia="sk-SK"/>
              </w:rPr>
              <w:t>Výmeny</w:t>
            </w:r>
          </w:p>
        </w:tc>
        <w:tc>
          <w:tcPr>
            <w:tcW w:w="1300" w:type="dxa"/>
            <w:tcBorders>
              <w:top w:val="nil"/>
              <w:left w:val="nil"/>
              <w:bottom w:val="single" w:sz="4" w:space="0" w:color="auto"/>
              <w:right w:val="single" w:sz="4" w:space="0" w:color="auto"/>
            </w:tcBorders>
            <w:shd w:val="clear" w:color="auto" w:fill="auto"/>
            <w:noWrap/>
            <w:vAlign w:val="bottom"/>
            <w:hideMark/>
          </w:tcPr>
          <w:p w14:paraId="290C416C" w14:textId="77777777" w:rsidR="001A24C3" w:rsidRPr="00020E9B" w:rsidRDefault="001A24C3" w:rsidP="00300963">
            <w:pPr>
              <w:jc w:val="right"/>
              <w:rPr>
                <w:rFonts w:ascii="Arial" w:eastAsia="Times New Roman" w:hAnsi="Arial" w:cs="Arial"/>
                <w:sz w:val="16"/>
                <w:szCs w:val="16"/>
                <w:lang w:eastAsia="sk-SK"/>
              </w:rPr>
            </w:pPr>
            <w:r w:rsidRPr="00020E9B">
              <w:rPr>
                <w:rFonts w:ascii="Arial" w:eastAsia="Times New Roman" w:hAnsi="Arial" w:cs="Arial"/>
                <w:sz w:val="16"/>
                <w:szCs w:val="16"/>
                <w:lang w:eastAsia="sk-SK"/>
              </w:rPr>
              <w:t>-55 755 002,58</w:t>
            </w:r>
          </w:p>
        </w:tc>
      </w:tr>
      <w:tr w:rsidR="001A24C3" w:rsidRPr="00020E9B" w14:paraId="38FA9EDB"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5D68363" w14:textId="77777777" w:rsidR="001A24C3" w:rsidRPr="00020E9B" w:rsidRDefault="001A24C3" w:rsidP="00300963">
            <w:pPr>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Celkové prevádzkové náklady na údržbu</w:t>
            </w:r>
          </w:p>
        </w:tc>
        <w:tc>
          <w:tcPr>
            <w:tcW w:w="1300" w:type="dxa"/>
            <w:tcBorders>
              <w:top w:val="nil"/>
              <w:left w:val="nil"/>
              <w:bottom w:val="single" w:sz="4" w:space="0" w:color="auto"/>
              <w:right w:val="single" w:sz="4" w:space="0" w:color="auto"/>
            </w:tcBorders>
            <w:shd w:val="clear" w:color="auto" w:fill="auto"/>
            <w:noWrap/>
            <w:vAlign w:val="bottom"/>
            <w:hideMark/>
          </w:tcPr>
          <w:p w14:paraId="117B0EFC" w14:textId="77777777" w:rsidR="001A24C3" w:rsidRPr="00020E9B" w:rsidRDefault="001A24C3" w:rsidP="00300963">
            <w:pPr>
              <w:jc w:val="right"/>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-55 755 002,58</w:t>
            </w:r>
          </w:p>
        </w:tc>
      </w:tr>
      <w:tr w:rsidR="001A24C3" w:rsidRPr="00020E9B" w14:paraId="46233CFA"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1AD1213" w14:textId="77777777" w:rsidR="001A24C3" w:rsidRPr="00020E9B" w:rsidRDefault="001A24C3" w:rsidP="00300963">
            <w:pPr>
              <w:rPr>
                <w:rFonts w:ascii="Arial" w:eastAsia="Times New Roman" w:hAnsi="Arial" w:cs="Arial"/>
                <w:sz w:val="16"/>
                <w:szCs w:val="16"/>
                <w:lang w:eastAsia="sk-SK"/>
              </w:rPr>
            </w:pPr>
            <w:r w:rsidRPr="00020E9B">
              <w:rPr>
                <w:rFonts w:ascii="Arial" w:eastAsia="Times New Roman" w:hAnsi="Arial" w:cs="Arial"/>
                <w:sz w:val="16"/>
                <w:szCs w:val="16"/>
                <w:lang w:eastAsia="sk-SK"/>
              </w:rPr>
              <w:t>Iné špecifické náklady</w:t>
            </w:r>
          </w:p>
        </w:tc>
        <w:tc>
          <w:tcPr>
            <w:tcW w:w="1300" w:type="dxa"/>
            <w:tcBorders>
              <w:top w:val="nil"/>
              <w:left w:val="nil"/>
              <w:bottom w:val="single" w:sz="4" w:space="0" w:color="auto"/>
              <w:right w:val="single" w:sz="4" w:space="0" w:color="auto"/>
            </w:tcBorders>
            <w:shd w:val="clear" w:color="auto" w:fill="auto"/>
            <w:noWrap/>
            <w:vAlign w:val="bottom"/>
            <w:hideMark/>
          </w:tcPr>
          <w:p w14:paraId="679B268F" w14:textId="77777777" w:rsidR="001A24C3" w:rsidRPr="00020E9B" w:rsidRDefault="001A24C3" w:rsidP="00300963">
            <w:pPr>
              <w:jc w:val="right"/>
              <w:rPr>
                <w:rFonts w:ascii="Arial" w:eastAsia="Times New Roman" w:hAnsi="Arial" w:cs="Arial"/>
                <w:sz w:val="16"/>
                <w:szCs w:val="16"/>
                <w:lang w:eastAsia="sk-SK"/>
              </w:rPr>
            </w:pPr>
            <w:r w:rsidRPr="00020E9B">
              <w:rPr>
                <w:rFonts w:ascii="Arial" w:eastAsia="Times New Roman" w:hAnsi="Arial" w:cs="Arial"/>
                <w:sz w:val="16"/>
                <w:szCs w:val="16"/>
                <w:lang w:eastAsia="sk-SK"/>
              </w:rPr>
              <w:t>0,00</w:t>
            </w:r>
          </w:p>
        </w:tc>
      </w:tr>
      <w:tr w:rsidR="001A24C3" w:rsidRPr="00020E9B" w14:paraId="06B94F08"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50E72B6B" w14:textId="77777777" w:rsidR="001A24C3" w:rsidRPr="00020E9B" w:rsidRDefault="001A24C3" w:rsidP="00300963">
            <w:pPr>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Celkové iné špecifické prevádzkové náklady</w:t>
            </w:r>
          </w:p>
        </w:tc>
        <w:tc>
          <w:tcPr>
            <w:tcW w:w="1300" w:type="dxa"/>
            <w:tcBorders>
              <w:top w:val="nil"/>
              <w:left w:val="nil"/>
              <w:bottom w:val="double" w:sz="6" w:space="0" w:color="auto"/>
              <w:right w:val="single" w:sz="4" w:space="0" w:color="auto"/>
            </w:tcBorders>
            <w:shd w:val="clear" w:color="auto" w:fill="auto"/>
            <w:noWrap/>
            <w:vAlign w:val="bottom"/>
            <w:hideMark/>
          </w:tcPr>
          <w:p w14:paraId="4F799797" w14:textId="77777777" w:rsidR="001A24C3" w:rsidRPr="00020E9B" w:rsidRDefault="001A24C3" w:rsidP="00300963">
            <w:pPr>
              <w:jc w:val="right"/>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0,00</w:t>
            </w:r>
          </w:p>
        </w:tc>
      </w:tr>
      <w:tr w:rsidR="001A24C3" w:rsidRPr="00020E9B" w14:paraId="16ED1609"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E198AD9" w14:textId="77777777" w:rsidR="001A24C3" w:rsidRPr="00020E9B" w:rsidRDefault="001A24C3" w:rsidP="00300963">
            <w:pPr>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Celkové prevádzkové náklady</w:t>
            </w:r>
          </w:p>
        </w:tc>
        <w:tc>
          <w:tcPr>
            <w:tcW w:w="1300" w:type="dxa"/>
            <w:tcBorders>
              <w:top w:val="nil"/>
              <w:left w:val="nil"/>
              <w:bottom w:val="single" w:sz="4" w:space="0" w:color="auto"/>
              <w:right w:val="single" w:sz="4" w:space="0" w:color="auto"/>
            </w:tcBorders>
            <w:shd w:val="clear" w:color="auto" w:fill="auto"/>
            <w:noWrap/>
            <w:vAlign w:val="bottom"/>
            <w:hideMark/>
          </w:tcPr>
          <w:p w14:paraId="04F06F5E" w14:textId="77777777" w:rsidR="001A24C3" w:rsidRPr="00020E9B" w:rsidRDefault="001A24C3" w:rsidP="00300963">
            <w:pPr>
              <w:jc w:val="right"/>
              <w:rPr>
                <w:rFonts w:ascii="Arial" w:eastAsia="Times New Roman" w:hAnsi="Arial" w:cs="Arial"/>
                <w:b/>
                <w:bCs/>
                <w:sz w:val="16"/>
                <w:szCs w:val="16"/>
                <w:lang w:eastAsia="sk-SK"/>
              </w:rPr>
            </w:pPr>
            <w:r w:rsidRPr="00020E9B">
              <w:rPr>
                <w:rFonts w:ascii="Arial" w:eastAsia="Times New Roman" w:hAnsi="Arial" w:cs="Arial"/>
                <w:b/>
                <w:bCs/>
                <w:sz w:val="16"/>
                <w:szCs w:val="16"/>
                <w:lang w:eastAsia="sk-SK"/>
              </w:rPr>
              <w:t>-55 755 002,58</w:t>
            </w:r>
          </w:p>
        </w:tc>
      </w:tr>
    </w:tbl>
    <w:p w14:paraId="2073032E" w14:textId="77777777" w:rsidR="001A24C3" w:rsidRPr="00BE28C1" w:rsidRDefault="001A24C3" w:rsidP="001A24C3">
      <w:pPr>
        <w:rPr>
          <w:szCs w:val="24"/>
          <w:lang w:eastAsia="sk-SK" w:bidi="sk-SK"/>
        </w:rPr>
      </w:pPr>
    </w:p>
    <w:p w14:paraId="774DC01E" w14:textId="77777777" w:rsidR="001A24C3" w:rsidRPr="00BE28C1" w:rsidRDefault="001A24C3" w:rsidP="00BE28C1">
      <w:pPr>
        <w:pStyle w:val="Nadpis41"/>
        <w:ind w:left="851" w:hanging="851"/>
        <w:rPr>
          <w:color w:val="auto"/>
          <w:sz w:val="24"/>
          <w:szCs w:val="24"/>
        </w:rPr>
      </w:pPr>
      <w:bookmarkStart w:id="369" w:name="_Toc88653024"/>
      <w:r w:rsidRPr="00BE28C1">
        <w:rPr>
          <w:color w:val="auto"/>
          <w:sz w:val="24"/>
          <w:szCs w:val="24"/>
        </w:rPr>
        <w:t>Ekonomické príjmy (prínosy)</w:t>
      </w:r>
      <w:bookmarkEnd w:id="369"/>
    </w:p>
    <w:p w14:paraId="5B2304DA" w14:textId="560BE069" w:rsidR="001A24C3" w:rsidRDefault="001A24C3" w:rsidP="00BE28C1">
      <w:pPr>
        <w:pStyle w:val="TEXTkOICE"/>
      </w:pPr>
      <w:bookmarkStart w:id="370" w:name="_Hlk88426588"/>
      <w:r w:rsidRPr="00B33106">
        <w:t xml:space="preserve">V rámci ekonomickej analýzy sú do úvahy brané celospoločenské </w:t>
      </w:r>
      <w:r>
        <w:t xml:space="preserve">prínosy </w:t>
      </w:r>
      <w:r w:rsidRPr="00B33106">
        <w:t>projektu:</w:t>
      </w:r>
    </w:p>
    <w:p w14:paraId="697DF570" w14:textId="77777777" w:rsidR="001A24C3" w:rsidRPr="00020E9B" w:rsidRDefault="001A24C3" w:rsidP="001A24C3">
      <w:pPr>
        <w:pStyle w:val="ODRKY-KOICE"/>
        <w:rPr>
          <w:sz w:val="22"/>
        </w:rPr>
      </w:pPr>
      <w:r w:rsidRPr="00020E9B">
        <w:rPr>
          <w:sz w:val="22"/>
        </w:rPr>
        <w:t>Čas cestujúcich</w:t>
      </w:r>
    </w:p>
    <w:p w14:paraId="203DA627" w14:textId="77777777" w:rsidR="001A24C3" w:rsidRPr="00020E9B" w:rsidRDefault="001A24C3" w:rsidP="001A24C3">
      <w:pPr>
        <w:pStyle w:val="ODRKY-KOICE"/>
        <w:rPr>
          <w:sz w:val="22"/>
        </w:rPr>
      </w:pPr>
      <w:r w:rsidRPr="00020E9B">
        <w:rPr>
          <w:sz w:val="22"/>
        </w:rPr>
        <w:t>Čas tovaru</w:t>
      </w:r>
    </w:p>
    <w:p w14:paraId="781BDF2F" w14:textId="77777777" w:rsidR="001A24C3" w:rsidRPr="00020E9B" w:rsidRDefault="001A24C3" w:rsidP="001A24C3">
      <w:pPr>
        <w:pStyle w:val="ODRKY-KOICE"/>
        <w:rPr>
          <w:sz w:val="22"/>
        </w:rPr>
      </w:pPr>
      <w:r w:rsidRPr="00020E9B">
        <w:rPr>
          <w:sz w:val="22"/>
        </w:rPr>
        <w:t>Úspora prevádzkových nákladov</w:t>
      </w:r>
    </w:p>
    <w:p w14:paraId="604E170B" w14:textId="77777777" w:rsidR="001A24C3" w:rsidRPr="00020E9B" w:rsidRDefault="001A24C3" w:rsidP="001A24C3">
      <w:pPr>
        <w:pStyle w:val="ODRKY-KOICE"/>
        <w:rPr>
          <w:sz w:val="22"/>
        </w:rPr>
      </w:pPr>
      <w:r w:rsidRPr="00020E9B">
        <w:rPr>
          <w:sz w:val="22"/>
        </w:rPr>
        <w:t>Bezpečnosť</w:t>
      </w:r>
    </w:p>
    <w:p w14:paraId="2ED6DC56" w14:textId="77777777" w:rsidR="001A24C3" w:rsidRPr="00020E9B" w:rsidRDefault="001A24C3" w:rsidP="001A24C3">
      <w:pPr>
        <w:pStyle w:val="ODRKY-KOICE"/>
        <w:rPr>
          <w:sz w:val="22"/>
        </w:rPr>
      </w:pPr>
      <w:r w:rsidRPr="00020E9B">
        <w:rPr>
          <w:sz w:val="22"/>
        </w:rPr>
        <w:t>Znečisťujúce látky</w:t>
      </w:r>
    </w:p>
    <w:p w14:paraId="03CF92D5" w14:textId="77777777" w:rsidR="001A24C3" w:rsidRPr="00020E9B" w:rsidRDefault="001A24C3" w:rsidP="001A24C3">
      <w:pPr>
        <w:pStyle w:val="ODRKY-KOICE"/>
        <w:rPr>
          <w:sz w:val="22"/>
        </w:rPr>
      </w:pPr>
      <w:r w:rsidRPr="00020E9B">
        <w:rPr>
          <w:sz w:val="22"/>
        </w:rPr>
        <w:t>Skleníkové plyny</w:t>
      </w:r>
    </w:p>
    <w:p w14:paraId="4D40A2B6" w14:textId="77777777" w:rsidR="001A24C3" w:rsidRDefault="001A24C3" w:rsidP="001A24C3">
      <w:pPr>
        <w:pStyle w:val="ODRKY-KOICE"/>
        <w:rPr>
          <w:sz w:val="22"/>
        </w:rPr>
      </w:pPr>
      <w:r w:rsidRPr="00020E9B">
        <w:rPr>
          <w:sz w:val="22"/>
        </w:rPr>
        <w:t>Hluk</w:t>
      </w:r>
      <w:bookmarkEnd w:id="370"/>
    </w:p>
    <w:p w14:paraId="43AEF5D6" w14:textId="77777777" w:rsidR="001A24C3" w:rsidRDefault="001A24C3" w:rsidP="001A24C3">
      <w:pPr>
        <w:pStyle w:val="ODRKY-KOICE"/>
        <w:numPr>
          <w:ilvl w:val="0"/>
          <w:numId w:val="0"/>
        </w:numPr>
        <w:ind w:left="924" w:hanging="357"/>
        <w:rPr>
          <w:sz w:val="22"/>
        </w:rPr>
      </w:pPr>
    </w:p>
    <w:p w14:paraId="2A19E4CA" w14:textId="258C63BF" w:rsidR="001A24C3" w:rsidRPr="00020E9B" w:rsidRDefault="001A24C3" w:rsidP="00BE28C1">
      <w:pPr>
        <w:pStyle w:val="ODRKY-KOICE"/>
        <w:numPr>
          <w:ilvl w:val="0"/>
          <w:numId w:val="0"/>
        </w:numPr>
        <w:jc w:val="both"/>
        <w:rPr>
          <w:sz w:val="22"/>
        </w:rPr>
      </w:pPr>
      <w:r w:rsidRPr="00EA4CAF">
        <w:rPr>
          <w:sz w:val="22"/>
        </w:rPr>
        <w:t>Uvedené benefity boli vyčíslené v súlade s metodikou CBA a vstupy pre výpočty vychádzajú</w:t>
      </w:r>
      <w:r w:rsidR="00BE28C1">
        <w:rPr>
          <w:sz w:val="22"/>
        </w:rPr>
        <w:t xml:space="preserve"> </w:t>
      </w:r>
      <w:r w:rsidRPr="00EA4CAF">
        <w:rPr>
          <w:sz w:val="22"/>
        </w:rPr>
        <w:t xml:space="preserve">z  dopravného modelu </w:t>
      </w:r>
      <w:r w:rsidRPr="00EA4CAF">
        <w:rPr>
          <w:sz w:val="22"/>
          <w:lang w:val="en-US"/>
        </w:rPr>
        <w:t>(</w:t>
      </w:r>
      <w:r w:rsidRPr="00EA4CAF">
        <w:rPr>
          <w:sz w:val="22"/>
          <w:lang w:val="cs-CZ"/>
        </w:rPr>
        <w:t>minimálny variant</w:t>
      </w:r>
      <w:r w:rsidRPr="00EA4CAF">
        <w:rPr>
          <w:sz w:val="22"/>
          <w:lang w:val="en-US"/>
        </w:rPr>
        <w:t>)</w:t>
      </w:r>
      <w:r w:rsidRPr="00EA4CAF">
        <w:rPr>
          <w:sz w:val="22"/>
        </w:rPr>
        <w:t xml:space="preserve">, ktorý obsahuje informácie o počte cestujúcich, osobokm, úsporách času, množstvách prepraveného tovaru, atď. </w:t>
      </w:r>
    </w:p>
    <w:p w14:paraId="3E6AEF40" w14:textId="77777777" w:rsidR="001A24C3" w:rsidRDefault="001A24C3" w:rsidP="001A24C3">
      <w:pPr>
        <w:pStyle w:val="ODRKY-KOICE"/>
        <w:numPr>
          <w:ilvl w:val="0"/>
          <w:numId w:val="0"/>
        </w:numPr>
        <w:ind w:left="924" w:hanging="357"/>
        <w:jc w:val="both"/>
      </w:pPr>
    </w:p>
    <w:p w14:paraId="27694A3C" w14:textId="101D78B2" w:rsidR="001A24C3" w:rsidRDefault="001A24C3" w:rsidP="00BE28C1">
      <w:pPr>
        <w:pStyle w:val="Popis"/>
        <w:keepNext/>
        <w:jc w:val="both"/>
      </w:pPr>
      <w:bookmarkStart w:id="371" w:name="_Toc83677946"/>
      <w:r>
        <w:t xml:space="preserve">Tabuľka </w:t>
      </w:r>
      <w:r w:rsidR="008B078A">
        <w:rPr>
          <w:noProof/>
        </w:rPr>
        <w:t>75</w:t>
      </w:r>
      <w:r>
        <w:tab/>
        <w:t>Ekonomické prínosy</w:t>
      </w:r>
      <w:bookmarkEnd w:id="371"/>
    </w:p>
    <w:tbl>
      <w:tblPr>
        <w:tblW w:w="6600" w:type="dxa"/>
        <w:tblCellMar>
          <w:left w:w="70" w:type="dxa"/>
          <w:right w:w="70" w:type="dxa"/>
        </w:tblCellMar>
        <w:tblLook w:val="04A0" w:firstRow="1" w:lastRow="0" w:firstColumn="1" w:lastColumn="0" w:noHBand="0" w:noVBand="1"/>
      </w:tblPr>
      <w:tblGrid>
        <w:gridCol w:w="5060"/>
        <w:gridCol w:w="1540"/>
      </w:tblGrid>
      <w:tr w:rsidR="001A24C3" w:rsidRPr="00885FFC" w14:paraId="19D438AE" w14:textId="77777777" w:rsidTr="00300963">
        <w:trPr>
          <w:trHeight w:val="408"/>
        </w:trPr>
        <w:tc>
          <w:tcPr>
            <w:tcW w:w="50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0D51AD6D"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Peňažné toky</w:t>
            </w:r>
          </w:p>
        </w:tc>
        <w:tc>
          <w:tcPr>
            <w:tcW w:w="1540" w:type="dxa"/>
            <w:tcBorders>
              <w:top w:val="single" w:sz="4" w:space="0" w:color="auto"/>
              <w:left w:val="nil"/>
              <w:bottom w:val="single" w:sz="4" w:space="0" w:color="auto"/>
              <w:right w:val="single" w:sz="4" w:space="0" w:color="auto"/>
            </w:tcBorders>
            <w:shd w:val="clear" w:color="000000" w:fill="D9D9D9"/>
            <w:vAlign w:val="bottom"/>
            <w:hideMark/>
          </w:tcPr>
          <w:p w14:paraId="1176E8F8"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Celkom (diskontované)</w:t>
            </w:r>
          </w:p>
        </w:tc>
      </w:tr>
      <w:tr w:rsidR="001A24C3" w:rsidRPr="00885FFC" w14:paraId="2D05EB29"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7D8F22BB"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Investičné náklady</w:t>
            </w:r>
          </w:p>
        </w:tc>
        <w:tc>
          <w:tcPr>
            <w:tcW w:w="1540" w:type="dxa"/>
            <w:tcBorders>
              <w:top w:val="nil"/>
              <w:left w:val="nil"/>
              <w:bottom w:val="single" w:sz="4" w:space="0" w:color="auto"/>
              <w:right w:val="single" w:sz="4" w:space="0" w:color="auto"/>
            </w:tcBorders>
            <w:shd w:val="clear" w:color="auto" w:fill="auto"/>
            <w:noWrap/>
            <w:vAlign w:val="bottom"/>
            <w:hideMark/>
          </w:tcPr>
          <w:p w14:paraId="7734509F"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color w:val="FF0000"/>
                <w:sz w:val="16"/>
                <w:szCs w:val="16"/>
                <w:lang w:eastAsia="sk-SK"/>
              </w:rPr>
              <w:t xml:space="preserve">-122 924 226 </w:t>
            </w:r>
          </w:p>
        </w:tc>
      </w:tr>
      <w:tr w:rsidR="001A24C3" w:rsidRPr="00885FFC" w14:paraId="74DD24C7"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571B4010"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Prevádzkové náklady</w:t>
            </w:r>
          </w:p>
        </w:tc>
        <w:tc>
          <w:tcPr>
            <w:tcW w:w="1540" w:type="dxa"/>
            <w:tcBorders>
              <w:top w:val="nil"/>
              <w:left w:val="nil"/>
              <w:bottom w:val="single" w:sz="4" w:space="0" w:color="auto"/>
              <w:right w:val="single" w:sz="4" w:space="0" w:color="auto"/>
            </w:tcBorders>
            <w:shd w:val="clear" w:color="auto" w:fill="auto"/>
            <w:noWrap/>
            <w:vAlign w:val="bottom"/>
            <w:hideMark/>
          </w:tcPr>
          <w:p w14:paraId="4B757A2E"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47 900 905 </w:t>
            </w:r>
          </w:p>
        </w:tc>
      </w:tr>
      <w:tr w:rsidR="001A24C3" w:rsidRPr="00885FFC" w14:paraId="0E204D1B"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62D8DFFA"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cestujúcich</w:t>
            </w:r>
          </w:p>
        </w:tc>
        <w:tc>
          <w:tcPr>
            <w:tcW w:w="1540" w:type="dxa"/>
            <w:tcBorders>
              <w:top w:val="nil"/>
              <w:left w:val="nil"/>
              <w:bottom w:val="single" w:sz="4" w:space="0" w:color="auto"/>
              <w:right w:val="single" w:sz="4" w:space="0" w:color="auto"/>
            </w:tcBorders>
            <w:shd w:val="clear" w:color="auto" w:fill="auto"/>
            <w:noWrap/>
            <w:vAlign w:val="bottom"/>
            <w:hideMark/>
          </w:tcPr>
          <w:p w14:paraId="35155310"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2 966 717 </w:t>
            </w:r>
          </w:p>
        </w:tc>
      </w:tr>
      <w:tr w:rsidR="001A24C3" w:rsidRPr="00885FFC" w14:paraId="77FFDFB7"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083AB272"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tovaru</w:t>
            </w:r>
          </w:p>
        </w:tc>
        <w:tc>
          <w:tcPr>
            <w:tcW w:w="1540" w:type="dxa"/>
            <w:tcBorders>
              <w:top w:val="nil"/>
              <w:left w:val="nil"/>
              <w:bottom w:val="single" w:sz="4" w:space="0" w:color="auto"/>
              <w:right w:val="single" w:sz="4" w:space="0" w:color="auto"/>
            </w:tcBorders>
            <w:shd w:val="clear" w:color="auto" w:fill="auto"/>
            <w:noWrap/>
            <w:vAlign w:val="bottom"/>
            <w:hideMark/>
          </w:tcPr>
          <w:p w14:paraId="4EDC6447"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73 113 849 </w:t>
            </w:r>
          </w:p>
        </w:tc>
      </w:tr>
      <w:tr w:rsidR="001A24C3" w:rsidRPr="00885FFC" w14:paraId="568989A0"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2E366D3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Prevádzkové náklady </w:t>
            </w:r>
          </w:p>
        </w:tc>
        <w:tc>
          <w:tcPr>
            <w:tcW w:w="1540" w:type="dxa"/>
            <w:tcBorders>
              <w:top w:val="nil"/>
              <w:left w:val="nil"/>
              <w:bottom w:val="single" w:sz="4" w:space="0" w:color="auto"/>
              <w:right w:val="single" w:sz="4" w:space="0" w:color="auto"/>
            </w:tcBorders>
            <w:shd w:val="clear" w:color="auto" w:fill="auto"/>
            <w:noWrap/>
            <w:vAlign w:val="bottom"/>
            <w:hideMark/>
          </w:tcPr>
          <w:p w14:paraId="790882A9"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4 150 463 </w:t>
            </w:r>
          </w:p>
        </w:tc>
      </w:tr>
      <w:tr w:rsidR="001A24C3" w:rsidRPr="00885FFC" w14:paraId="0C57C0C7"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75719F41"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Bezpečnosť</w:t>
            </w:r>
          </w:p>
        </w:tc>
        <w:tc>
          <w:tcPr>
            <w:tcW w:w="1540" w:type="dxa"/>
            <w:tcBorders>
              <w:top w:val="nil"/>
              <w:left w:val="nil"/>
              <w:bottom w:val="single" w:sz="4" w:space="0" w:color="auto"/>
              <w:right w:val="single" w:sz="4" w:space="0" w:color="auto"/>
            </w:tcBorders>
            <w:shd w:val="clear" w:color="auto" w:fill="auto"/>
            <w:noWrap/>
            <w:vAlign w:val="bottom"/>
            <w:hideMark/>
          </w:tcPr>
          <w:p w14:paraId="22F7828B"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497 243 </w:t>
            </w:r>
          </w:p>
        </w:tc>
      </w:tr>
      <w:tr w:rsidR="001A24C3" w:rsidRPr="00885FFC" w14:paraId="7AE48A37"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1D8B4133"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Znečisťujúce látky</w:t>
            </w:r>
          </w:p>
        </w:tc>
        <w:tc>
          <w:tcPr>
            <w:tcW w:w="1540" w:type="dxa"/>
            <w:tcBorders>
              <w:top w:val="nil"/>
              <w:left w:val="nil"/>
              <w:bottom w:val="single" w:sz="4" w:space="0" w:color="auto"/>
              <w:right w:val="single" w:sz="4" w:space="0" w:color="auto"/>
            </w:tcBorders>
            <w:shd w:val="clear" w:color="auto" w:fill="auto"/>
            <w:noWrap/>
            <w:vAlign w:val="bottom"/>
            <w:hideMark/>
          </w:tcPr>
          <w:p w14:paraId="02511022"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451 132 </w:t>
            </w:r>
          </w:p>
        </w:tc>
      </w:tr>
      <w:tr w:rsidR="001A24C3" w:rsidRPr="00885FFC" w14:paraId="3282BF64"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2C976415"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Skleníkové plyny</w:t>
            </w:r>
          </w:p>
        </w:tc>
        <w:tc>
          <w:tcPr>
            <w:tcW w:w="1540" w:type="dxa"/>
            <w:tcBorders>
              <w:top w:val="nil"/>
              <w:left w:val="nil"/>
              <w:bottom w:val="single" w:sz="4" w:space="0" w:color="auto"/>
              <w:right w:val="single" w:sz="4" w:space="0" w:color="auto"/>
            </w:tcBorders>
            <w:shd w:val="clear" w:color="auto" w:fill="auto"/>
            <w:noWrap/>
            <w:vAlign w:val="bottom"/>
            <w:hideMark/>
          </w:tcPr>
          <w:p w14:paraId="46E74D06"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1 190 713 </w:t>
            </w:r>
          </w:p>
        </w:tc>
      </w:tr>
      <w:tr w:rsidR="001A24C3" w:rsidRPr="00885FFC" w14:paraId="46BC61EF"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5CF51B7E"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Hluk</w:t>
            </w:r>
          </w:p>
        </w:tc>
        <w:tc>
          <w:tcPr>
            <w:tcW w:w="1540" w:type="dxa"/>
            <w:tcBorders>
              <w:top w:val="nil"/>
              <w:left w:val="nil"/>
              <w:bottom w:val="single" w:sz="4" w:space="0" w:color="auto"/>
              <w:right w:val="single" w:sz="4" w:space="0" w:color="auto"/>
            </w:tcBorders>
            <w:shd w:val="clear" w:color="auto" w:fill="auto"/>
            <w:noWrap/>
            <w:vAlign w:val="bottom"/>
            <w:hideMark/>
          </w:tcPr>
          <w:p w14:paraId="422CAB82"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4 578 </w:t>
            </w:r>
          </w:p>
        </w:tc>
      </w:tr>
      <w:tr w:rsidR="001A24C3" w:rsidRPr="00885FFC" w14:paraId="4A67F6DD"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4405E125"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Zostatková hodnota</w:t>
            </w:r>
          </w:p>
        </w:tc>
        <w:tc>
          <w:tcPr>
            <w:tcW w:w="1540" w:type="dxa"/>
            <w:tcBorders>
              <w:top w:val="nil"/>
              <w:left w:val="nil"/>
              <w:bottom w:val="single" w:sz="4" w:space="0" w:color="auto"/>
              <w:right w:val="single" w:sz="4" w:space="0" w:color="auto"/>
            </w:tcBorders>
            <w:shd w:val="clear" w:color="auto" w:fill="auto"/>
            <w:noWrap/>
            <w:vAlign w:val="bottom"/>
            <w:hideMark/>
          </w:tcPr>
          <w:p w14:paraId="309B21AF"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32 288 578 </w:t>
            </w:r>
          </w:p>
        </w:tc>
      </w:tr>
      <w:tr w:rsidR="001A24C3" w:rsidRPr="00885FFC" w14:paraId="31BF8887" w14:textId="77777777" w:rsidTr="00300963">
        <w:trPr>
          <w:trHeight w:val="204"/>
        </w:trPr>
        <w:tc>
          <w:tcPr>
            <w:tcW w:w="5060" w:type="dxa"/>
            <w:tcBorders>
              <w:top w:val="nil"/>
              <w:left w:val="single" w:sz="4" w:space="0" w:color="auto"/>
              <w:bottom w:val="single" w:sz="4" w:space="0" w:color="auto"/>
              <w:right w:val="single" w:sz="4" w:space="0" w:color="auto"/>
            </w:tcBorders>
            <w:shd w:val="clear" w:color="000000" w:fill="FFFFCC"/>
            <w:noWrap/>
            <w:vAlign w:val="bottom"/>
            <w:hideMark/>
          </w:tcPr>
          <w:p w14:paraId="11765048"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Čisté peňažné toky</w:t>
            </w:r>
          </w:p>
        </w:tc>
        <w:tc>
          <w:tcPr>
            <w:tcW w:w="1540" w:type="dxa"/>
            <w:tcBorders>
              <w:top w:val="nil"/>
              <w:left w:val="nil"/>
              <w:bottom w:val="single" w:sz="4" w:space="0" w:color="auto"/>
              <w:right w:val="single" w:sz="4" w:space="0" w:color="auto"/>
            </w:tcBorders>
            <w:shd w:val="clear" w:color="000000" w:fill="FFFFCC"/>
            <w:noWrap/>
            <w:vAlign w:val="bottom"/>
            <w:hideMark/>
          </w:tcPr>
          <w:p w14:paraId="02F2A563" w14:textId="77777777" w:rsidR="001A24C3" w:rsidRPr="00885FFC" w:rsidRDefault="001A24C3" w:rsidP="00300963">
            <w:pPr>
              <w:jc w:val="right"/>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 xml:space="preserve">15 195 766 </w:t>
            </w:r>
          </w:p>
        </w:tc>
      </w:tr>
    </w:tbl>
    <w:p w14:paraId="1BE57A6A" w14:textId="77777777" w:rsidR="001A24C3" w:rsidRDefault="001A24C3" w:rsidP="001A24C3"/>
    <w:p w14:paraId="4D95F70B" w14:textId="77777777" w:rsidR="001A24C3" w:rsidRPr="00BE28C1" w:rsidRDefault="001A24C3" w:rsidP="00BE28C1">
      <w:pPr>
        <w:pStyle w:val="Nadpis41"/>
        <w:ind w:left="851" w:hanging="851"/>
        <w:rPr>
          <w:color w:val="auto"/>
          <w:sz w:val="24"/>
          <w:szCs w:val="24"/>
        </w:rPr>
      </w:pPr>
      <w:bookmarkStart w:id="372" w:name="_Toc88653025"/>
      <w:r w:rsidRPr="00BE28C1">
        <w:rPr>
          <w:color w:val="auto"/>
          <w:sz w:val="24"/>
          <w:szCs w:val="24"/>
        </w:rPr>
        <w:t>Zostatková hodnota</w:t>
      </w:r>
      <w:bookmarkEnd w:id="372"/>
    </w:p>
    <w:p w14:paraId="0D33463A" w14:textId="77777777" w:rsidR="001A24C3" w:rsidRDefault="001A24C3" w:rsidP="001A24C3">
      <w:pPr>
        <w:pStyle w:val="TEXTkOICE"/>
        <w:ind w:left="0"/>
      </w:pPr>
      <w:r>
        <w:t xml:space="preserve">Zostatková hodnota bola v ekonomickej analýze vypočítaná 2 spôsobmi. Pomocou cash-flow tokov zároveň pomocou účtovných odpisov. Ako výsledná pre projekt bola použitá nižšia hodnota, teda tá konzervatívnejšia. </w:t>
      </w:r>
    </w:p>
    <w:p w14:paraId="0319E1C3" w14:textId="77777777" w:rsidR="001A24C3" w:rsidRDefault="001A24C3" w:rsidP="001A24C3">
      <w:pPr>
        <w:suppressAutoHyphens/>
        <w:rPr>
          <w:rFonts w:ascii="Calibri" w:eastAsia="Calibri" w:hAnsi="Calibri" w:cs="Calibri"/>
          <w:lang w:eastAsia="sk-SK" w:bidi="sk-SK"/>
        </w:rPr>
      </w:pPr>
      <w:r>
        <w:br w:type="page"/>
      </w:r>
    </w:p>
    <w:p w14:paraId="12F69C48" w14:textId="490B5801" w:rsidR="001A24C3" w:rsidRDefault="001A24C3" w:rsidP="00BE28C1">
      <w:pPr>
        <w:pStyle w:val="Popis"/>
        <w:keepNext/>
        <w:jc w:val="both"/>
      </w:pPr>
      <w:bookmarkStart w:id="373" w:name="_Toc83677947"/>
      <w:r>
        <w:lastRenderedPageBreak/>
        <w:t xml:space="preserve">Tabuľka </w:t>
      </w:r>
      <w:r w:rsidR="008B078A">
        <w:rPr>
          <w:noProof/>
        </w:rPr>
        <w:t>76</w:t>
      </w:r>
      <w:r>
        <w:tab/>
        <w:t>Zostatková hodnota – metóda cash flow</w:t>
      </w:r>
      <w:bookmarkEnd w:id="373"/>
    </w:p>
    <w:tbl>
      <w:tblPr>
        <w:tblW w:w="8600" w:type="dxa"/>
        <w:tblCellMar>
          <w:left w:w="70" w:type="dxa"/>
          <w:right w:w="70" w:type="dxa"/>
        </w:tblCellMar>
        <w:tblLook w:val="04A0" w:firstRow="1" w:lastRow="0" w:firstColumn="1" w:lastColumn="0" w:noHBand="0" w:noVBand="1"/>
      </w:tblPr>
      <w:tblGrid>
        <w:gridCol w:w="7120"/>
        <w:gridCol w:w="1480"/>
      </w:tblGrid>
      <w:tr w:rsidR="001A24C3" w:rsidRPr="00773B79" w14:paraId="089CC734" w14:textId="77777777" w:rsidTr="00300963">
        <w:trPr>
          <w:trHeight w:val="216"/>
        </w:trPr>
        <w:tc>
          <w:tcPr>
            <w:tcW w:w="7120"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14:paraId="19D6309B" w14:textId="77777777" w:rsidR="001A24C3" w:rsidRPr="00773B79" w:rsidRDefault="001A24C3" w:rsidP="00300963">
            <w:pP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Peňažné toky</w:t>
            </w:r>
          </w:p>
        </w:tc>
        <w:tc>
          <w:tcPr>
            <w:tcW w:w="1480" w:type="dxa"/>
            <w:tcBorders>
              <w:top w:val="single" w:sz="8" w:space="0" w:color="auto"/>
              <w:left w:val="nil"/>
              <w:bottom w:val="single" w:sz="4" w:space="0" w:color="auto"/>
              <w:right w:val="single" w:sz="4" w:space="0" w:color="auto"/>
            </w:tcBorders>
            <w:shd w:val="clear" w:color="000000" w:fill="D9D9D9"/>
            <w:vAlign w:val="bottom"/>
            <w:hideMark/>
          </w:tcPr>
          <w:p w14:paraId="49136880"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Celkom</w:t>
            </w:r>
          </w:p>
        </w:tc>
      </w:tr>
      <w:tr w:rsidR="001A24C3" w:rsidRPr="00773B79" w14:paraId="3D580C90"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0192BB0F"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Investičné náklady</w:t>
            </w:r>
          </w:p>
        </w:tc>
        <w:tc>
          <w:tcPr>
            <w:tcW w:w="1480" w:type="dxa"/>
            <w:tcBorders>
              <w:top w:val="nil"/>
              <w:left w:val="nil"/>
              <w:bottom w:val="single" w:sz="4" w:space="0" w:color="auto"/>
              <w:right w:val="single" w:sz="4" w:space="0" w:color="auto"/>
            </w:tcBorders>
            <w:shd w:val="clear" w:color="000000" w:fill="F2F2F2"/>
            <w:vAlign w:val="center"/>
            <w:hideMark/>
          </w:tcPr>
          <w:p w14:paraId="751EE585"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0</w:t>
            </w:r>
          </w:p>
        </w:tc>
      </w:tr>
      <w:tr w:rsidR="001A24C3" w:rsidRPr="00773B79" w14:paraId="2C153136"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75E6CF3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náklady</w:t>
            </w:r>
          </w:p>
        </w:tc>
        <w:tc>
          <w:tcPr>
            <w:tcW w:w="1480" w:type="dxa"/>
            <w:tcBorders>
              <w:top w:val="nil"/>
              <w:left w:val="nil"/>
              <w:bottom w:val="single" w:sz="4" w:space="0" w:color="auto"/>
              <w:right w:val="single" w:sz="4" w:space="0" w:color="auto"/>
            </w:tcBorders>
            <w:shd w:val="clear" w:color="000000" w:fill="F2F2F2"/>
            <w:vAlign w:val="center"/>
            <w:hideMark/>
          </w:tcPr>
          <w:p w14:paraId="32A9830C"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0</w:t>
            </w:r>
          </w:p>
        </w:tc>
      </w:tr>
      <w:tr w:rsidR="001A24C3" w:rsidRPr="00773B79" w14:paraId="0FBE2528"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440DB3E4"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Čas cestujúcich</w:t>
            </w:r>
          </w:p>
        </w:tc>
        <w:tc>
          <w:tcPr>
            <w:tcW w:w="1480" w:type="dxa"/>
            <w:tcBorders>
              <w:top w:val="nil"/>
              <w:left w:val="nil"/>
              <w:bottom w:val="single" w:sz="4" w:space="0" w:color="auto"/>
              <w:right w:val="single" w:sz="4" w:space="0" w:color="auto"/>
            </w:tcBorders>
            <w:shd w:val="clear" w:color="000000" w:fill="F2F2F2"/>
            <w:vAlign w:val="center"/>
            <w:hideMark/>
          </w:tcPr>
          <w:p w14:paraId="5CBB1269"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1 463 981</w:t>
            </w:r>
          </w:p>
        </w:tc>
      </w:tr>
      <w:tr w:rsidR="001A24C3" w:rsidRPr="00773B79" w14:paraId="3E265983"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0CA42F4C"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Čas tovaru</w:t>
            </w:r>
          </w:p>
        </w:tc>
        <w:tc>
          <w:tcPr>
            <w:tcW w:w="1480" w:type="dxa"/>
            <w:tcBorders>
              <w:top w:val="nil"/>
              <w:left w:val="nil"/>
              <w:bottom w:val="single" w:sz="4" w:space="0" w:color="auto"/>
              <w:right w:val="single" w:sz="4" w:space="0" w:color="auto"/>
            </w:tcBorders>
            <w:shd w:val="clear" w:color="000000" w:fill="F2F2F2"/>
            <w:vAlign w:val="center"/>
            <w:hideMark/>
          </w:tcPr>
          <w:p w14:paraId="11B74031"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32 785 383</w:t>
            </w:r>
          </w:p>
        </w:tc>
      </w:tr>
      <w:tr w:rsidR="001A24C3" w:rsidRPr="00773B79" w14:paraId="49E4B283"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6044DBE4"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Prevádzkové náklady vozidiel</w:t>
            </w:r>
          </w:p>
        </w:tc>
        <w:tc>
          <w:tcPr>
            <w:tcW w:w="1480" w:type="dxa"/>
            <w:tcBorders>
              <w:top w:val="nil"/>
              <w:left w:val="nil"/>
              <w:bottom w:val="single" w:sz="4" w:space="0" w:color="auto"/>
              <w:right w:val="single" w:sz="4" w:space="0" w:color="auto"/>
            </w:tcBorders>
            <w:shd w:val="clear" w:color="000000" w:fill="F2F2F2"/>
            <w:vAlign w:val="center"/>
            <w:hideMark/>
          </w:tcPr>
          <w:p w14:paraId="4CB4A9D8"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1 483 208</w:t>
            </w:r>
          </w:p>
        </w:tc>
      </w:tr>
      <w:tr w:rsidR="001A24C3" w:rsidRPr="00773B79" w14:paraId="6403AF86"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65A12CC5"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Znečisťujúce látky</w:t>
            </w:r>
          </w:p>
        </w:tc>
        <w:tc>
          <w:tcPr>
            <w:tcW w:w="1480" w:type="dxa"/>
            <w:tcBorders>
              <w:top w:val="nil"/>
              <w:left w:val="nil"/>
              <w:bottom w:val="single" w:sz="4" w:space="0" w:color="auto"/>
              <w:right w:val="single" w:sz="4" w:space="0" w:color="auto"/>
            </w:tcBorders>
            <w:shd w:val="clear" w:color="000000" w:fill="F2F2F2"/>
            <w:vAlign w:val="center"/>
            <w:hideMark/>
          </w:tcPr>
          <w:p w14:paraId="733F71F5"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234 371</w:t>
            </w:r>
          </w:p>
        </w:tc>
      </w:tr>
      <w:tr w:rsidR="001A24C3" w:rsidRPr="00773B79" w14:paraId="4F386AB6" w14:textId="77777777" w:rsidTr="00300963">
        <w:trPr>
          <w:trHeight w:val="204"/>
        </w:trPr>
        <w:tc>
          <w:tcPr>
            <w:tcW w:w="7120" w:type="dxa"/>
            <w:tcBorders>
              <w:top w:val="nil"/>
              <w:left w:val="single" w:sz="8" w:space="0" w:color="auto"/>
              <w:bottom w:val="single" w:sz="4" w:space="0" w:color="auto"/>
              <w:right w:val="single" w:sz="4" w:space="0" w:color="auto"/>
            </w:tcBorders>
            <w:shd w:val="clear" w:color="auto" w:fill="auto"/>
            <w:noWrap/>
            <w:vAlign w:val="bottom"/>
            <w:hideMark/>
          </w:tcPr>
          <w:p w14:paraId="7C719AB1"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Skleníkové plyny</w:t>
            </w:r>
          </w:p>
        </w:tc>
        <w:tc>
          <w:tcPr>
            <w:tcW w:w="1480" w:type="dxa"/>
            <w:tcBorders>
              <w:top w:val="nil"/>
              <w:left w:val="nil"/>
              <w:bottom w:val="single" w:sz="4" w:space="0" w:color="auto"/>
              <w:right w:val="single" w:sz="4" w:space="0" w:color="auto"/>
            </w:tcBorders>
            <w:shd w:val="clear" w:color="000000" w:fill="F2F2F2"/>
            <w:vAlign w:val="center"/>
            <w:hideMark/>
          </w:tcPr>
          <w:p w14:paraId="2D487189"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1 063 555</w:t>
            </w:r>
          </w:p>
        </w:tc>
      </w:tr>
      <w:tr w:rsidR="001A24C3" w:rsidRPr="00773B79" w14:paraId="47C4FA1A" w14:textId="77777777" w:rsidTr="00300963">
        <w:trPr>
          <w:trHeight w:val="216"/>
        </w:trPr>
        <w:tc>
          <w:tcPr>
            <w:tcW w:w="7120" w:type="dxa"/>
            <w:tcBorders>
              <w:top w:val="nil"/>
              <w:left w:val="single" w:sz="8" w:space="0" w:color="auto"/>
              <w:bottom w:val="nil"/>
              <w:right w:val="single" w:sz="4" w:space="0" w:color="auto"/>
            </w:tcBorders>
            <w:shd w:val="clear" w:color="auto" w:fill="auto"/>
            <w:noWrap/>
            <w:vAlign w:val="bottom"/>
            <w:hideMark/>
          </w:tcPr>
          <w:p w14:paraId="4262AF12"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Hluk</w:t>
            </w:r>
          </w:p>
        </w:tc>
        <w:tc>
          <w:tcPr>
            <w:tcW w:w="1480" w:type="dxa"/>
            <w:tcBorders>
              <w:top w:val="nil"/>
              <w:left w:val="nil"/>
              <w:bottom w:val="single" w:sz="4" w:space="0" w:color="auto"/>
              <w:right w:val="single" w:sz="4" w:space="0" w:color="auto"/>
            </w:tcBorders>
            <w:shd w:val="clear" w:color="000000" w:fill="F2F2F2"/>
            <w:vAlign w:val="center"/>
            <w:hideMark/>
          </w:tcPr>
          <w:p w14:paraId="5EE30F0B" w14:textId="77777777" w:rsidR="001A24C3" w:rsidRPr="00773B79" w:rsidRDefault="001A24C3" w:rsidP="00300963">
            <w:pPr>
              <w:jc w:val="center"/>
              <w:rPr>
                <w:rFonts w:ascii="Arial" w:eastAsia="Times New Roman" w:hAnsi="Arial" w:cs="Arial"/>
                <w:b/>
                <w:bCs/>
                <w:sz w:val="16"/>
                <w:szCs w:val="16"/>
                <w:lang w:eastAsia="sk-SK"/>
              </w:rPr>
            </w:pPr>
            <w:r w:rsidRPr="00773B79">
              <w:rPr>
                <w:rFonts w:ascii="Arial" w:eastAsia="Times New Roman" w:hAnsi="Arial" w:cs="Arial"/>
                <w:b/>
                <w:bCs/>
                <w:sz w:val="16"/>
                <w:szCs w:val="16"/>
                <w:lang w:eastAsia="sk-SK"/>
              </w:rPr>
              <w:t>2 296</w:t>
            </w:r>
          </w:p>
        </w:tc>
      </w:tr>
      <w:tr w:rsidR="001A24C3" w:rsidRPr="00773B79" w14:paraId="09098D74" w14:textId="77777777" w:rsidTr="00300963">
        <w:trPr>
          <w:trHeight w:val="288"/>
        </w:trPr>
        <w:tc>
          <w:tcPr>
            <w:tcW w:w="712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6ABBA0DE"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Súčasná hodnota peňažných tokov</w:t>
            </w:r>
          </w:p>
        </w:tc>
        <w:tc>
          <w:tcPr>
            <w:tcW w:w="1480" w:type="dxa"/>
            <w:tcBorders>
              <w:top w:val="single" w:sz="8" w:space="0" w:color="auto"/>
              <w:left w:val="nil"/>
              <w:bottom w:val="single" w:sz="8" w:space="0" w:color="auto"/>
              <w:right w:val="single" w:sz="4" w:space="0" w:color="auto"/>
            </w:tcBorders>
            <w:shd w:val="clear" w:color="000000" w:fill="FFFF66"/>
            <w:vAlign w:val="center"/>
            <w:hideMark/>
          </w:tcPr>
          <w:p w14:paraId="3B17544B" w14:textId="77777777" w:rsidR="001A24C3" w:rsidRPr="00773B79" w:rsidRDefault="001A24C3" w:rsidP="00300963">
            <w:pPr>
              <w:jc w:val="center"/>
              <w:rPr>
                <w:rFonts w:ascii="Arial" w:eastAsia="Times New Roman" w:hAnsi="Arial" w:cs="Arial"/>
                <w:b/>
                <w:bCs/>
                <w:lang w:eastAsia="sk-SK"/>
              </w:rPr>
            </w:pPr>
            <w:r w:rsidRPr="00773B79">
              <w:rPr>
                <w:rFonts w:ascii="Arial" w:eastAsia="Times New Roman" w:hAnsi="Arial" w:cs="Arial"/>
                <w:b/>
                <w:bCs/>
                <w:lang w:eastAsia="sk-SK"/>
              </w:rPr>
              <w:t>97 536 212</w:t>
            </w:r>
          </w:p>
        </w:tc>
      </w:tr>
    </w:tbl>
    <w:p w14:paraId="4E844433" w14:textId="77777777" w:rsidR="001A24C3" w:rsidRDefault="001A24C3" w:rsidP="001A24C3">
      <w:pPr>
        <w:rPr>
          <w:b/>
          <w:iCs/>
          <w:color w:val="C00000"/>
          <w:sz w:val="20"/>
          <w:szCs w:val="18"/>
        </w:rPr>
      </w:pPr>
    </w:p>
    <w:p w14:paraId="4339470C" w14:textId="1855D9E8" w:rsidR="001A24C3" w:rsidRDefault="001A24C3" w:rsidP="00BE28C1">
      <w:pPr>
        <w:pStyle w:val="Popis"/>
        <w:keepNext/>
        <w:jc w:val="both"/>
      </w:pPr>
      <w:bookmarkStart w:id="374" w:name="_Toc83677948"/>
      <w:r>
        <w:t xml:space="preserve">Tabuľka </w:t>
      </w:r>
      <w:r w:rsidR="008B078A">
        <w:t xml:space="preserve">77 </w:t>
      </w:r>
      <w:r w:rsidR="00BE28C1">
        <w:rPr>
          <w:noProof/>
        </w:rPr>
        <w:t xml:space="preserve"> </w:t>
      </w:r>
      <w:r>
        <w:t>Zostatková hodnota – odpisová metóda</w:t>
      </w:r>
      <w:bookmarkEnd w:id="374"/>
    </w:p>
    <w:tbl>
      <w:tblPr>
        <w:tblW w:w="0" w:type="auto"/>
        <w:tblCellMar>
          <w:left w:w="70" w:type="dxa"/>
          <w:right w:w="70" w:type="dxa"/>
        </w:tblCellMar>
        <w:tblLook w:val="04A0" w:firstRow="1" w:lastRow="0" w:firstColumn="1" w:lastColumn="0" w:noHBand="0" w:noVBand="1"/>
      </w:tblPr>
      <w:tblGrid>
        <w:gridCol w:w="2671"/>
        <w:gridCol w:w="842"/>
        <w:gridCol w:w="901"/>
        <w:gridCol w:w="958"/>
        <w:gridCol w:w="840"/>
        <w:gridCol w:w="880"/>
        <w:gridCol w:w="1281"/>
      </w:tblGrid>
      <w:tr w:rsidR="001A24C3" w:rsidRPr="00234F71" w14:paraId="2E187FA3" w14:textId="77777777" w:rsidTr="00300963">
        <w:trPr>
          <w:trHeight w:val="204"/>
        </w:trPr>
        <w:tc>
          <w:tcPr>
            <w:tcW w:w="3513" w:type="dxa"/>
            <w:gridSpan w:val="2"/>
            <w:tcBorders>
              <w:top w:val="nil"/>
              <w:left w:val="nil"/>
              <w:bottom w:val="nil"/>
              <w:right w:val="nil"/>
            </w:tcBorders>
            <w:shd w:val="clear" w:color="auto" w:fill="auto"/>
            <w:noWrap/>
            <w:vAlign w:val="bottom"/>
            <w:hideMark/>
          </w:tcPr>
          <w:p w14:paraId="07676E21" w14:textId="77777777" w:rsidR="001A24C3" w:rsidRPr="00234F71" w:rsidRDefault="001A24C3" w:rsidP="00300963">
            <w:pP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2.1 Zostatková hodnota na základe životnosti infraštruktrálnych prvkov (alebo tzv. účtovné odpisy)</w:t>
            </w:r>
          </w:p>
        </w:tc>
        <w:tc>
          <w:tcPr>
            <w:tcW w:w="896" w:type="dxa"/>
            <w:tcBorders>
              <w:top w:val="nil"/>
              <w:left w:val="nil"/>
              <w:bottom w:val="nil"/>
              <w:right w:val="nil"/>
            </w:tcBorders>
            <w:shd w:val="clear" w:color="auto" w:fill="auto"/>
            <w:noWrap/>
            <w:vAlign w:val="bottom"/>
            <w:hideMark/>
          </w:tcPr>
          <w:p w14:paraId="25F8A881" w14:textId="77777777" w:rsidR="001A24C3" w:rsidRPr="00234F71" w:rsidRDefault="001A24C3" w:rsidP="00300963">
            <w:pPr>
              <w:rPr>
                <w:rFonts w:ascii="Arial" w:eastAsia="Times New Roman" w:hAnsi="Arial" w:cs="Arial"/>
                <w:b/>
                <w:bCs/>
                <w:sz w:val="12"/>
                <w:szCs w:val="12"/>
                <w:lang w:eastAsia="sk-SK"/>
              </w:rPr>
            </w:pPr>
          </w:p>
        </w:tc>
        <w:tc>
          <w:tcPr>
            <w:tcW w:w="953" w:type="dxa"/>
            <w:tcBorders>
              <w:top w:val="nil"/>
              <w:left w:val="nil"/>
              <w:bottom w:val="nil"/>
              <w:right w:val="nil"/>
            </w:tcBorders>
            <w:shd w:val="clear" w:color="auto" w:fill="auto"/>
            <w:noWrap/>
            <w:vAlign w:val="bottom"/>
            <w:hideMark/>
          </w:tcPr>
          <w:p w14:paraId="4F651F66" w14:textId="77777777" w:rsidR="001A24C3" w:rsidRPr="00234F71" w:rsidRDefault="001A24C3" w:rsidP="00300963">
            <w:pPr>
              <w:rPr>
                <w:rFonts w:ascii="Times New Roman" w:eastAsia="Times New Roman" w:hAnsi="Times New Roman" w:cs="Times New Roman"/>
                <w:sz w:val="12"/>
                <w:szCs w:val="12"/>
                <w:lang w:eastAsia="sk-SK"/>
              </w:rPr>
            </w:pPr>
          </w:p>
        </w:tc>
        <w:tc>
          <w:tcPr>
            <w:tcW w:w="840" w:type="dxa"/>
            <w:tcBorders>
              <w:top w:val="nil"/>
              <w:left w:val="nil"/>
              <w:bottom w:val="nil"/>
              <w:right w:val="nil"/>
            </w:tcBorders>
            <w:shd w:val="clear" w:color="auto" w:fill="auto"/>
            <w:noWrap/>
            <w:vAlign w:val="bottom"/>
            <w:hideMark/>
          </w:tcPr>
          <w:p w14:paraId="75727148" w14:textId="77777777" w:rsidR="001A24C3" w:rsidRPr="00234F71" w:rsidRDefault="001A24C3" w:rsidP="00300963">
            <w:pPr>
              <w:rPr>
                <w:rFonts w:ascii="Times New Roman" w:eastAsia="Times New Roman" w:hAnsi="Times New Roman" w:cs="Times New Roman"/>
                <w:sz w:val="12"/>
                <w:szCs w:val="12"/>
                <w:lang w:eastAsia="sk-SK"/>
              </w:rPr>
            </w:pPr>
          </w:p>
        </w:tc>
        <w:tc>
          <w:tcPr>
            <w:tcW w:w="880" w:type="dxa"/>
            <w:tcBorders>
              <w:top w:val="nil"/>
              <w:left w:val="nil"/>
              <w:bottom w:val="nil"/>
              <w:right w:val="single" w:sz="4" w:space="0" w:color="auto"/>
            </w:tcBorders>
            <w:shd w:val="clear" w:color="auto" w:fill="auto"/>
            <w:noWrap/>
            <w:vAlign w:val="bottom"/>
            <w:hideMark/>
          </w:tcPr>
          <w:p w14:paraId="4270C035" w14:textId="77777777" w:rsidR="001A24C3" w:rsidRPr="00234F71" w:rsidRDefault="001A24C3" w:rsidP="00300963">
            <w:pPr>
              <w:rPr>
                <w:rFonts w:ascii="Times New Roman" w:eastAsia="Times New Roman" w:hAnsi="Times New Roman" w:cs="Times New Roman"/>
                <w:sz w:val="12"/>
                <w:szCs w:val="12"/>
                <w:lang w:eastAsia="sk-SK"/>
              </w:rPr>
            </w:pPr>
          </w:p>
        </w:tc>
        <w:tc>
          <w:tcPr>
            <w:tcW w:w="0" w:type="auto"/>
            <w:tcBorders>
              <w:top w:val="single" w:sz="8" w:space="0" w:color="auto"/>
              <w:left w:val="single" w:sz="4" w:space="0" w:color="auto"/>
              <w:bottom w:val="nil"/>
              <w:right w:val="single" w:sz="8" w:space="0" w:color="auto"/>
            </w:tcBorders>
            <w:shd w:val="clear" w:color="auto" w:fill="auto"/>
            <w:noWrap/>
            <w:vAlign w:val="bottom"/>
            <w:hideMark/>
          </w:tcPr>
          <w:p w14:paraId="7A8A7E34" w14:textId="77777777" w:rsidR="001A24C3" w:rsidRPr="00234F71" w:rsidRDefault="001A24C3" w:rsidP="00300963">
            <w:pPr>
              <w:jc w:val="cente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ekonomická</w:t>
            </w:r>
          </w:p>
        </w:tc>
      </w:tr>
      <w:tr w:rsidR="001A24C3" w:rsidRPr="00234F71" w14:paraId="18D80B91" w14:textId="77777777" w:rsidTr="00300963">
        <w:trPr>
          <w:trHeight w:val="1020"/>
        </w:trPr>
        <w:tc>
          <w:tcPr>
            <w:tcW w:w="2671"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CE555AC" w14:textId="77777777" w:rsidR="001A24C3" w:rsidRPr="00234F71" w:rsidRDefault="001A24C3" w:rsidP="00300963">
            <w:pP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Infraštrukturálny prvok</w:t>
            </w:r>
          </w:p>
        </w:tc>
        <w:tc>
          <w:tcPr>
            <w:tcW w:w="842" w:type="dxa"/>
            <w:tcBorders>
              <w:top w:val="single" w:sz="4" w:space="0" w:color="auto"/>
              <w:left w:val="nil"/>
              <w:bottom w:val="single" w:sz="4" w:space="0" w:color="auto"/>
              <w:right w:val="single" w:sz="4" w:space="0" w:color="auto"/>
            </w:tcBorders>
            <w:shd w:val="clear" w:color="000000" w:fill="D9D9D9"/>
            <w:vAlign w:val="bottom"/>
            <w:hideMark/>
          </w:tcPr>
          <w:p w14:paraId="05148FF0" w14:textId="77777777" w:rsidR="001A24C3" w:rsidRPr="00234F71" w:rsidRDefault="001A24C3" w:rsidP="00300963">
            <w:pPr>
              <w:jc w:val="cente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Životnosť v rokoch</w:t>
            </w:r>
          </w:p>
        </w:tc>
        <w:tc>
          <w:tcPr>
            <w:tcW w:w="896" w:type="dxa"/>
            <w:tcBorders>
              <w:top w:val="single" w:sz="4" w:space="0" w:color="auto"/>
              <w:left w:val="nil"/>
              <w:bottom w:val="single" w:sz="4" w:space="0" w:color="auto"/>
              <w:right w:val="single" w:sz="4" w:space="0" w:color="auto"/>
            </w:tcBorders>
            <w:shd w:val="clear" w:color="000000" w:fill="D9D9D9"/>
            <w:vAlign w:val="bottom"/>
            <w:hideMark/>
          </w:tcPr>
          <w:p w14:paraId="00E2A5C2" w14:textId="77777777" w:rsidR="001A24C3" w:rsidRPr="00234F71" w:rsidRDefault="001A24C3" w:rsidP="00300963">
            <w:pPr>
              <w:jc w:val="cente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Obdobie prevádzky v rámci referenčného obdobia</w:t>
            </w:r>
          </w:p>
        </w:tc>
        <w:tc>
          <w:tcPr>
            <w:tcW w:w="953" w:type="dxa"/>
            <w:tcBorders>
              <w:top w:val="single" w:sz="4" w:space="0" w:color="auto"/>
              <w:left w:val="nil"/>
              <w:bottom w:val="single" w:sz="4" w:space="0" w:color="auto"/>
              <w:right w:val="single" w:sz="4" w:space="0" w:color="auto"/>
            </w:tcBorders>
            <w:shd w:val="clear" w:color="000000" w:fill="D9D9D9"/>
            <w:vAlign w:val="bottom"/>
            <w:hideMark/>
          </w:tcPr>
          <w:p w14:paraId="11FDC677" w14:textId="77777777" w:rsidR="001A24C3" w:rsidRPr="00234F71" w:rsidRDefault="001A24C3" w:rsidP="00300963">
            <w:pPr>
              <w:jc w:val="cente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Nevyhnutnosť výmeny</w:t>
            </w:r>
          </w:p>
        </w:tc>
        <w:tc>
          <w:tcPr>
            <w:tcW w:w="840" w:type="dxa"/>
            <w:tcBorders>
              <w:top w:val="single" w:sz="4" w:space="0" w:color="auto"/>
              <w:left w:val="nil"/>
              <w:bottom w:val="single" w:sz="4" w:space="0" w:color="auto"/>
              <w:right w:val="single" w:sz="4" w:space="0" w:color="auto"/>
            </w:tcBorders>
            <w:shd w:val="clear" w:color="000000" w:fill="D9D9D9"/>
            <w:vAlign w:val="bottom"/>
            <w:hideMark/>
          </w:tcPr>
          <w:p w14:paraId="4FB3858B" w14:textId="77777777" w:rsidR="001A24C3" w:rsidRPr="00234F71" w:rsidRDefault="001A24C3" w:rsidP="00300963">
            <w:pPr>
              <w:jc w:val="cente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Životnosť (vrátane výmeny)</w:t>
            </w:r>
          </w:p>
        </w:tc>
        <w:tc>
          <w:tcPr>
            <w:tcW w:w="880" w:type="dxa"/>
            <w:tcBorders>
              <w:top w:val="single" w:sz="4" w:space="0" w:color="auto"/>
              <w:left w:val="nil"/>
              <w:bottom w:val="single" w:sz="4" w:space="0" w:color="auto"/>
              <w:right w:val="single" w:sz="4" w:space="0" w:color="auto"/>
            </w:tcBorders>
            <w:shd w:val="clear" w:color="000000" w:fill="D9D9D9"/>
            <w:vAlign w:val="bottom"/>
            <w:hideMark/>
          </w:tcPr>
          <w:p w14:paraId="35170152" w14:textId="77777777" w:rsidR="001A24C3" w:rsidRPr="00234F71" w:rsidRDefault="001A24C3" w:rsidP="00300963">
            <w:pPr>
              <w:jc w:val="cente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Zostávajúca životnosť v %*</w:t>
            </w:r>
          </w:p>
        </w:tc>
        <w:tc>
          <w:tcPr>
            <w:tcW w:w="0" w:type="auto"/>
            <w:tcBorders>
              <w:top w:val="single" w:sz="4" w:space="0" w:color="auto"/>
              <w:left w:val="single" w:sz="4" w:space="0" w:color="auto"/>
              <w:bottom w:val="single" w:sz="4" w:space="0" w:color="auto"/>
              <w:right w:val="single" w:sz="8" w:space="0" w:color="auto"/>
            </w:tcBorders>
            <w:shd w:val="clear" w:color="000000" w:fill="D9D9D9"/>
            <w:vAlign w:val="bottom"/>
            <w:hideMark/>
          </w:tcPr>
          <w:p w14:paraId="4E9A8473" w14:textId="77777777" w:rsidR="001A24C3" w:rsidRPr="00234F71" w:rsidRDefault="001A24C3" w:rsidP="00300963">
            <w:pPr>
              <w:jc w:val="cente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Zostatková hodnota</w:t>
            </w:r>
          </w:p>
        </w:tc>
      </w:tr>
      <w:tr w:rsidR="001A24C3" w:rsidRPr="00234F71" w14:paraId="49637789"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334080B5"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Pozemky</w:t>
            </w:r>
          </w:p>
        </w:tc>
        <w:tc>
          <w:tcPr>
            <w:tcW w:w="842" w:type="dxa"/>
            <w:tcBorders>
              <w:top w:val="nil"/>
              <w:left w:val="nil"/>
              <w:bottom w:val="single" w:sz="4" w:space="0" w:color="auto"/>
              <w:right w:val="single" w:sz="4" w:space="0" w:color="auto"/>
            </w:tcBorders>
            <w:shd w:val="clear" w:color="auto" w:fill="auto"/>
            <w:vAlign w:val="bottom"/>
            <w:hideMark/>
          </w:tcPr>
          <w:p w14:paraId="4C968116"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nekonečná</w:t>
            </w:r>
          </w:p>
        </w:tc>
        <w:tc>
          <w:tcPr>
            <w:tcW w:w="896" w:type="dxa"/>
            <w:tcBorders>
              <w:top w:val="nil"/>
              <w:left w:val="nil"/>
              <w:bottom w:val="single" w:sz="4" w:space="0" w:color="auto"/>
              <w:right w:val="single" w:sz="4" w:space="0" w:color="auto"/>
            </w:tcBorders>
            <w:shd w:val="clear" w:color="auto" w:fill="auto"/>
            <w:vAlign w:val="center"/>
            <w:hideMark/>
          </w:tcPr>
          <w:p w14:paraId="44E300F5"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53A89A48"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vAlign w:val="bottom"/>
            <w:hideMark/>
          </w:tcPr>
          <w:p w14:paraId="0633AFD9"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nekonečná</w:t>
            </w:r>
          </w:p>
        </w:tc>
        <w:tc>
          <w:tcPr>
            <w:tcW w:w="880" w:type="dxa"/>
            <w:tcBorders>
              <w:top w:val="nil"/>
              <w:left w:val="nil"/>
              <w:bottom w:val="single" w:sz="4" w:space="0" w:color="auto"/>
              <w:right w:val="single" w:sz="4" w:space="0" w:color="auto"/>
            </w:tcBorders>
            <w:shd w:val="clear" w:color="auto" w:fill="auto"/>
            <w:noWrap/>
            <w:vAlign w:val="bottom"/>
            <w:hideMark/>
          </w:tcPr>
          <w:p w14:paraId="07EDDCB2"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nekonečná</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4B38495E"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1 590 900,00</w:t>
            </w:r>
          </w:p>
        </w:tc>
      </w:tr>
      <w:tr w:rsidR="001A24C3" w:rsidRPr="00234F71" w14:paraId="0B9854AB"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07ED9B30"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Mosty železobetónové</w:t>
            </w:r>
          </w:p>
        </w:tc>
        <w:tc>
          <w:tcPr>
            <w:tcW w:w="842" w:type="dxa"/>
            <w:tcBorders>
              <w:top w:val="nil"/>
              <w:left w:val="nil"/>
              <w:bottom w:val="single" w:sz="4" w:space="0" w:color="auto"/>
              <w:right w:val="single" w:sz="4" w:space="0" w:color="auto"/>
            </w:tcBorders>
            <w:shd w:val="clear" w:color="auto" w:fill="auto"/>
            <w:noWrap/>
            <w:vAlign w:val="bottom"/>
            <w:hideMark/>
          </w:tcPr>
          <w:p w14:paraId="416740CD"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100</w:t>
            </w:r>
          </w:p>
        </w:tc>
        <w:tc>
          <w:tcPr>
            <w:tcW w:w="896" w:type="dxa"/>
            <w:tcBorders>
              <w:top w:val="nil"/>
              <w:left w:val="nil"/>
              <w:bottom w:val="single" w:sz="4" w:space="0" w:color="auto"/>
              <w:right w:val="single" w:sz="4" w:space="0" w:color="auto"/>
            </w:tcBorders>
            <w:shd w:val="clear" w:color="auto" w:fill="auto"/>
            <w:vAlign w:val="center"/>
            <w:hideMark/>
          </w:tcPr>
          <w:p w14:paraId="312DD370"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461536CB"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36E3F20C"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100</w:t>
            </w:r>
          </w:p>
        </w:tc>
        <w:tc>
          <w:tcPr>
            <w:tcW w:w="880" w:type="dxa"/>
            <w:tcBorders>
              <w:top w:val="nil"/>
              <w:left w:val="nil"/>
              <w:bottom w:val="single" w:sz="4" w:space="0" w:color="auto"/>
              <w:right w:val="single" w:sz="4" w:space="0" w:color="auto"/>
            </w:tcBorders>
            <w:shd w:val="clear" w:color="auto" w:fill="auto"/>
            <w:noWrap/>
            <w:vAlign w:val="bottom"/>
            <w:hideMark/>
          </w:tcPr>
          <w:p w14:paraId="61C98A34"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72%</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0BC7D08C"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0,00</w:t>
            </w:r>
          </w:p>
        </w:tc>
      </w:tr>
      <w:tr w:rsidR="001A24C3" w:rsidRPr="00234F71" w14:paraId="67D24B2B"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6DF4D45F"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Mosty oceľové a priepusty</w:t>
            </w:r>
          </w:p>
        </w:tc>
        <w:tc>
          <w:tcPr>
            <w:tcW w:w="842" w:type="dxa"/>
            <w:tcBorders>
              <w:top w:val="nil"/>
              <w:left w:val="nil"/>
              <w:bottom w:val="single" w:sz="4" w:space="0" w:color="auto"/>
              <w:right w:val="single" w:sz="4" w:space="0" w:color="auto"/>
            </w:tcBorders>
            <w:shd w:val="clear" w:color="auto" w:fill="auto"/>
            <w:noWrap/>
            <w:vAlign w:val="bottom"/>
            <w:hideMark/>
          </w:tcPr>
          <w:p w14:paraId="64843FD0"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80</w:t>
            </w:r>
          </w:p>
        </w:tc>
        <w:tc>
          <w:tcPr>
            <w:tcW w:w="896" w:type="dxa"/>
            <w:tcBorders>
              <w:top w:val="nil"/>
              <w:left w:val="nil"/>
              <w:bottom w:val="single" w:sz="4" w:space="0" w:color="auto"/>
              <w:right w:val="single" w:sz="4" w:space="0" w:color="auto"/>
            </w:tcBorders>
            <w:shd w:val="clear" w:color="auto" w:fill="auto"/>
            <w:vAlign w:val="center"/>
            <w:hideMark/>
          </w:tcPr>
          <w:p w14:paraId="4090FFC8"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15B160BE"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50D91EA2"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80</w:t>
            </w:r>
          </w:p>
        </w:tc>
        <w:tc>
          <w:tcPr>
            <w:tcW w:w="880" w:type="dxa"/>
            <w:tcBorders>
              <w:top w:val="nil"/>
              <w:left w:val="nil"/>
              <w:bottom w:val="single" w:sz="4" w:space="0" w:color="auto"/>
              <w:right w:val="single" w:sz="4" w:space="0" w:color="auto"/>
            </w:tcBorders>
            <w:shd w:val="clear" w:color="auto" w:fill="auto"/>
            <w:noWrap/>
            <w:vAlign w:val="bottom"/>
            <w:hideMark/>
          </w:tcPr>
          <w:p w14:paraId="3478FCE0"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65%</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2089F6EB"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14 848 367,08</w:t>
            </w:r>
          </w:p>
        </w:tc>
      </w:tr>
      <w:tr w:rsidR="001A24C3" w:rsidRPr="00234F71" w14:paraId="347280A1"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099A9A80"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Tunely</w:t>
            </w:r>
          </w:p>
        </w:tc>
        <w:tc>
          <w:tcPr>
            <w:tcW w:w="842" w:type="dxa"/>
            <w:tcBorders>
              <w:top w:val="nil"/>
              <w:left w:val="nil"/>
              <w:bottom w:val="single" w:sz="4" w:space="0" w:color="auto"/>
              <w:right w:val="single" w:sz="4" w:space="0" w:color="auto"/>
            </w:tcBorders>
            <w:shd w:val="clear" w:color="auto" w:fill="auto"/>
            <w:noWrap/>
            <w:vAlign w:val="bottom"/>
            <w:hideMark/>
          </w:tcPr>
          <w:p w14:paraId="0B25C6DE"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80</w:t>
            </w:r>
          </w:p>
        </w:tc>
        <w:tc>
          <w:tcPr>
            <w:tcW w:w="896" w:type="dxa"/>
            <w:tcBorders>
              <w:top w:val="nil"/>
              <w:left w:val="nil"/>
              <w:bottom w:val="single" w:sz="4" w:space="0" w:color="auto"/>
              <w:right w:val="single" w:sz="4" w:space="0" w:color="auto"/>
            </w:tcBorders>
            <w:shd w:val="clear" w:color="auto" w:fill="auto"/>
            <w:vAlign w:val="center"/>
            <w:hideMark/>
          </w:tcPr>
          <w:p w14:paraId="434AE620"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2B6B2B4C"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4968DC00"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80</w:t>
            </w:r>
          </w:p>
        </w:tc>
        <w:tc>
          <w:tcPr>
            <w:tcW w:w="880" w:type="dxa"/>
            <w:tcBorders>
              <w:top w:val="nil"/>
              <w:left w:val="nil"/>
              <w:bottom w:val="single" w:sz="4" w:space="0" w:color="auto"/>
              <w:right w:val="single" w:sz="4" w:space="0" w:color="auto"/>
            </w:tcBorders>
            <w:shd w:val="clear" w:color="auto" w:fill="auto"/>
            <w:noWrap/>
            <w:vAlign w:val="bottom"/>
            <w:hideMark/>
          </w:tcPr>
          <w:p w14:paraId="56CCBA39"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65%</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07110ED4"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0,00</w:t>
            </w:r>
          </w:p>
        </w:tc>
      </w:tr>
      <w:tr w:rsidR="001A24C3" w:rsidRPr="00234F71" w14:paraId="42FCA111"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27BD815F"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Budovy</w:t>
            </w:r>
          </w:p>
        </w:tc>
        <w:tc>
          <w:tcPr>
            <w:tcW w:w="842" w:type="dxa"/>
            <w:tcBorders>
              <w:top w:val="nil"/>
              <w:left w:val="nil"/>
              <w:bottom w:val="single" w:sz="4" w:space="0" w:color="auto"/>
              <w:right w:val="single" w:sz="4" w:space="0" w:color="auto"/>
            </w:tcBorders>
            <w:shd w:val="clear" w:color="auto" w:fill="auto"/>
            <w:noWrap/>
            <w:vAlign w:val="bottom"/>
            <w:hideMark/>
          </w:tcPr>
          <w:p w14:paraId="2C18EE08"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60</w:t>
            </w:r>
          </w:p>
        </w:tc>
        <w:tc>
          <w:tcPr>
            <w:tcW w:w="896" w:type="dxa"/>
            <w:tcBorders>
              <w:top w:val="nil"/>
              <w:left w:val="nil"/>
              <w:bottom w:val="single" w:sz="4" w:space="0" w:color="auto"/>
              <w:right w:val="single" w:sz="4" w:space="0" w:color="auto"/>
            </w:tcBorders>
            <w:shd w:val="clear" w:color="auto" w:fill="auto"/>
            <w:vAlign w:val="center"/>
            <w:hideMark/>
          </w:tcPr>
          <w:p w14:paraId="53707E8C"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1DB3B24E"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11CC0DF7"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60</w:t>
            </w:r>
          </w:p>
        </w:tc>
        <w:tc>
          <w:tcPr>
            <w:tcW w:w="880" w:type="dxa"/>
            <w:tcBorders>
              <w:top w:val="nil"/>
              <w:left w:val="nil"/>
              <w:bottom w:val="single" w:sz="4" w:space="0" w:color="auto"/>
              <w:right w:val="single" w:sz="4" w:space="0" w:color="auto"/>
            </w:tcBorders>
            <w:shd w:val="clear" w:color="auto" w:fill="auto"/>
            <w:noWrap/>
            <w:vAlign w:val="bottom"/>
            <w:hideMark/>
          </w:tcPr>
          <w:p w14:paraId="5C4075F9"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53%</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2FFAC8F8"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9 115,37</w:t>
            </w:r>
          </w:p>
        </w:tc>
      </w:tr>
      <w:tr w:rsidR="001A24C3" w:rsidRPr="00234F71" w14:paraId="31211C4A"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70BBF43F"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Nástupištia</w:t>
            </w:r>
          </w:p>
        </w:tc>
        <w:tc>
          <w:tcPr>
            <w:tcW w:w="842" w:type="dxa"/>
            <w:tcBorders>
              <w:top w:val="nil"/>
              <w:left w:val="nil"/>
              <w:bottom w:val="single" w:sz="4" w:space="0" w:color="auto"/>
              <w:right w:val="single" w:sz="4" w:space="0" w:color="auto"/>
            </w:tcBorders>
            <w:shd w:val="clear" w:color="auto" w:fill="auto"/>
            <w:noWrap/>
            <w:vAlign w:val="bottom"/>
            <w:hideMark/>
          </w:tcPr>
          <w:p w14:paraId="75960461"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40</w:t>
            </w:r>
          </w:p>
        </w:tc>
        <w:tc>
          <w:tcPr>
            <w:tcW w:w="896" w:type="dxa"/>
            <w:tcBorders>
              <w:top w:val="nil"/>
              <w:left w:val="nil"/>
              <w:bottom w:val="single" w:sz="4" w:space="0" w:color="auto"/>
              <w:right w:val="single" w:sz="4" w:space="0" w:color="auto"/>
            </w:tcBorders>
            <w:shd w:val="clear" w:color="auto" w:fill="auto"/>
            <w:vAlign w:val="center"/>
            <w:hideMark/>
          </w:tcPr>
          <w:p w14:paraId="1732E1DF"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160FD964"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79139FB3"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40</w:t>
            </w:r>
          </w:p>
        </w:tc>
        <w:tc>
          <w:tcPr>
            <w:tcW w:w="880" w:type="dxa"/>
            <w:tcBorders>
              <w:top w:val="nil"/>
              <w:left w:val="nil"/>
              <w:bottom w:val="single" w:sz="4" w:space="0" w:color="auto"/>
              <w:right w:val="single" w:sz="4" w:space="0" w:color="auto"/>
            </w:tcBorders>
            <w:shd w:val="clear" w:color="auto" w:fill="auto"/>
            <w:noWrap/>
            <w:vAlign w:val="bottom"/>
            <w:hideMark/>
          </w:tcPr>
          <w:p w14:paraId="00E29615"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0FA46771"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614 517,67</w:t>
            </w:r>
          </w:p>
        </w:tc>
      </w:tr>
      <w:tr w:rsidR="001A24C3" w:rsidRPr="00234F71" w14:paraId="215D12BF"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5E4717BD"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Cestné komunikácie</w:t>
            </w:r>
          </w:p>
        </w:tc>
        <w:tc>
          <w:tcPr>
            <w:tcW w:w="842" w:type="dxa"/>
            <w:tcBorders>
              <w:top w:val="nil"/>
              <w:left w:val="nil"/>
              <w:bottom w:val="single" w:sz="4" w:space="0" w:color="auto"/>
              <w:right w:val="single" w:sz="4" w:space="0" w:color="auto"/>
            </w:tcBorders>
            <w:shd w:val="clear" w:color="auto" w:fill="auto"/>
            <w:noWrap/>
            <w:vAlign w:val="bottom"/>
            <w:hideMark/>
          </w:tcPr>
          <w:p w14:paraId="68668F7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50</w:t>
            </w:r>
          </w:p>
        </w:tc>
        <w:tc>
          <w:tcPr>
            <w:tcW w:w="896" w:type="dxa"/>
            <w:tcBorders>
              <w:top w:val="nil"/>
              <w:left w:val="nil"/>
              <w:bottom w:val="single" w:sz="4" w:space="0" w:color="auto"/>
              <w:right w:val="single" w:sz="4" w:space="0" w:color="auto"/>
            </w:tcBorders>
            <w:shd w:val="clear" w:color="auto" w:fill="auto"/>
            <w:vAlign w:val="center"/>
            <w:hideMark/>
          </w:tcPr>
          <w:p w14:paraId="419B2D5D"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79280DC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10A609C1"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50</w:t>
            </w:r>
          </w:p>
        </w:tc>
        <w:tc>
          <w:tcPr>
            <w:tcW w:w="880" w:type="dxa"/>
            <w:tcBorders>
              <w:top w:val="nil"/>
              <w:left w:val="nil"/>
              <w:bottom w:val="single" w:sz="4" w:space="0" w:color="auto"/>
              <w:right w:val="single" w:sz="4" w:space="0" w:color="auto"/>
            </w:tcBorders>
            <w:shd w:val="clear" w:color="auto" w:fill="auto"/>
            <w:noWrap/>
            <w:vAlign w:val="bottom"/>
            <w:hideMark/>
          </w:tcPr>
          <w:p w14:paraId="4CD0DEE5"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44%</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0403D05C"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608 099,18</w:t>
            </w:r>
          </w:p>
        </w:tc>
      </w:tr>
      <w:tr w:rsidR="001A24C3" w:rsidRPr="00234F71" w14:paraId="188477D3"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0AA4DB25"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xml:space="preserve">Trať – železničný spodok </w:t>
            </w:r>
          </w:p>
        </w:tc>
        <w:tc>
          <w:tcPr>
            <w:tcW w:w="842" w:type="dxa"/>
            <w:tcBorders>
              <w:top w:val="nil"/>
              <w:left w:val="nil"/>
              <w:bottom w:val="single" w:sz="4" w:space="0" w:color="auto"/>
              <w:right w:val="single" w:sz="4" w:space="0" w:color="auto"/>
            </w:tcBorders>
            <w:shd w:val="clear" w:color="auto" w:fill="auto"/>
            <w:noWrap/>
            <w:vAlign w:val="bottom"/>
            <w:hideMark/>
          </w:tcPr>
          <w:p w14:paraId="7177BEEE"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50</w:t>
            </w:r>
          </w:p>
        </w:tc>
        <w:tc>
          <w:tcPr>
            <w:tcW w:w="896" w:type="dxa"/>
            <w:tcBorders>
              <w:top w:val="nil"/>
              <w:left w:val="nil"/>
              <w:bottom w:val="single" w:sz="4" w:space="0" w:color="auto"/>
              <w:right w:val="single" w:sz="4" w:space="0" w:color="auto"/>
            </w:tcBorders>
            <w:shd w:val="clear" w:color="auto" w:fill="auto"/>
            <w:vAlign w:val="center"/>
            <w:hideMark/>
          </w:tcPr>
          <w:p w14:paraId="19E49BE9"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723DFF66"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4F7BF061"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50</w:t>
            </w:r>
          </w:p>
        </w:tc>
        <w:tc>
          <w:tcPr>
            <w:tcW w:w="880" w:type="dxa"/>
            <w:tcBorders>
              <w:top w:val="nil"/>
              <w:left w:val="nil"/>
              <w:bottom w:val="single" w:sz="4" w:space="0" w:color="auto"/>
              <w:right w:val="single" w:sz="4" w:space="0" w:color="auto"/>
            </w:tcBorders>
            <w:shd w:val="clear" w:color="auto" w:fill="auto"/>
            <w:noWrap/>
            <w:vAlign w:val="bottom"/>
            <w:hideMark/>
          </w:tcPr>
          <w:p w14:paraId="60C18AAF"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44%</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7BF2466B"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6 329 856,08</w:t>
            </w:r>
          </w:p>
        </w:tc>
      </w:tr>
      <w:tr w:rsidR="001A24C3" w:rsidRPr="00234F71" w14:paraId="0F1D5647"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2CF5A45B"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xml:space="preserve">Trať – železničný zvršok </w:t>
            </w:r>
          </w:p>
        </w:tc>
        <w:tc>
          <w:tcPr>
            <w:tcW w:w="842" w:type="dxa"/>
            <w:tcBorders>
              <w:top w:val="nil"/>
              <w:left w:val="nil"/>
              <w:bottom w:val="single" w:sz="4" w:space="0" w:color="auto"/>
              <w:right w:val="single" w:sz="4" w:space="0" w:color="auto"/>
            </w:tcBorders>
            <w:shd w:val="clear" w:color="auto" w:fill="auto"/>
            <w:noWrap/>
            <w:vAlign w:val="bottom"/>
            <w:hideMark/>
          </w:tcPr>
          <w:p w14:paraId="66AF1491"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96" w:type="dxa"/>
            <w:tcBorders>
              <w:top w:val="nil"/>
              <w:left w:val="nil"/>
              <w:bottom w:val="single" w:sz="4" w:space="0" w:color="auto"/>
              <w:right w:val="single" w:sz="4" w:space="0" w:color="auto"/>
            </w:tcBorders>
            <w:shd w:val="clear" w:color="auto" w:fill="auto"/>
            <w:vAlign w:val="center"/>
            <w:hideMark/>
          </w:tcPr>
          <w:p w14:paraId="65B4F2E3"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69D6E41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73F99A06"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80" w:type="dxa"/>
            <w:tcBorders>
              <w:top w:val="nil"/>
              <w:left w:val="nil"/>
              <w:bottom w:val="single" w:sz="4" w:space="0" w:color="auto"/>
              <w:right w:val="single" w:sz="4" w:space="0" w:color="auto"/>
            </w:tcBorders>
            <w:shd w:val="clear" w:color="auto" w:fill="auto"/>
            <w:noWrap/>
            <w:vAlign w:val="bottom"/>
            <w:hideMark/>
          </w:tcPr>
          <w:p w14:paraId="4996DD8D"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7%</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3BBE505A"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1 858 144,53</w:t>
            </w:r>
          </w:p>
        </w:tc>
      </w:tr>
      <w:tr w:rsidR="001A24C3" w:rsidRPr="00234F71" w14:paraId="53EE0E74"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7383A381"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Podporné a oporné múry, spevnenie svahu</w:t>
            </w:r>
          </w:p>
        </w:tc>
        <w:tc>
          <w:tcPr>
            <w:tcW w:w="842" w:type="dxa"/>
            <w:tcBorders>
              <w:top w:val="nil"/>
              <w:left w:val="nil"/>
              <w:bottom w:val="single" w:sz="4" w:space="0" w:color="auto"/>
              <w:right w:val="single" w:sz="4" w:space="0" w:color="auto"/>
            </w:tcBorders>
            <w:shd w:val="clear" w:color="auto" w:fill="auto"/>
            <w:noWrap/>
            <w:vAlign w:val="bottom"/>
            <w:hideMark/>
          </w:tcPr>
          <w:p w14:paraId="1C24712B"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50</w:t>
            </w:r>
          </w:p>
        </w:tc>
        <w:tc>
          <w:tcPr>
            <w:tcW w:w="896" w:type="dxa"/>
            <w:tcBorders>
              <w:top w:val="nil"/>
              <w:left w:val="nil"/>
              <w:bottom w:val="single" w:sz="4" w:space="0" w:color="auto"/>
              <w:right w:val="single" w:sz="4" w:space="0" w:color="auto"/>
            </w:tcBorders>
            <w:shd w:val="clear" w:color="auto" w:fill="auto"/>
            <w:vAlign w:val="center"/>
            <w:hideMark/>
          </w:tcPr>
          <w:p w14:paraId="3D164847"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1ADF947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0E4FC724"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50</w:t>
            </w:r>
          </w:p>
        </w:tc>
        <w:tc>
          <w:tcPr>
            <w:tcW w:w="880" w:type="dxa"/>
            <w:tcBorders>
              <w:top w:val="nil"/>
              <w:left w:val="nil"/>
              <w:bottom w:val="single" w:sz="4" w:space="0" w:color="auto"/>
              <w:right w:val="single" w:sz="4" w:space="0" w:color="auto"/>
            </w:tcBorders>
            <w:shd w:val="clear" w:color="auto" w:fill="auto"/>
            <w:noWrap/>
            <w:vAlign w:val="bottom"/>
            <w:hideMark/>
          </w:tcPr>
          <w:p w14:paraId="25977A1C"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44%</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3F344955"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2 043 815,09</w:t>
            </w:r>
          </w:p>
        </w:tc>
      </w:tr>
      <w:tr w:rsidR="001A24C3" w:rsidRPr="00234F71" w14:paraId="1F33DAB1"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6EAD6A67"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Elektrifikácia – trakčné napájacie stanice, trakčné vedenia</w:t>
            </w:r>
          </w:p>
        </w:tc>
        <w:tc>
          <w:tcPr>
            <w:tcW w:w="842" w:type="dxa"/>
            <w:tcBorders>
              <w:top w:val="nil"/>
              <w:left w:val="nil"/>
              <w:bottom w:val="single" w:sz="4" w:space="0" w:color="auto"/>
              <w:right w:val="single" w:sz="4" w:space="0" w:color="auto"/>
            </w:tcBorders>
            <w:shd w:val="clear" w:color="auto" w:fill="auto"/>
            <w:noWrap/>
            <w:vAlign w:val="bottom"/>
            <w:hideMark/>
          </w:tcPr>
          <w:p w14:paraId="0DD7F1B3"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96" w:type="dxa"/>
            <w:tcBorders>
              <w:top w:val="nil"/>
              <w:left w:val="nil"/>
              <w:bottom w:val="single" w:sz="4" w:space="0" w:color="auto"/>
              <w:right w:val="single" w:sz="4" w:space="0" w:color="auto"/>
            </w:tcBorders>
            <w:shd w:val="clear" w:color="auto" w:fill="auto"/>
            <w:vAlign w:val="center"/>
            <w:hideMark/>
          </w:tcPr>
          <w:p w14:paraId="3060124E"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70AB0F9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6D827BE8"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80" w:type="dxa"/>
            <w:tcBorders>
              <w:top w:val="nil"/>
              <w:left w:val="nil"/>
              <w:bottom w:val="single" w:sz="4" w:space="0" w:color="auto"/>
              <w:right w:val="single" w:sz="4" w:space="0" w:color="auto"/>
            </w:tcBorders>
            <w:shd w:val="clear" w:color="auto" w:fill="auto"/>
            <w:noWrap/>
            <w:vAlign w:val="bottom"/>
            <w:hideMark/>
          </w:tcPr>
          <w:p w14:paraId="41D861F3"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7%</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25328C0F"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1 564 363,79</w:t>
            </w:r>
          </w:p>
        </w:tc>
      </w:tr>
      <w:tr w:rsidR="001A24C3" w:rsidRPr="00234F71" w14:paraId="5895CDBC"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23597778"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Oznamovacie a telekomunikačné zariadenia</w:t>
            </w:r>
          </w:p>
        </w:tc>
        <w:tc>
          <w:tcPr>
            <w:tcW w:w="842" w:type="dxa"/>
            <w:tcBorders>
              <w:top w:val="nil"/>
              <w:left w:val="nil"/>
              <w:bottom w:val="single" w:sz="4" w:space="0" w:color="auto"/>
              <w:right w:val="single" w:sz="4" w:space="0" w:color="auto"/>
            </w:tcBorders>
            <w:shd w:val="clear" w:color="auto" w:fill="auto"/>
            <w:noWrap/>
            <w:vAlign w:val="bottom"/>
            <w:hideMark/>
          </w:tcPr>
          <w:p w14:paraId="3A48EEC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20</w:t>
            </w:r>
          </w:p>
        </w:tc>
        <w:tc>
          <w:tcPr>
            <w:tcW w:w="896" w:type="dxa"/>
            <w:tcBorders>
              <w:top w:val="nil"/>
              <w:left w:val="nil"/>
              <w:bottom w:val="single" w:sz="4" w:space="0" w:color="auto"/>
              <w:right w:val="single" w:sz="4" w:space="0" w:color="auto"/>
            </w:tcBorders>
            <w:shd w:val="clear" w:color="auto" w:fill="auto"/>
            <w:vAlign w:val="center"/>
            <w:hideMark/>
          </w:tcPr>
          <w:p w14:paraId="1AFD9E11"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0EA5AE1F"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1</w:t>
            </w:r>
          </w:p>
        </w:tc>
        <w:tc>
          <w:tcPr>
            <w:tcW w:w="840" w:type="dxa"/>
            <w:tcBorders>
              <w:top w:val="nil"/>
              <w:left w:val="nil"/>
              <w:bottom w:val="single" w:sz="4" w:space="0" w:color="auto"/>
              <w:right w:val="single" w:sz="4" w:space="0" w:color="auto"/>
            </w:tcBorders>
            <w:shd w:val="clear" w:color="auto" w:fill="auto"/>
            <w:noWrap/>
            <w:vAlign w:val="bottom"/>
            <w:hideMark/>
          </w:tcPr>
          <w:p w14:paraId="05159ABB"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40</w:t>
            </w:r>
          </w:p>
        </w:tc>
        <w:tc>
          <w:tcPr>
            <w:tcW w:w="880" w:type="dxa"/>
            <w:tcBorders>
              <w:top w:val="nil"/>
              <w:left w:val="nil"/>
              <w:bottom w:val="single" w:sz="4" w:space="0" w:color="auto"/>
              <w:right w:val="single" w:sz="4" w:space="0" w:color="auto"/>
            </w:tcBorders>
            <w:shd w:val="clear" w:color="auto" w:fill="auto"/>
            <w:noWrap/>
            <w:vAlign w:val="bottom"/>
            <w:hideMark/>
          </w:tcPr>
          <w:p w14:paraId="28DDA5A4"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60%</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5A2856C6"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1 159 866,39</w:t>
            </w:r>
          </w:p>
        </w:tc>
      </w:tr>
      <w:tr w:rsidR="001A24C3" w:rsidRPr="00234F71" w14:paraId="026FE853"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06027D0B"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Signalizačné a zabezpečovacie zariadenia</w:t>
            </w:r>
          </w:p>
        </w:tc>
        <w:tc>
          <w:tcPr>
            <w:tcW w:w="842" w:type="dxa"/>
            <w:tcBorders>
              <w:top w:val="nil"/>
              <w:left w:val="nil"/>
              <w:bottom w:val="single" w:sz="4" w:space="0" w:color="auto"/>
              <w:right w:val="single" w:sz="4" w:space="0" w:color="auto"/>
            </w:tcBorders>
            <w:shd w:val="clear" w:color="auto" w:fill="auto"/>
            <w:noWrap/>
            <w:vAlign w:val="bottom"/>
            <w:hideMark/>
          </w:tcPr>
          <w:p w14:paraId="2883B702"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20</w:t>
            </w:r>
          </w:p>
        </w:tc>
        <w:tc>
          <w:tcPr>
            <w:tcW w:w="896" w:type="dxa"/>
            <w:tcBorders>
              <w:top w:val="nil"/>
              <w:left w:val="nil"/>
              <w:bottom w:val="single" w:sz="4" w:space="0" w:color="auto"/>
              <w:right w:val="single" w:sz="4" w:space="0" w:color="auto"/>
            </w:tcBorders>
            <w:shd w:val="clear" w:color="auto" w:fill="auto"/>
            <w:vAlign w:val="center"/>
            <w:hideMark/>
          </w:tcPr>
          <w:p w14:paraId="6010A16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790D499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1</w:t>
            </w:r>
          </w:p>
        </w:tc>
        <w:tc>
          <w:tcPr>
            <w:tcW w:w="840" w:type="dxa"/>
            <w:tcBorders>
              <w:top w:val="nil"/>
              <w:left w:val="nil"/>
              <w:bottom w:val="single" w:sz="4" w:space="0" w:color="auto"/>
              <w:right w:val="single" w:sz="4" w:space="0" w:color="auto"/>
            </w:tcBorders>
            <w:shd w:val="clear" w:color="auto" w:fill="auto"/>
            <w:noWrap/>
            <w:vAlign w:val="bottom"/>
            <w:hideMark/>
          </w:tcPr>
          <w:p w14:paraId="0DCDA0F2"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40</w:t>
            </w:r>
          </w:p>
        </w:tc>
        <w:tc>
          <w:tcPr>
            <w:tcW w:w="880" w:type="dxa"/>
            <w:tcBorders>
              <w:top w:val="nil"/>
              <w:left w:val="nil"/>
              <w:bottom w:val="single" w:sz="4" w:space="0" w:color="auto"/>
              <w:right w:val="single" w:sz="4" w:space="0" w:color="auto"/>
            </w:tcBorders>
            <w:shd w:val="clear" w:color="auto" w:fill="auto"/>
            <w:noWrap/>
            <w:vAlign w:val="bottom"/>
            <w:hideMark/>
          </w:tcPr>
          <w:p w14:paraId="24A40B1B"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60%</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444ABE36"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3 185 267,91</w:t>
            </w:r>
          </w:p>
        </w:tc>
      </w:tr>
      <w:tr w:rsidR="001A24C3" w:rsidRPr="00234F71" w14:paraId="3B42061F"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1A306F4D"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Zariadenia energetiky a elektrotechniky</w:t>
            </w:r>
          </w:p>
        </w:tc>
        <w:tc>
          <w:tcPr>
            <w:tcW w:w="842" w:type="dxa"/>
            <w:tcBorders>
              <w:top w:val="nil"/>
              <w:left w:val="nil"/>
              <w:bottom w:val="single" w:sz="4" w:space="0" w:color="auto"/>
              <w:right w:val="single" w:sz="4" w:space="0" w:color="auto"/>
            </w:tcBorders>
            <w:shd w:val="clear" w:color="auto" w:fill="auto"/>
            <w:noWrap/>
            <w:vAlign w:val="bottom"/>
            <w:hideMark/>
          </w:tcPr>
          <w:p w14:paraId="4F2AAAD3"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96" w:type="dxa"/>
            <w:tcBorders>
              <w:top w:val="nil"/>
              <w:left w:val="nil"/>
              <w:bottom w:val="single" w:sz="4" w:space="0" w:color="auto"/>
              <w:right w:val="single" w:sz="4" w:space="0" w:color="auto"/>
            </w:tcBorders>
            <w:shd w:val="clear" w:color="auto" w:fill="auto"/>
            <w:vAlign w:val="center"/>
            <w:hideMark/>
          </w:tcPr>
          <w:p w14:paraId="32E846EE"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13F5EFFB"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5D0429A7"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80" w:type="dxa"/>
            <w:tcBorders>
              <w:top w:val="nil"/>
              <w:left w:val="nil"/>
              <w:bottom w:val="single" w:sz="4" w:space="0" w:color="auto"/>
              <w:right w:val="single" w:sz="4" w:space="0" w:color="auto"/>
            </w:tcBorders>
            <w:shd w:val="clear" w:color="auto" w:fill="auto"/>
            <w:noWrap/>
            <w:vAlign w:val="bottom"/>
            <w:hideMark/>
          </w:tcPr>
          <w:p w14:paraId="03BED1B9"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7%</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4A8068D1"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0,00</w:t>
            </w:r>
          </w:p>
        </w:tc>
      </w:tr>
      <w:tr w:rsidR="001A24C3" w:rsidRPr="00234F71" w14:paraId="350AE4F9" w14:textId="77777777" w:rsidTr="00300963">
        <w:trPr>
          <w:trHeight w:val="204"/>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6EF1B830"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xml:space="preserve">Stroje a zariadenia </w:t>
            </w:r>
          </w:p>
        </w:tc>
        <w:tc>
          <w:tcPr>
            <w:tcW w:w="842" w:type="dxa"/>
            <w:tcBorders>
              <w:top w:val="nil"/>
              <w:left w:val="nil"/>
              <w:bottom w:val="single" w:sz="4" w:space="0" w:color="auto"/>
              <w:right w:val="single" w:sz="4" w:space="0" w:color="auto"/>
            </w:tcBorders>
            <w:shd w:val="clear" w:color="auto" w:fill="auto"/>
            <w:noWrap/>
            <w:vAlign w:val="bottom"/>
            <w:hideMark/>
          </w:tcPr>
          <w:p w14:paraId="4A33FCFA"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96" w:type="dxa"/>
            <w:tcBorders>
              <w:top w:val="nil"/>
              <w:left w:val="nil"/>
              <w:bottom w:val="single" w:sz="4" w:space="0" w:color="auto"/>
              <w:right w:val="single" w:sz="4" w:space="0" w:color="auto"/>
            </w:tcBorders>
            <w:shd w:val="clear" w:color="auto" w:fill="auto"/>
            <w:vAlign w:val="center"/>
            <w:hideMark/>
          </w:tcPr>
          <w:p w14:paraId="477CE041"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1CB40ADC"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42116D51"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80" w:type="dxa"/>
            <w:tcBorders>
              <w:top w:val="nil"/>
              <w:left w:val="nil"/>
              <w:bottom w:val="single" w:sz="4" w:space="0" w:color="auto"/>
              <w:right w:val="single" w:sz="4" w:space="0" w:color="auto"/>
            </w:tcBorders>
            <w:shd w:val="clear" w:color="auto" w:fill="auto"/>
            <w:noWrap/>
            <w:vAlign w:val="bottom"/>
            <w:hideMark/>
          </w:tcPr>
          <w:p w14:paraId="319B9CA3"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7%</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39D4D562"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0,00</w:t>
            </w:r>
          </w:p>
        </w:tc>
      </w:tr>
      <w:tr w:rsidR="001A24C3" w:rsidRPr="00234F71" w14:paraId="441BA6BB" w14:textId="77777777" w:rsidTr="00300963">
        <w:trPr>
          <w:trHeight w:val="216"/>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7DFEEC29"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Protihlukové a iné prvky ochrany životného prostredia</w:t>
            </w:r>
          </w:p>
        </w:tc>
        <w:tc>
          <w:tcPr>
            <w:tcW w:w="842" w:type="dxa"/>
            <w:tcBorders>
              <w:top w:val="nil"/>
              <w:left w:val="nil"/>
              <w:bottom w:val="single" w:sz="4" w:space="0" w:color="auto"/>
              <w:right w:val="single" w:sz="4" w:space="0" w:color="auto"/>
            </w:tcBorders>
            <w:shd w:val="clear" w:color="auto" w:fill="auto"/>
            <w:noWrap/>
            <w:vAlign w:val="bottom"/>
            <w:hideMark/>
          </w:tcPr>
          <w:p w14:paraId="37B6DA94"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96" w:type="dxa"/>
            <w:tcBorders>
              <w:top w:val="nil"/>
              <w:left w:val="nil"/>
              <w:bottom w:val="single" w:sz="4" w:space="0" w:color="auto"/>
              <w:right w:val="single" w:sz="4" w:space="0" w:color="auto"/>
            </w:tcBorders>
            <w:shd w:val="clear" w:color="auto" w:fill="auto"/>
            <w:vAlign w:val="center"/>
            <w:hideMark/>
          </w:tcPr>
          <w:p w14:paraId="7CEC3900"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28</w:t>
            </w:r>
          </w:p>
        </w:tc>
        <w:tc>
          <w:tcPr>
            <w:tcW w:w="953" w:type="dxa"/>
            <w:tcBorders>
              <w:top w:val="nil"/>
              <w:left w:val="nil"/>
              <w:bottom w:val="single" w:sz="4" w:space="0" w:color="auto"/>
              <w:right w:val="single" w:sz="4" w:space="0" w:color="auto"/>
            </w:tcBorders>
            <w:shd w:val="clear" w:color="auto" w:fill="auto"/>
            <w:vAlign w:val="bottom"/>
            <w:hideMark/>
          </w:tcPr>
          <w:p w14:paraId="0D53C205"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0</w:t>
            </w:r>
          </w:p>
        </w:tc>
        <w:tc>
          <w:tcPr>
            <w:tcW w:w="840" w:type="dxa"/>
            <w:tcBorders>
              <w:top w:val="nil"/>
              <w:left w:val="nil"/>
              <w:bottom w:val="single" w:sz="4" w:space="0" w:color="auto"/>
              <w:right w:val="single" w:sz="4" w:space="0" w:color="auto"/>
            </w:tcBorders>
            <w:shd w:val="clear" w:color="auto" w:fill="auto"/>
            <w:noWrap/>
            <w:vAlign w:val="bottom"/>
            <w:hideMark/>
          </w:tcPr>
          <w:p w14:paraId="6146E799"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30</w:t>
            </w:r>
          </w:p>
        </w:tc>
        <w:tc>
          <w:tcPr>
            <w:tcW w:w="880" w:type="dxa"/>
            <w:tcBorders>
              <w:top w:val="nil"/>
              <w:left w:val="nil"/>
              <w:bottom w:val="single" w:sz="4" w:space="0" w:color="auto"/>
              <w:right w:val="single" w:sz="4" w:space="0" w:color="auto"/>
            </w:tcBorders>
            <w:shd w:val="clear" w:color="auto" w:fill="auto"/>
            <w:noWrap/>
            <w:vAlign w:val="bottom"/>
            <w:hideMark/>
          </w:tcPr>
          <w:p w14:paraId="782FB1BE" w14:textId="77777777" w:rsidR="001A24C3" w:rsidRPr="00234F71" w:rsidRDefault="001A24C3" w:rsidP="00300963">
            <w:pPr>
              <w:jc w:val="center"/>
              <w:rPr>
                <w:rFonts w:ascii="Arial" w:eastAsia="Times New Roman" w:hAnsi="Arial" w:cs="Arial"/>
                <w:sz w:val="12"/>
                <w:szCs w:val="12"/>
                <w:lang w:eastAsia="sk-SK"/>
              </w:rPr>
            </w:pPr>
            <w:r w:rsidRPr="00234F71">
              <w:rPr>
                <w:rFonts w:ascii="Arial" w:eastAsia="Times New Roman" w:hAnsi="Arial" w:cs="Arial"/>
                <w:sz w:val="12"/>
                <w:szCs w:val="12"/>
                <w:lang w:eastAsia="sk-SK"/>
              </w:rPr>
              <w:t>7%</w:t>
            </w:r>
          </w:p>
        </w:tc>
        <w:tc>
          <w:tcPr>
            <w:tcW w:w="0" w:type="auto"/>
            <w:tcBorders>
              <w:top w:val="nil"/>
              <w:left w:val="single" w:sz="4" w:space="0" w:color="auto"/>
              <w:bottom w:val="single" w:sz="4" w:space="0" w:color="auto"/>
              <w:right w:val="single" w:sz="8" w:space="0" w:color="auto"/>
            </w:tcBorders>
            <w:shd w:val="clear" w:color="000000" w:fill="FFFF66"/>
            <w:noWrap/>
            <w:vAlign w:val="bottom"/>
            <w:hideMark/>
          </w:tcPr>
          <w:p w14:paraId="58C2CC12" w14:textId="77777777" w:rsidR="001A24C3" w:rsidRPr="00234F71" w:rsidRDefault="001A24C3" w:rsidP="00300963">
            <w:pPr>
              <w:jc w:val="right"/>
              <w:rPr>
                <w:rFonts w:ascii="Arial" w:eastAsia="Times New Roman" w:hAnsi="Arial" w:cs="Arial"/>
                <w:sz w:val="12"/>
                <w:szCs w:val="12"/>
                <w:lang w:eastAsia="sk-SK"/>
              </w:rPr>
            </w:pPr>
            <w:r w:rsidRPr="00234F71">
              <w:rPr>
                <w:rFonts w:ascii="Arial" w:eastAsia="Times New Roman" w:hAnsi="Arial" w:cs="Arial"/>
                <w:sz w:val="12"/>
                <w:szCs w:val="12"/>
                <w:lang w:eastAsia="sk-SK"/>
              </w:rPr>
              <w:t>90 693,60</w:t>
            </w:r>
          </w:p>
        </w:tc>
      </w:tr>
      <w:tr w:rsidR="001A24C3" w:rsidRPr="00234F71" w14:paraId="12A51BC8" w14:textId="77777777" w:rsidTr="00300963">
        <w:trPr>
          <w:trHeight w:val="216"/>
        </w:trPr>
        <w:tc>
          <w:tcPr>
            <w:tcW w:w="2671" w:type="dxa"/>
            <w:tcBorders>
              <w:top w:val="nil"/>
              <w:left w:val="single" w:sz="4" w:space="0" w:color="auto"/>
              <w:bottom w:val="single" w:sz="4" w:space="0" w:color="auto"/>
              <w:right w:val="single" w:sz="4" w:space="0" w:color="auto"/>
            </w:tcBorders>
            <w:shd w:val="clear" w:color="auto" w:fill="auto"/>
            <w:noWrap/>
            <w:vAlign w:val="bottom"/>
            <w:hideMark/>
          </w:tcPr>
          <w:p w14:paraId="73D825C1" w14:textId="77777777" w:rsidR="001A24C3" w:rsidRPr="00234F71" w:rsidRDefault="001A24C3" w:rsidP="00300963">
            <w:pPr>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Zostatková hodnota</w:t>
            </w:r>
          </w:p>
        </w:tc>
        <w:tc>
          <w:tcPr>
            <w:tcW w:w="842" w:type="dxa"/>
            <w:tcBorders>
              <w:top w:val="nil"/>
              <w:left w:val="nil"/>
              <w:bottom w:val="single" w:sz="4" w:space="0" w:color="auto"/>
              <w:right w:val="single" w:sz="4" w:space="0" w:color="auto"/>
            </w:tcBorders>
            <w:shd w:val="clear" w:color="auto" w:fill="auto"/>
            <w:noWrap/>
            <w:vAlign w:val="bottom"/>
            <w:hideMark/>
          </w:tcPr>
          <w:p w14:paraId="462D4470"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w:t>
            </w:r>
          </w:p>
        </w:tc>
        <w:tc>
          <w:tcPr>
            <w:tcW w:w="896" w:type="dxa"/>
            <w:tcBorders>
              <w:top w:val="nil"/>
              <w:left w:val="nil"/>
              <w:bottom w:val="single" w:sz="4" w:space="0" w:color="auto"/>
              <w:right w:val="single" w:sz="4" w:space="0" w:color="auto"/>
            </w:tcBorders>
            <w:shd w:val="clear" w:color="auto" w:fill="auto"/>
            <w:noWrap/>
            <w:vAlign w:val="bottom"/>
            <w:hideMark/>
          </w:tcPr>
          <w:p w14:paraId="51A7691C"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w:t>
            </w:r>
          </w:p>
        </w:tc>
        <w:tc>
          <w:tcPr>
            <w:tcW w:w="953" w:type="dxa"/>
            <w:tcBorders>
              <w:top w:val="nil"/>
              <w:left w:val="nil"/>
              <w:bottom w:val="single" w:sz="4" w:space="0" w:color="auto"/>
              <w:right w:val="single" w:sz="4" w:space="0" w:color="auto"/>
            </w:tcBorders>
            <w:shd w:val="clear" w:color="auto" w:fill="auto"/>
            <w:noWrap/>
            <w:vAlign w:val="bottom"/>
            <w:hideMark/>
          </w:tcPr>
          <w:p w14:paraId="1E782AA5"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w:t>
            </w:r>
          </w:p>
        </w:tc>
        <w:tc>
          <w:tcPr>
            <w:tcW w:w="840" w:type="dxa"/>
            <w:tcBorders>
              <w:top w:val="nil"/>
              <w:left w:val="nil"/>
              <w:bottom w:val="single" w:sz="4" w:space="0" w:color="auto"/>
              <w:right w:val="single" w:sz="4" w:space="0" w:color="auto"/>
            </w:tcBorders>
            <w:shd w:val="clear" w:color="auto" w:fill="auto"/>
            <w:noWrap/>
            <w:vAlign w:val="bottom"/>
            <w:hideMark/>
          </w:tcPr>
          <w:p w14:paraId="0308BCC2"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w:t>
            </w:r>
          </w:p>
        </w:tc>
        <w:tc>
          <w:tcPr>
            <w:tcW w:w="880" w:type="dxa"/>
            <w:tcBorders>
              <w:top w:val="nil"/>
              <w:left w:val="nil"/>
              <w:bottom w:val="single" w:sz="4" w:space="0" w:color="auto"/>
              <w:right w:val="single" w:sz="4" w:space="0" w:color="auto"/>
            </w:tcBorders>
            <w:shd w:val="clear" w:color="auto" w:fill="auto"/>
            <w:noWrap/>
            <w:vAlign w:val="bottom"/>
            <w:hideMark/>
          </w:tcPr>
          <w:p w14:paraId="013E1687" w14:textId="77777777" w:rsidR="001A24C3" w:rsidRPr="00234F71" w:rsidRDefault="001A24C3" w:rsidP="00300963">
            <w:pPr>
              <w:rPr>
                <w:rFonts w:ascii="Arial" w:eastAsia="Times New Roman" w:hAnsi="Arial" w:cs="Arial"/>
                <w:sz w:val="12"/>
                <w:szCs w:val="12"/>
                <w:lang w:eastAsia="sk-SK"/>
              </w:rPr>
            </w:pPr>
            <w:r w:rsidRPr="00234F71">
              <w:rPr>
                <w:rFonts w:ascii="Arial" w:eastAsia="Times New Roman" w:hAnsi="Arial" w:cs="Arial"/>
                <w:sz w:val="12"/>
                <w:szCs w:val="12"/>
                <w:lang w:eastAsia="sk-SK"/>
              </w:rPr>
              <w:t> </w:t>
            </w:r>
          </w:p>
        </w:tc>
        <w:tc>
          <w:tcPr>
            <w:tcW w:w="0" w:type="auto"/>
            <w:tcBorders>
              <w:top w:val="single" w:sz="8" w:space="0" w:color="auto"/>
              <w:left w:val="single" w:sz="4" w:space="0" w:color="auto"/>
              <w:bottom w:val="single" w:sz="8" w:space="0" w:color="auto"/>
              <w:right w:val="single" w:sz="8" w:space="0" w:color="auto"/>
            </w:tcBorders>
            <w:shd w:val="clear" w:color="000000" w:fill="FFFF66"/>
            <w:noWrap/>
            <w:vAlign w:val="bottom"/>
            <w:hideMark/>
          </w:tcPr>
          <w:p w14:paraId="45F2E76D" w14:textId="77777777" w:rsidR="001A24C3" w:rsidRPr="00234F71" w:rsidRDefault="001A24C3" w:rsidP="00300963">
            <w:pPr>
              <w:jc w:val="right"/>
              <w:rPr>
                <w:rFonts w:ascii="Arial" w:eastAsia="Times New Roman" w:hAnsi="Arial" w:cs="Arial"/>
                <w:b/>
                <w:bCs/>
                <w:sz w:val="12"/>
                <w:szCs w:val="12"/>
                <w:lang w:eastAsia="sk-SK"/>
              </w:rPr>
            </w:pPr>
            <w:r w:rsidRPr="00234F71">
              <w:rPr>
                <w:rFonts w:ascii="Arial" w:eastAsia="Times New Roman" w:hAnsi="Arial" w:cs="Arial"/>
                <w:b/>
                <w:bCs/>
                <w:sz w:val="12"/>
                <w:szCs w:val="12"/>
                <w:lang w:eastAsia="sk-SK"/>
              </w:rPr>
              <w:t>33 903 006,70</w:t>
            </w:r>
          </w:p>
        </w:tc>
      </w:tr>
    </w:tbl>
    <w:p w14:paraId="6327908F" w14:textId="26A9CE18" w:rsidR="001A24C3" w:rsidRDefault="001A24C3" w:rsidP="001A24C3">
      <w:pPr>
        <w:rPr>
          <w:b/>
          <w:iCs/>
          <w:color w:val="C00000"/>
          <w:sz w:val="20"/>
          <w:szCs w:val="18"/>
        </w:rPr>
      </w:pPr>
    </w:p>
    <w:p w14:paraId="5B542C62" w14:textId="77777777" w:rsidR="00BE28C1" w:rsidRDefault="00BE28C1" w:rsidP="001A24C3">
      <w:pPr>
        <w:rPr>
          <w:b/>
          <w:iCs/>
          <w:color w:val="C00000"/>
          <w:sz w:val="20"/>
          <w:szCs w:val="18"/>
        </w:rPr>
      </w:pPr>
    </w:p>
    <w:p w14:paraId="7FE1B408" w14:textId="77777777" w:rsidR="001A24C3" w:rsidRPr="00BE28C1" w:rsidRDefault="001A24C3" w:rsidP="00BE28C1">
      <w:pPr>
        <w:pStyle w:val="Nadpis41"/>
        <w:ind w:left="567" w:hanging="567"/>
        <w:rPr>
          <w:color w:val="auto"/>
          <w:sz w:val="24"/>
          <w:szCs w:val="24"/>
        </w:rPr>
      </w:pPr>
      <w:bookmarkStart w:id="375" w:name="_Toc88653026"/>
      <w:r w:rsidRPr="00BE28C1">
        <w:rPr>
          <w:color w:val="auto"/>
          <w:sz w:val="24"/>
          <w:szCs w:val="24"/>
        </w:rPr>
        <w:t>Výstupy ekonomickej analýzy</w:t>
      </w:r>
      <w:bookmarkEnd w:id="375"/>
    </w:p>
    <w:p w14:paraId="10C4A14D" w14:textId="77777777" w:rsidR="001A24C3" w:rsidRPr="00BE28C1" w:rsidRDefault="001A24C3" w:rsidP="001A24C3">
      <w:pPr>
        <w:pStyle w:val="Koice4"/>
        <w:ind w:left="0"/>
        <w:rPr>
          <w:rFonts w:asciiTheme="minorHAnsi" w:eastAsiaTheme="majorEastAsia" w:hAnsiTheme="minorHAnsi" w:cstheme="majorBidi"/>
          <w:i/>
          <w:iCs/>
          <w:color w:val="0070C0"/>
        </w:rPr>
      </w:pPr>
      <w:bookmarkStart w:id="376" w:name="_Toc88653027"/>
      <w:r w:rsidRPr="00BE28C1">
        <w:rPr>
          <w:rFonts w:asciiTheme="minorHAnsi" w:eastAsiaTheme="majorEastAsia" w:hAnsiTheme="minorHAnsi" w:cstheme="majorBidi"/>
          <w:i/>
          <w:iCs/>
          <w:color w:val="0070C0"/>
        </w:rPr>
        <w:t>Vnútorné výnosové percento</w:t>
      </w:r>
      <w:bookmarkEnd w:id="376"/>
    </w:p>
    <w:p w14:paraId="626CCD54" w14:textId="77777777" w:rsidR="001A24C3" w:rsidRDefault="001A24C3" w:rsidP="001A24C3">
      <w:pPr>
        <w:pStyle w:val="TEXTkOICE"/>
        <w:ind w:left="0"/>
      </w:pPr>
      <w:bookmarkStart w:id="377" w:name="_Hlk88427415"/>
      <w:r>
        <w:t>Na začiatku kapitoly o CBA sm</w:t>
      </w:r>
      <w:r w:rsidRPr="000E1FFA">
        <w:t>e spomínali, že finančná analýza sa vykonáva v stálych cenách bez zarátania inflácie</w:t>
      </w:r>
      <w:r>
        <w:t xml:space="preserve"> a prípadne zvyšovanie nákladov alebo príjmov (počas referenčného obdobia) je spôsobené nárastom výkonov z hľadiska objemu prác a nie dopytom ťahanou infláciou</w:t>
      </w:r>
      <w:r w:rsidRPr="000E1FFA">
        <w:t xml:space="preserve">. </w:t>
      </w:r>
    </w:p>
    <w:p w14:paraId="030DFEDD" w14:textId="77777777" w:rsidR="001A24C3" w:rsidRDefault="001A24C3" w:rsidP="001A24C3">
      <w:pPr>
        <w:pStyle w:val="TEXTkOICE"/>
        <w:ind w:left="0"/>
      </w:pPr>
    </w:p>
    <w:p w14:paraId="4AF7149D" w14:textId="77777777" w:rsidR="001A24C3" w:rsidRDefault="001A24C3" w:rsidP="001A24C3">
      <w:pPr>
        <w:pStyle w:val="TEXTkOICE"/>
        <w:ind w:left="0"/>
      </w:pPr>
      <w:r w:rsidRPr="000E1FFA">
        <w:t xml:space="preserve">Napriek tomu je potrebné posúdiť výnosnosť alternatívnej investície, do ktorej by sme mohli prostriedky na realizáciu projektu investovať, ak by sme ich neinvestovali do projektu. </w:t>
      </w:r>
    </w:p>
    <w:p w14:paraId="03DEAAF3" w14:textId="77777777" w:rsidR="001A24C3" w:rsidRDefault="001A24C3" w:rsidP="001A24C3">
      <w:pPr>
        <w:pStyle w:val="TEXTkOICE"/>
        <w:ind w:left="0"/>
      </w:pPr>
    </w:p>
    <w:p w14:paraId="1050E394" w14:textId="77777777" w:rsidR="001A24C3" w:rsidRDefault="001A24C3" w:rsidP="001A24C3">
      <w:pPr>
        <w:pStyle w:val="TEXTkOICE"/>
        <w:ind w:left="0"/>
      </w:pPr>
      <w:r w:rsidRPr="000E1FFA">
        <w:t>Na tento účel</w:t>
      </w:r>
      <w:r>
        <w:t>,</w:t>
      </w:r>
      <w:r w:rsidRPr="000E1FFA">
        <w:t xml:space="preserve"> resp. vyjadrenie hodnoty alternatívneho výnosu, ktorý je zároveň aj nákladom obetovaných príležitostí, je</w:t>
      </w:r>
      <w:r>
        <w:t xml:space="preserve"> využívaná</w:t>
      </w:r>
      <w:r w:rsidRPr="000E1FFA">
        <w:t xml:space="preserve"> diskontná sadzba.</w:t>
      </w:r>
    </w:p>
    <w:p w14:paraId="0A375A31" w14:textId="77777777" w:rsidR="001A24C3" w:rsidRDefault="001A24C3" w:rsidP="001A24C3">
      <w:pPr>
        <w:pStyle w:val="TEXTkOICE"/>
        <w:ind w:left="0"/>
      </w:pPr>
    </w:p>
    <w:p w14:paraId="088BD0D6" w14:textId="77777777" w:rsidR="001A24C3" w:rsidRDefault="001A24C3" w:rsidP="001A24C3">
      <w:pPr>
        <w:pStyle w:val="TEXTkOICE"/>
        <w:ind w:left="0"/>
      </w:pPr>
      <w:r w:rsidRPr="000E1FFA">
        <w:lastRenderedPageBreak/>
        <w:t xml:space="preserve">V prípade, že chceme projekt považovať za vhodný, musí pri zohľadnení časovej hodnoty peňazí projekt vygenerovať väčšie výnosové </w:t>
      </w:r>
      <w:r>
        <w:t>percento</w:t>
      </w:r>
      <w:r w:rsidRPr="000E1FFA">
        <w:t xml:space="preserve"> ako je diskontná sadzba</w:t>
      </w:r>
      <w:r>
        <w:t>, ktorá je stanovená na hodnotu 5 %.</w:t>
      </w:r>
    </w:p>
    <w:bookmarkEnd w:id="377"/>
    <w:p w14:paraId="76D75CB5" w14:textId="77777777" w:rsidR="001A24C3" w:rsidRDefault="001A24C3" w:rsidP="001A24C3">
      <w:pPr>
        <w:pStyle w:val="TEXTkOICE"/>
        <w:ind w:left="0"/>
      </w:pPr>
    </w:p>
    <w:p w14:paraId="3F0C8A15" w14:textId="60F4F141" w:rsidR="001A24C3" w:rsidRDefault="001A24C3" w:rsidP="00BE28C1">
      <w:pPr>
        <w:pStyle w:val="Popis"/>
        <w:keepNext/>
        <w:jc w:val="both"/>
      </w:pPr>
      <w:bookmarkStart w:id="378" w:name="_Toc83677949"/>
      <w:r>
        <w:t>Tabuľka</w:t>
      </w:r>
      <w:r w:rsidR="008B078A">
        <w:rPr>
          <w:noProof/>
        </w:rPr>
        <w:t xml:space="preserve"> 78</w:t>
      </w:r>
      <w:r>
        <w:tab/>
        <w:t>Výstup z ekonomickej analýzy (ERR)</w:t>
      </w:r>
      <w:bookmarkEnd w:id="378"/>
    </w:p>
    <w:tbl>
      <w:tblPr>
        <w:tblW w:w="6600" w:type="dxa"/>
        <w:tblCellMar>
          <w:left w:w="70" w:type="dxa"/>
          <w:right w:w="70" w:type="dxa"/>
        </w:tblCellMar>
        <w:tblLook w:val="04A0" w:firstRow="1" w:lastRow="0" w:firstColumn="1" w:lastColumn="0" w:noHBand="0" w:noVBand="1"/>
      </w:tblPr>
      <w:tblGrid>
        <w:gridCol w:w="5060"/>
        <w:gridCol w:w="1540"/>
      </w:tblGrid>
      <w:tr w:rsidR="001A24C3" w:rsidRPr="00773B79" w14:paraId="3FCB5E19" w14:textId="77777777" w:rsidTr="00300963">
        <w:trPr>
          <w:trHeight w:val="204"/>
        </w:trPr>
        <w:tc>
          <w:tcPr>
            <w:tcW w:w="5060" w:type="dxa"/>
            <w:tcBorders>
              <w:top w:val="single" w:sz="4" w:space="0" w:color="auto"/>
              <w:left w:val="single" w:sz="4" w:space="0" w:color="auto"/>
              <w:bottom w:val="single" w:sz="4" w:space="0" w:color="auto"/>
              <w:right w:val="nil"/>
            </w:tcBorders>
            <w:shd w:val="clear" w:color="auto" w:fill="auto"/>
            <w:noWrap/>
            <w:vAlign w:val="bottom"/>
            <w:hideMark/>
          </w:tcPr>
          <w:p w14:paraId="5F1A2B0F"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Ekonomická vnútorná miera návratnosti (EIRR)</w:t>
            </w:r>
          </w:p>
        </w:tc>
        <w:tc>
          <w:tcPr>
            <w:tcW w:w="154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09F2B9B7"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6,38%</w:t>
            </w:r>
          </w:p>
        </w:tc>
      </w:tr>
    </w:tbl>
    <w:p w14:paraId="77E5BCE5" w14:textId="77777777" w:rsidR="001A24C3" w:rsidRDefault="001A24C3" w:rsidP="001A24C3">
      <w:pPr>
        <w:rPr>
          <w:b/>
          <w:iCs/>
          <w:color w:val="C00000"/>
          <w:sz w:val="20"/>
          <w:szCs w:val="18"/>
        </w:rPr>
      </w:pPr>
    </w:p>
    <w:p w14:paraId="438C98E6" w14:textId="77777777" w:rsidR="001A24C3" w:rsidRPr="00BE28C1" w:rsidRDefault="001A24C3" w:rsidP="001A24C3">
      <w:pPr>
        <w:pStyle w:val="Koice4"/>
        <w:ind w:left="0"/>
        <w:rPr>
          <w:rFonts w:asciiTheme="minorHAnsi" w:eastAsiaTheme="majorEastAsia" w:hAnsiTheme="minorHAnsi" w:cstheme="majorBidi"/>
          <w:i/>
          <w:iCs/>
          <w:color w:val="0070C0"/>
        </w:rPr>
      </w:pPr>
      <w:bookmarkStart w:id="379" w:name="_Toc88653028"/>
      <w:r w:rsidRPr="00BE28C1">
        <w:rPr>
          <w:rFonts w:asciiTheme="minorHAnsi" w:eastAsiaTheme="majorEastAsia" w:hAnsiTheme="minorHAnsi" w:cstheme="majorBidi"/>
          <w:i/>
          <w:iCs/>
          <w:color w:val="0070C0"/>
        </w:rPr>
        <w:t>Čistá súčasná hodnota</w:t>
      </w:r>
      <w:bookmarkEnd w:id="379"/>
    </w:p>
    <w:p w14:paraId="03D28534" w14:textId="77777777" w:rsidR="001A24C3" w:rsidRDefault="001A24C3" w:rsidP="001A24C3">
      <w:pPr>
        <w:pStyle w:val="TEXTkOICE"/>
        <w:ind w:left="0"/>
      </w:pPr>
      <w:r w:rsidRPr="00B33106">
        <w:t xml:space="preserve">Čistá súčasná hodnota je iným vyjadrením výsledku </w:t>
      </w:r>
      <w:r>
        <w:t xml:space="preserve">ekonomickej </w:t>
      </w:r>
      <w:r w:rsidRPr="00B33106">
        <w:t>analýzy. Kým vnútorné výnosové % vyjadruje vhodnosť projektu v %, čistá súčasná hodnota ho vyjadruje v EUR. Platí súvzťažnosť, že ak je ERR = diskontnej sadzbe, tak čistá súčasná hodnota ENPV je rovná 0. Ak je vnútorné výnosové % menšie ako diskontná sadzba, tak aj čistá súčasná hodnota je záporná a ak je vnútorné výnosové % väčšie ako diskontná sadzba, tak čistá súčasná hodnota je kladná.</w:t>
      </w:r>
    </w:p>
    <w:p w14:paraId="3E4CC09B" w14:textId="77777777" w:rsidR="001A24C3" w:rsidRDefault="001A24C3" w:rsidP="001A24C3">
      <w:pPr>
        <w:pStyle w:val="TEXTkOICE"/>
        <w:ind w:left="0"/>
      </w:pPr>
    </w:p>
    <w:p w14:paraId="2185D44D" w14:textId="1FFD7180" w:rsidR="001A24C3" w:rsidRDefault="001A24C3" w:rsidP="00BE28C1">
      <w:pPr>
        <w:pStyle w:val="Popis"/>
        <w:keepNext/>
        <w:jc w:val="both"/>
      </w:pPr>
      <w:bookmarkStart w:id="380" w:name="_Toc83677950"/>
      <w:r>
        <w:t>Tabuľka</w:t>
      </w:r>
      <w:r w:rsidR="008B078A">
        <w:rPr>
          <w:noProof/>
        </w:rPr>
        <w:t xml:space="preserve"> 79</w:t>
      </w:r>
      <w:r>
        <w:tab/>
        <w:t>Výstup z ekonomickej analýzy (ENPV)</w:t>
      </w:r>
      <w:bookmarkEnd w:id="380"/>
    </w:p>
    <w:tbl>
      <w:tblPr>
        <w:tblW w:w="6600" w:type="dxa"/>
        <w:tblCellMar>
          <w:left w:w="70" w:type="dxa"/>
          <w:right w:w="70" w:type="dxa"/>
        </w:tblCellMar>
        <w:tblLook w:val="04A0" w:firstRow="1" w:lastRow="0" w:firstColumn="1" w:lastColumn="0" w:noHBand="0" w:noVBand="1"/>
      </w:tblPr>
      <w:tblGrid>
        <w:gridCol w:w="5060"/>
        <w:gridCol w:w="1540"/>
      </w:tblGrid>
      <w:tr w:rsidR="001A24C3" w:rsidRPr="00773B79" w14:paraId="3572B0C0" w14:textId="77777777" w:rsidTr="00300963">
        <w:trPr>
          <w:trHeight w:val="204"/>
        </w:trPr>
        <w:tc>
          <w:tcPr>
            <w:tcW w:w="5060" w:type="dxa"/>
            <w:tcBorders>
              <w:top w:val="single" w:sz="4" w:space="0" w:color="auto"/>
              <w:left w:val="single" w:sz="4" w:space="0" w:color="auto"/>
              <w:bottom w:val="single" w:sz="4" w:space="0" w:color="auto"/>
              <w:right w:val="nil"/>
            </w:tcBorders>
            <w:shd w:val="clear" w:color="auto" w:fill="auto"/>
            <w:noWrap/>
            <w:vAlign w:val="bottom"/>
            <w:hideMark/>
          </w:tcPr>
          <w:p w14:paraId="262E4738" w14:textId="77777777" w:rsidR="001A24C3" w:rsidRPr="00773B79" w:rsidRDefault="001A24C3" w:rsidP="00300963">
            <w:pPr>
              <w:rPr>
                <w:rFonts w:ascii="Arial" w:eastAsia="Times New Roman" w:hAnsi="Arial" w:cs="Arial"/>
                <w:sz w:val="16"/>
                <w:szCs w:val="16"/>
                <w:lang w:eastAsia="sk-SK"/>
              </w:rPr>
            </w:pPr>
            <w:r w:rsidRPr="00773B79">
              <w:rPr>
                <w:rFonts w:ascii="Arial" w:eastAsia="Times New Roman" w:hAnsi="Arial" w:cs="Arial"/>
                <w:sz w:val="16"/>
                <w:szCs w:val="16"/>
                <w:lang w:eastAsia="sk-SK"/>
              </w:rPr>
              <w:t>Ekonomická čistá súčasná hodnota investície (ENPV)</w:t>
            </w:r>
          </w:p>
        </w:tc>
        <w:tc>
          <w:tcPr>
            <w:tcW w:w="154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586F007D" w14:textId="77777777" w:rsidR="001A24C3" w:rsidRPr="00773B79" w:rsidRDefault="001A24C3" w:rsidP="00300963">
            <w:pPr>
              <w:jc w:val="right"/>
              <w:rPr>
                <w:rFonts w:ascii="Arial" w:eastAsia="Times New Roman" w:hAnsi="Arial" w:cs="Arial"/>
                <w:sz w:val="16"/>
                <w:szCs w:val="16"/>
                <w:lang w:eastAsia="sk-SK"/>
              </w:rPr>
            </w:pPr>
            <w:r w:rsidRPr="00773B79">
              <w:rPr>
                <w:rFonts w:ascii="Arial" w:eastAsia="Times New Roman" w:hAnsi="Arial" w:cs="Arial"/>
                <w:sz w:val="16"/>
                <w:szCs w:val="16"/>
                <w:lang w:eastAsia="sk-SK"/>
              </w:rPr>
              <w:t xml:space="preserve">15 195 766 </w:t>
            </w:r>
          </w:p>
        </w:tc>
      </w:tr>
    </w:tbl>
    <w:p w14:paraId="0BF37A76" w14:textId="7A711A2D" w:rsidR="001A24C3" w:rsidRDefault="001A24C3" w:rsidP="001A24C3">
      <w:pPr>
        <w:rPr>
          <w:b/>
          <w:iCs/>
          <w:color w:val="C00000"/>
          <w:sz w:val="20"/>
          <w:szCs w:val="18"/>
        </w:rPr>
      </w:pPr>
    </w:p>
    <w:p w14:paraId="600622C3" w14:textId="66707AC3" w:rsidR="004906C6" w:rsidRDefault="004906C6" w:rsidP="001A24C3">
      <w:pPr>
        <w:rPr>
          <w:b/>
          <w:iCs/>
          <w:color w:val="C00000"/>
          <w:sz w:val="20"/>
          <w:szCs w:val="18"/>
        </w:rPr>
      </w:pPr>
    </w:p>
    <w:p w14:paraId="04228893" w14:textId="77777777" w:rsidR="004906C6" w:rsidRDefault="004906C6" w:rsidP="001A24C3">
      <w:pPr>
        <w:rPr>
          <w:b/>
          <w:iCs/>
          <w:color w:val="C00000"/>
          <w:sz w:val="20"/>
          <w:szCs w:val="18"/>
        </w:rPr>
      </w:pPr>
    </w:p>
    <w:p w14:paraId="16CD7C28" w14:textId="4735C74C" w:rsidR="004906C6" w:rsidRPr="004906C6" w:rsidRDefault="001A24C3" w:rsidP="004906C6">
      <w:pPr>
        <w:pStyle w:val="Nadpis31"/>
        <w:rPr>
          <w:color w:val="auto"/>
        </w:rPr>
      </w:pPr>
      <w:bookmarkStart w:id="381" w:name="_Toc88653029"/>
      <w:r w:rsidRPr="004906C6">
        <w:rPr>
          <w:color w:val="auto"/>
        </w:rPr>
        <w:t xml:space="preserve">Variant </w:t>
      </w:r>
      <w:r w:rsidR="00BE28C1" w:rsidRPr="004906C6">
        <w:rPr>
          <w:color w:val="auto"/>
        </w:rPr>
        <w:t xml:space="preserve">B </w:t>
      </w:r>
      <w:r w:rsidRPr="004906C6">
        <w:rPr>
          <w:color w:val="auto"/>
        </w:rPr>
        <w:t>„</w:t>
      </w:r>
      <w:r w:rsidR="004906C6" w:rsidRPr="004906C6">
        <w:rPr>
          <w:color w:val="auto"/>
        </w:rPr>
        <w:t>MODERNIZÁCIA žel. trate na rýchlosť 120 až 160 km/hod</w:t>
      </w:r>
      <w:r w:rsidRPr="004906C6">
        <w:rPr>
          <w:color w:val="auto"/>
        </w:rPr>
        <w:t>“</w:t>
      </w:r>
      <w:bookmarkEnd w:id="381"/>
    </w:p>
    <w:p w14:paraId="242B2044" w14:textId="752B8FB7" w:rsidR="001A24C3" w:rsidRDefault="001A24C3" w:rsidP="001A24C3">
      <w:bookmarkStart w:id="382" w:name="_Toc83677951"/>
      <w:r w:rsidRPr="000E1FFA">
        <w:t>Investičné náklady sú náklady vynaložené za účelom realizácie projektu. V prípade projektov financovaných z fondov Európskej únie a</w:t>
      </w:r>
      <w:r>
        <w:t xml:space="preserve"> v </w:t>
      </w:r>
      <w:r w:rsidRPr="000E1FFA">
        <w:t xml:space="preserve">nadväznosti na metodiku spracovávania CBA </w:t>
      </w:r>
      <w:r>
        <w:t>sem</w:t>
      </w:r>
      <w:r w:rsidRPr="000E1FFA">
        <w:t xml:space="preserve"> patria </w:t>
      </w:r>
      <w:r>
        <w:t>náklady vzniknuté modernizáciu železničnej trate v úseku Krásno nad Kysucou (mimo) – Čadca – štátna hranica SR/ČR v rozsahu modernizácia a výrazného zvyšovania parametrov trate vo všetkých 3 úsekoch (1. Krásno nad Kysucou (mimo) – Čadca (mimo) vrátane nového prestupného terminálu autobus/vlak. V Krásne na Kysucou by sa realizoval tunel, ktorým by sa zvýšila cestovná rýchlosť, 2. Stanica Čadca</w:t>
      </w:r>
      <w:r w:rsidR="004906C6">
        <w:t>,</w:t>
      </w:r>
      <w:r>
        <w:t xml:space="preserve"> v ktorej by sme sa zmenila konfigurácia koľajiska, 3. Čadca – štátna hranica SR/ČR by sa modernizovala v smerovo nezmenenej polohe), náklady na riadenie projektu, publicitu a pod. v súlade s cieľmi projektu. Tieto náklady sú však upravené pomocou konverzných faktorov.  </w:t>
      </w:r>
    </w:p>
    <w:p w14:paraId="2581A85F" w14:textId="057856EE" w:rsidR="001A24C3" w:rsidRDefault="001A24C3" w:rsidP="004906C6">
      <w:pPr>
        <w:pStyle w:val="Popis"/>
        <w:keepNext/>
        <w:jc w:val="both"/>
      </w:pPr>
      <w:r>
        <w:t>Tabuľka</w:t>
      </w:r>
      <w:r w:rsidR="008B078A">
        <w:t xml:space="preserve"> </w:t>
      </w:r>
      <w:r w:rsidR="008B078A">
        <w:rPr>
          <w:noProof/>
        </w:rPr>
        <w:t>80</w:t>
      </w:r>
      <w:r>
        <w:tab/>
        <w:t>Investičné náklady ekonomické</w:t>
      </w:r>
      <w:bookmarkEnd w:id="382"/>
    </w:p>
    <w:tbl>
      <w:tblPr>
        <w:tblW w:w="7780" w:type="dxa"/>
        <w:tblCellMar>
          <w:left w:w="70" w:type="dxa"/>
          <w:right w:w="70" w:type="dxa"/>
        </w:tblCellMar>
        <w:tblLook w:val="04A0" w:firstRow="1" w:lastRow="0" w:firstColumn="1" w:lastColumn="0" w:noHBand="0" w:noVBand="1"/>
      </w:tblPr>
      <w:tblGrid>
        <w:gridCol w:w="6120"/>
        <w:gridCol w:w="1660"/>
      </w:tblGrid>
      <w:tr w:rsidR="001A24C3" w:rsidRPr="00482340" w14:paraId="13DE1270" w14:textId="77777777" w:rsidTr="00300963">
        <w:trPr>
          <w:trHeight w:val="204"/>
        </w:trPr>
        <w:tc>
          <w:tcPr>
            <w:tcW w:w="612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A250BEA"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1.2 Investičné náklady (EUR) - ekonomické</w:t>
            </w:r>
          </w:p>
        </w:tc>
        <w:tc>
          <w:tcPr>
            <w:tcW w:w="1660" w:type="dxa"/>
            <w:tcBorders>
              <w:top w:val="single" w:sz="4" w:space="0" w:color="auto"/>
              <w:left w:val="nil"/>
              <w:bottom w:val="single" w:sz="4" w:space="0" w:color="auto"/>
              <w:right w:val="single" w:sz="4" w:space="0" w:color="auto"/>
            </w:tcBorders>
            <w:shd w:val="clear" w:color="000000" w:fill="D9D9D9"/>
            <w:noWrap/>
            <w:vAlign w:val="bottom"/>
            <w:hideMark/>
          </w:tcPr>
          <w:p w14:paraId="7A47142E"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Celkom</w:t>
            </w:r>
          </w:p>
        </w:tc>
      </w:tr>
      <w:tr w:rsidR="001A24C3" w:rsidRPr="00482340" w14:paraId="0B31453C"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4976118D"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Plánovacie/projektové poplatky</w:t>
            </w:r>
          </w:p>
        </w:tc>
        <w:tc>
          <w:tcPr>
            <w:tcW w:w="1660" w:type="dxa"/>
            <w:tcBorders>
              <w:top w:val="nil"/>
              <w:left w:val="nil"/>
              <w:bottom w:val="single" w:sz="4" w:space="0" w:color="auto"/>
              <w:right w:val="single" w:sz="4" w:space="0" w:color="auto"/>
            </w:tcBorders>
            <w:shd w:val="clear" w:color="auto" w:fill="auto"/>
            <w:noWrap/>
            <w:vAlign w:val="bottom"/>
            <w:hideMark/>
          </w:tcPr>
          <w:p w14:paraId="518C3745"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9 424 516,50</w:t>
            </w:r>
          </w:p>
        </w:tc>
      </w:tr>
      <w:tr w:rsidR="001A24C3" w:rsidRPr="00482340" w14:paraId="636A3BBD"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7C39C93D"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Pozemky</w:t>
            </w:r>
          </w:p>
        </w:tc>
        <w:tc>
          <w:tcPr>
            <w:tcW w:w="1660" w:type="dxa"/>
            <w:tcBorders>
              <w:top w:val="nil"/>
              <w:left w:val="nil"/>
              <w:bottom w:val="single" w:sz="4" w:space="0" w:color="auto"/>
              <w:right w:val="single" w:sz="4" w:space="0" w:color="auto"/>
            </w:tcBorders>
            <w:shd w:val="clear" w:color="auto" w:fill="auto"/>
            <w:noWrap/>
            <w:vAlign w:val="bottom"/>
            <w:hideMark/>
          </w:tcPr>
          <w:p w14:paraId="4FEA1D13"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1 590 900,00</w:t>
            </w:r>
          </w:p>
        </w:tc>
      </w:tr>
      <w:tr w:rsidR="001A24C3" w:rsidRPr="00482340" w14:paraId="6B86D662"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7D82B9B1"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Príprava staveniska</w:t>
            </w:r>
          </w:p>
        </w:tc>
        <w:tc>
          <w:tcPr>
            <w:tcW w:w="1660" w:type="dxa"/>
            <w:tcBorders>
              <w:top w:val="nil"/>
              <w:left w:val="nil"/>
              <w:bottom w:val="single" w:sz="4" w:space="0" w:color="auto"/>
              <w:right w:val="single" w:sz="4" w:space="0" w:color="auto"/>
            </w:tcBorders>
            <w:shd w:val="clear" w:color="auto" w:fill="auto"/>
            <w:noWrap/>
            <w:vAlign w:val="bottom"/>
            <w:hideMark/>
          </w:tcPr>
          <w:p w14:paraId="1B1ABB0E"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0,00</w:t>
            </w:r>
          </w:p>
        </w:tc>
      </w:tr>
      <w:tr w:rsidR="001A24C3" w:rsidRPr="00482340" w14:paraId="26BF8E01"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2EDB66B0"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Stavebné práce</w:t>
            </w:r>
          </w:p>
        </w:tc>
        <w:tc>
          <w:tcPr>
            <w:tcW w:w="1660" w:type="dxa"/>
            <w:tcBorders>
              <w:top w:val="nil"/>
              <w:left w:val="nil"/>
              <w:bottom w:val="single" w:sz="4" w:space="0" w:color="auto"/>
              <w:right w:val="single" w:sz="4" w:space="0" w:color="auto"/>
            </w:tcBorders>
            <w:shd w:val="clear" w:color="auto" w:fill="auto"/>
            <w:noWrap/>
            <w:vAlign w:val="bottom"/>
            <w:hideMark/>
          </w:tcPr>
          <w:p w14:paraId="31FF35CB"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362 158 495,70</w:t>
            </w:r>
          </w:p>
        </w:tc>
      </w:tr>
      <w:tr w:rsidR="001A24C3" w:rsidRPr="00482340" w14:paraId="7535109A"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1DB78D5D"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Mosty železobetónové</w:t>
            </w:r>
          </w:p>
        </w:tc>
        <w:tc>
          <w:tcPr>
            <w:tcW w:w="1660" w:type="dxa"/>
            <w:tcBorders>
              <w:top w:val="nil"/>
              <w:left w:val="nil"/>
              <w:bottom w:val="single" w:sz="4" w:space="0" w:color="auto"/>
              <w:right w:val="single" w:sz="4" w:space="0" w:color="auto"/>
            </w:tcBorders>
            <w:shd w:val="clear" w:color="auto" w:fill="auto"/>
            <w:noWrap/>
            <w:vAlign w:val="bottom"/>
            <w:hideMark/>
          </w:tcPr>
          <w:p w14:paraId="25B6E9D3"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0,00</w:t>
            </w:r>
          </w:p>
        </w:tc>
      </w:tr>
      <w:tr w:rsidR="001A24C3" w:rsidRPr="00482340" w14:paraId="1EDB1BEE"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0FCAD2B1"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Mosty oceľové a mosty priepusty</w:t>
            </w:r>
          </w:p>
        </w:tc>
        <w:tc>
          <w:tcPr>
            <w:tcW w:w="1660" w:type="dxa"/>
            <w:tcBorders>
              <w:top w:val="nil"/>
              <w:left w:val="nil"/>
              <w:bottom w:val="single" w:sz="4" w:space="0" w:color="auto"/>
              <w:right w:val="single" w:sz="4" w:space="0" w:color="auto"/>
            </w:tcBorders>
            <w:shd w:val="clear" w:color="auto" w:fill="auto"/>
            <w:noWrap/>
            <w:vAlign w:val="bottom"/>
            <w:hideMark/>
          </w:tcPr>
          <w:p w14:paraId="730195C2"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26 288 876,88</w:t>
            </w:r>
          </w:p>
        </w:tc>
      </w:tr>
      <w:tr w:rsidR="001A24C3" w:rsidRPr="00482340" w14:paraId="384CB181"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56CB3507"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Tunely</w:t>
            </w:r>
          </w:p>
        </w:tc>
        <w:tc>
          <w:tcPr>
            <w:tcW w:w="1660" w:type="dxa"/>
            <w:tcBorders>
              <w:top w:val="nil"/>
              <w:left w:val="nil"/>
              <w:bottom w:val="single" w:sz="4" w:space="0" w:color="auto"/>
              <w:right w:val="single" w:sz="4" w:space="0" w:color="auto"/>
            </w:tcBorders>
            <w:shd w:val="clear" w:color="auto" w:fill="auto"/>
            <w:noWrap/>
            <w:vAlign w:val="bottom"/>
            <w:hideMark/>
          </w:tcPr>
          <w:p w14:paraId="4CBE36E4"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158 169 356,28</w:t>
            </w:r>
          </w:p>
        </w:tc>
      </w:tr>
      <w:tr w:rsidR="001A24C3" w:rsidRPr="00482340" w14:paraId="72B90929"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7142722F"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Budovy</w:t>
            </w:r>
          </w:p>
        </w:tc>
        <w:tc>
          <w:tcPr>
            <w:tcW w:w="1660" w:type="dxa"/>
            <w:tcBorders>
              <w:top w:val="nil"/>
              <w:left w:val="nil"/>
              <w:bottom w:val="single" w:sz="4" w:space="0" w:color="auto"/>
              <w:right w:val="single" w:sz="4" w:space="0" w:color="auto"/>
            </w:tcBorders>
            <w:shd w:val="clear" w:color="auto" w:fill="auto"/>
            <w:noWrap/>
            <w:vAlign w:val="bottom"/>
            <w:hideMark/>
          </w:tcPr>
          <w:p w14:paraId="1D236A7D"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5 469 604,88</w:t>
            </w:r>
          </w:p>
        </w:tc>
      </w:tr>
      <w:tr w:rsidR="001A24C3" w:rsidRPr="00482340" w14:paraId="6BAF8978"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3FA15C3C"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Nástupištia</w:t>
            </w:r>
          </w:p>
        </w:tc>
        <w:tc>
          <w:tcPr>
            <w:tcW w:w="1660" w:type="dxa"/>
            <w:tcBorders>
              <w:top w:val="nil"/>
              <w:left w:val="nil"/>
              <w:bottom w:val="single" w:sz="4" w:space="0" w:color="auto"/>
              <w:right w:val="single" w:sz="4" w:space="0" w:color="auto"/>
            </w:tcBorders>
            <w:shd w:val="clear" w:color="auto" w:fill="auto"/>
            <w:noWrap/>
            <w:vAlign w:val="bottom"/>
            <w:hideMark/>
          </w:tcPr>
          <w:p w14:paraId="2C5C4AD5"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9 422 292,46</w:t>
            </w:r>
          </w:p>
        </w:tc>
      </w:tr>
      <w:tr w:rsidR="001A24C3" w:rsidRPr="00482340" w14:paraId="0111BF12"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4839B45C"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Cestné komunikácie</w:t>
            </w:r>
          </w:p>
        </w:tc>
        <w:tc>
          <w:tcPr>
            <w:tcW w:w="1660" w:type="dxa"/>
            <w:tcBorders>
              <w:top w:val="nil"/>
              <w:left w:val="nil"/>
              <w:bottom w:val="single" w:sz="4" w:space="0" w:color="auto"/>
              <w:right w:val="single" w:sz="4" w:space="0" w:color="auto"/>
            </w:tcBorders>
            <w:shd w:val="clear" w:color="auto" w:fill="auto"/>
            <w:noWrap/>
            <w:vAlign w:val="bottom"/>
            <w:hideMark/>
          </w:tcPr>
          <w:p w14:paraId="68C8F952"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1 954 923,63</w:t>
            </w:r>
          </w:p>
        </w:tc>
      </w:tr>
      <w:tr w:rsidR="001A24C3" w:rsidRPr="00482340" w14:paraId="0F62C245"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20DBC7D1"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 xml:space="preserve">Trať – železničný spodok </w:t>
            </w:r>
          </w:p>
        </w:tc>
        <w:tc>
          <w:tcPr>
            <w:tcW w:w="1660" w:type="dxa"/>
            <w:tcBorders>
              <w:top w:val="nil"/>
              <w:left w:val="nil"/>
              <w:bottom w:val="single" w:sz="4" w:space="0" w:color="auto"/>
              <w:right w:val="single" w:sz="4" w:space="0" w:color="auto"/>
            </w:tcBorders>
            <w:shd w:val="clear" w:color="auto" w:fill="auto"/>
            <w:noWrap/>
            <w:vAlign w:val="bottom"/>
            <w:hideMark/>
          </w:tcPr>
          <w:p w14:paraId="2A8D7232"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19 816 228,40</w:t>
            </w:r>
          </w:p>
        </w:tc>
      </w:tr>
      <w:tr w:rsidR="001A24C3" w:rsidRPr="00482340" w14:paraId="0909E65F"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5AC38195"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 xml:space="preserve">Trať – železničný zvršok </w:t>
            </w:r>
          </w:p>
        </w:tc>
        <w:tc>
          <w:tcPr>
            <w:tcW w:w="1660" w:type="dxa"/>
            <w:tcBorders>
              <w:top w:val="nil"/>
              <w:left w:val="nil"/>
              <w:bottom w:val="single" w:sz="4" w:space="0" w:color="auto"/>
              <w:right w:val="single" w:sz="4" w:space="0" w:color="auto"/>
            </w:tcBorders>
            <w:shd w:val="clear" w:color="auto" w:fill="auto"/>
            <w:noWrap/>
            <w:vAlign w:val="bottom"/>
            <w:hideMark/>
          </w:tcPr>
          <w:p w14:paraId="194F0F47"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33 990 864,61</w:t>
            </w:r>
          </w:p>
        </w:tc>
      </w:tr>
      <w:tr w:rsidR="001A24C3" w:rsidRPr="00482340" w14:paraId="710C92FC"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5BD77A3D"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Podporné a oporné múry, spevnenie svahu</w:t>
            </w:r>
          </w:p>
        </w:tc>
        <w:tc>
          <w:tcPr>
            <w:tcW w:w="1660" w:type="dxa"/>
            <w:tcBorders>
              <w:top w:val="nil"/>
              <w:left w:val="nil"/>
              <w:bottom w:val="single" w:sz="4" w:space="0" w:color="auto"/>
              <w:right w:val="single" w:sz="4" w:space="0" w:color="auto"/>
            </w:tcBorders>
            <w:shd w:val="clear" w:color="auto" w:fill="auto"/>
            <w:noWrap/>
            <w:vAlign w:val="bottom"/>
            <w:hideMark/>
          </w:tcPr>
          <w:p w14:paraId="74796B0C"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25 209 160,49</w:t>
            </w:r>
          </w:p>
        </w:tc>
      </w:tr>
      <w:tr w:rsidR="001A24C3" w:rsidRPr="00482340" w14:paraId="4DA79CAB"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0A6FAF7B"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Elektrifikácia – trakčné napájacie stanice, trakčné vedenia</w:t>
            </w:r>
          </w:p>
        </w:tc>
        <w:tc>
          <w:tcPr>
            <w:tcW w:w="1660" w:type="dxa"/>
            <w:tcBorders>
              <w:top w:val="nil"/>
              <w:left w:val="nil"/>
              <w:bottom w:val="single" w:sz="4" w:space="0" w:color="auto"/>
              <w:right w:val="single" w:sz="4" w:space="0" w:color="auto"/>
            </w:tcBorders>
            <w:shd w:val="clear" w:color="auto" w:fill="auto"/>
            <w:noWrap/>
            <w:vAlign w:val="bottom"/>
            <w:hideMark/>
          </w:tcPr>
          <w:p w14:paraId="79ABC4BE"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29 813 206,82</w:t>
            </w:r>
          </w:p>
        </w:tc>
      </w:tr>
      <w:tr w:rsidR="001A24C3" w:rsidRPr="00482340" w14:paraId="5C4284B4"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32321879"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Oznamovacie a telekomunikačné zariadenia</w:t>
            </w:r>
          </w:p>
        </w:tc>
        <w:tc>
          <w:tcPr>
            <w:tcW w:w="1660" w:type="dxa"/>
            <w:tcBorders>
              <w:top w:val="nil"/>
              <w:left w:val="nil"/>
              <w:bottom w:val="single" w:sz="4" w:space="0" w:color="auto"/>
              <w:right w:val="single" w:sz="4" w:space="0" w:color="auto"/>
            </w:tcBorders>
            <w:shd w:val="clear" w:color="auto" w:fill="auto"/>
            <w:noWrap/>
            <w:vAlign w:val="bottom"/>
            <w:hideMark/>
          </w:tcPr>
          <w:p w14:paraId="46E1B751"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20 632 737,41</w:t>
            </w:r>
          </w:p>
        </w:tc>
      </w:tr>
      <w:tr w:rsidR="001A24C3" w:rsidRPr="00482340" w14:paraId="04F6B6AB"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7EE9C4E7"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lastRenderedPageBreak/>
              <w:t>Signalizačné a zabezpečovacie zariadenia</w:t>
            </w:r>
          </w:p>
        </w:tc>
        <w:tc>
          <w:tcPr>
            <w:tcW w:w="1660" w:type="dxa"/>
            <w:tcBorders>
              <w:top w:val="nil"/>
              <w:left w:val="nil"/>
              <w:bottom w:val="single" w:sz="4" w:space="0" w:color="auto"/>
              <w:right w:val="single" w:sz="4" w:space="0" w:color="auto"/>
            </w:tcBorders>
            <w:shd w:val="clear" w:color="auto" w:fill="auto"/>
            <w:noWrap/>
            <w:vAlign w:val="bottom"/>
            <w:hideMark/>
          </w:tcPr>
          <w:p w14:paraId="6933D81D"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5 639 602,09</w:t>
            </w:r>
          </w:p>
        </w:tc>
      </w:tr>
      <w:tr w:rsidR="001A24C3" w:rsidRPr="00482340" w14:paraId="2E1CF0BB"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07CA6157"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Zariadenia energetiky a elektrotechniky</w:t>
            </w:r>
          </w:p>
        </w:tc>
        <w:tc>
          <w:tcPr>
            <w:tcW w:w="1660" w:type="dxa"/>
            <w:tcBorders>
              <w:top w:val="nil"/>
              <w:left w:val="nil"/>
              <w:bottom w:val="single" w:sz="4" w:space="0" w:color="auto"/>
              <w:right w:val="single" w:sz="4" w:space="0" w:color="auto"/>
            </w:tcBorders>
            <w:shd w:val="clear" w:color="auto" w:fill="auto"/>
            <w:noWrap/>
            <w:vAlign w:val="bottom"/>
            <w:hideMark/>
          </w:tcPr>
          <w:p w14:paraId="7A050850"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0,00</w:t>
            </w:r>
          </w:p>
        </w:tc>
      </w:tr>
      <w:tr w:rsidR="001A24C3" w:rsidRPr="00482340" w14:paraId="6F82C4F3"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274BFF97"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 xml:space="preserve">Stroje a zariadenia </w:t>
            </w:r>
          </w:p>
        </w:tc>
        <w:tc>
          <w:tcPr>
            <w:tcW w:w="1660" w:type="dxa"/>
            <w:tcBorders>
              <w:top w:val="nil"/>
              <w:left w:val="nil"/>
              <w:bottom w:val="single" w:sz="4" w:space="0" w:color="auto"/>
              <w:right w:val="single" w:sz="4" w:space="0" w:color="auto"/>
            </w:tcBorders>
            <w:shd w:val="clear" w:color="auto" w:fill="auto"/>
            <w:noWrap/>
            <w:vAlign w:val="bottom"/>
            <w:hideMark/>
          </w:tcPr>
          <w:p w14:paraId="29990C8A"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0,00</w:t>
            </w:r>
          </w:p>
        </w:tc>
      </w:tr>
      <w:tr w:rsidR="001A24C3" w:rsidRPr="00482340" w14:paraId="02A78386"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06CA8EAC"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Protihlukové a iné prvky ochrany životného prostredia</w:t>
            </w:r>
          </w:p>
        </w:tc>
        <w:tc>
          <w:tcPr>
            <w:tcW w:w="1660" w:type="dxa"/>
            <w:tcBorders>
              <w:top w:val="nil"/>
              <w:left w:val="nil"/>
              <w:bottom w:val="single" w:sz="4" w:space="0" w:color="auto"/>
              <w:right w:val="single" w:sz="4" w:space="0" w:color="auto"/>
            </w:tcBorders>
            <w:shd w:val="clear" w:color="auto" w:fill="auto"/>
            <w:noWrap/>
            <w:vAlign w:val="bottom"/>
            <w:hideMark/>
          </w:tcPr>
          <w:p w14:paraId="23D021A5"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7 407 693,04</w:t>
            </w:r>
          </w:p>
        </w:tc>
      </w:tr>
      <w:tr w:rsidR="001A24C3" w:rsidRPr="00482340" w14:paraId="39A3F2B2"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6F6D5137"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Ostatné</w:t>
            </w:r>
          </w:p>
        </w:tc>
        <w:tc>
          <w:tcPr>
            <w:tcW w:w="1660" w:type="dxa"/>
            <w:tcBorders>
              <w:top w:val="nil"/>
              <w:left w:val="nil"/>
              <w:bottom w:val="single" w:sz="4" w:space="0" w:color="auto"/>
              <w:right w:val="single" w:sz="4" w:space="0" w:color="auto"/>
            </w:tcBorders>
            <w:shd w:val="clear" w:color="auto" w:fill="auto"/>
            <w:noWrap/>
            <w:vAlign w:val="bottom"/>
            <w:hideMark/>
          </w:tcPr>
          <w:p w14:paraId="4FD1AB42"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2 593 656,77</w:t>
            </w:r>
          </w:p>
        </w:tc>
      </w:tr>
      <w:tr w:rsidR="001A24C3" w:rsidRPr="00482340" w14:paraId="0A324EE5"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61A269D5"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Vyvolané investície</w:t>
            </w:r>
          </w:p>
        </w:tc>
        <w:tc>
          <w:tcPr>
            <w:tcW w:w="1660" w:type="dxa"/>
            <w:tcBorders>
              <w:top w:val="nil"/>
              <w:left w:val="nil"/>
              <w:bottom w:val="single" w:sz="4" w:space="0" w:color="auto"/>
              <w:right w:val="single" w:sz="4" w:space="0" w:color="auto"/>
            </w:tcBorders>
            <w:shd w:val="clear" w:color="auto" w:fill="auto"/>
            <w:noWrap/>
            <w:vAlign w:val="bottom"/>
            <w:hideMark/>
          </w:tcPr>
          <w:p w14:paraId="2EC3020C" w14:textId="77777777" w:rsidR="001A24C3" w:rsidRPr="00482340" w:rsidRDefault="001A24C3" w:rsidP="00300963">
            <w:pPr>
              <w:jc w:val="right"/>
              <w:rPr>
                <w:rFonts w:ascii="Arial" w:eastAsia="Times New Roman" w:hAnsi="Arial" w:cs="Arial"/>
                <w:i/>
                <w:iCs/>
                <w:sz w:val="16"/>
                <w:szCs w:val="16"/>
                <w:lang w:eastAsia="sk-SK"/>
              </w:rPr>
            </w:pPr>
            <w:r w:rsidRPr="00482340">
              <w:rPr>
                <w:rFonts w:ascii="Arial" w:eastAsia="Times New Roman" w:hAnsi="Arial" w:cs="Arial"/>
                <w:i/>
                <w:iCs/>
                <w:sz w:val="16"/>
                <w:szCs w:val="16"/>
                <w:lang w:eastAsia="sk-SK"/>
              </w:rPr>
              <w:t>15 750 291,94</w:t>
            </w:r>
          </w:p>
        </w:tc>
      </w:tr>
      <w:tr w:rsidR="001A24C3" w:rsidRPr="00482340" w14:paraId="187D95C3"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47095413"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Dozor</w:t>
            </w:r>
          </w:p>
        </w:tc>
        <w:tc>
          <w:tcPr>
            <w:tcW w:w="1660" w:type="dxa"/>
            <w:tcBorders>
              <w:top w:val="nil"/>
              <w:left w:val="nil"/>
              <w:bottom w:val="single" w:sz="4" w:space="0" w:color="auto"/>
              <w:right w:val="single" w:sz="4" w:space="0" w:color="auto"/>
            </w:tcBorders>
            <w:shd w:val="clear" w:color="auto" w:fill="auto"/>
            <w:noWrap/>
            <w:vAlign w:val="bottom"/>
            <w:hideMark/>
          </w:tcPr>
          <w:p w14:paraId="4BEB2F2C"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10 864 754,87</w:t>
            </w:r>
          </w:p>
        </w:tc>
      </w:tr>
      <w:tr w:rsidR="001A24C3" w:rsidRPr="00482340" w14:paraId="27AD798C"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24E70719"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Iné služby (Technická pomoc, Publicita, Externé riadenie)</w:t>
            </w:r>
          </w:p>
        </w:tc>
        <w:tc>
          <w:tcPr>
            <w:tcW w:w="1660" w:type="dxa"/>
            <w:tcBorders>
              <w:top w:val="nil"/>
              <w:left w:val="nil"/>
              <w:bottom w:val="single" w:sz="4" w:space="0" w:color="auto"/>
              <w:right w:val="single" w:sz="4" w:space="0" w:color="auto"/>
            </w:tcBorders>
            <w:shd w:val="clear" w:color="auto" w:fill="auto"/>
            <w:noWrap/>
            <w:vAlign w:val="bottom"/>
            <w:hideMark/>
          </w:tcPr>
          <w:p w14:paraId="4E0818D5"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0,00</w:t>
            </w:r>
          </w:p>
        </w:tc>
      </w:tr>
      <w:tr w:rsidR="001A24C3" w:rsidRPr="00482340" w14:paraId="59F113C2" w14:textId="77777777" w:rsidTr="00300963">
        <w:trPr>
          <w:trHeight w:val="204"/>
        </w:trPr>
        <w:tc>
          <w:tcPr>
            <w:tcW w:w="6120" w:type="dxa"/>
            <w:tcBorders>
              <w:top w:val="nil"/>
              <w:left w:val="single" w:sz="4" w:space="0" w:color="auto"/>
              <w:bottom w:val="single" w:sz="4" w:space="0" w:color="auto"/>
              <w:right w:val="single" w:sz="4" w:space="0" w:color="auto"/>
            </w:tcBorders>
            <w:shd w:val="clear" w:color="auto" w:fill="auto"/>
            <w:noWrap/>
            <w:vAlign w:val="bottom"/>
            <w:hideMark/>
          </w:tcPr>
          <w:p w14:paraId="451CC55A"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Celkové investičné náklady</w:t>
            </w:r>
          </w:p>
        </w:tc>
        <w:tc>
          <w:tcPr>
            <w:tcW w:w="1660" w:type="dxa"/>
            <w:tcBorders>
              <w:top w:val="nil"/>
              <w:left w:val="nil"/>
              <w:bottom w:val="single" w:sz="4" w:space="0" w:color="auto"/>
              <w:right w:val="single" w:sz="4" w:space="0" w:color="auto"/>
            </w:tcBorders>
            <w:shd w:val="clear" w:color="auto" w:fill="auto"/>
            <w:noWrap/>
            <w:vAlign w:val="bottom"/>
            <w:hideMark/>
          </w:tcPr>
          <w:p w14:paraId="7BCBF132" w14:textId="77777777" w:rsidR="001A24C3" w:rsidRPr="00482340" w:rsidRDefault="001A24C3" w:rsidP="00300963">
            <w:pPr>
              <w:jc w:val="right"/>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384 038 667,07</w:t>
            </w:r>
          </w:p>
        </w:tc>
      </w:tr>
    </w:tbl>
    <w:p w14:paraId="108FD86A" w14:textId="77777777" w:rsidR="001A24C3" w:rsidRDefault="001A24C3" w:rsidP="001A24C3">
      <w:pPr>
        <w:rPr>
          <w:lang w:eastAsia="sk-SK" w:bidi="sk-SK"/>
        </w:rPr>
      </w:pPr>
    </w:p>
    <w:p w14:paraId="796E134D" w14:textId="77777777" w:rsidR="001A24C3" w:rsidRPr="004906C6" w:rsidRDefault="001A24C3" w:rsidP="004906C6">
      <w:pPr>
        <w:pStyle w:val="Nadpis41"/>
        <w:ind w:left="851" w:hanging="851"/>
        <w:rPr>
          <w:color w:val="auto"/>
          <w:sz w:val="24"/>
          <w:szCs w:val="24"/>
        </w:rPr>
      </w:pPr>
      <w:bookmarkStart w:id="383" w:name="_Toc88653030"/>
      <w:r w:rsidRPr="004906C6">
        <w:rPr>
          <w:color w:val="auto"/>
          <w:sz w:val="24"/>
          <w:szCs w:val="24"/>
        </w:rPr>
        <w:t>Prevádzkové náklady</w:t>
      </w:r>
      <w:bookmarkEnd w:id="383"/>
    </w:p>
    <w:p w14:paraId="0EE7650A" w14:textId="77777777" w:rsidR="001A24C3" w:rsidRDefault="001A24C3" w:rsidP="001A24C3">
      <w:pPr>
        <w:pStyle w:val="TEXTkOICE"/>
        <w:ind w:left="0"/>
      </w:pPr>
      <w:r w:rsidRPr="000E1FFA">
        <w:t>Predstavujú náklady,</w:t>
      </w:r>
      <w:r>
        <w:t xml:space="preserve"> ktoré sú rozčlenené na bežné prevádzkové výdavky a výmeny časti infraštruktúry po skončení doby životnosti (ak skončí skôr ako uplynie referenčné obdobie, ktoré je pri tomto type projektov 30 rokov). Tieto náklady sú však upravené pomocou konverzných faktorov.  </w:t>
      </w:r>
    </w:p>
    <w:p w14:paraId="5E1BF20B" w14:textId="77777777" w:rsidR="001A24C3" w:rsidRDefault="001A24C3" w:rsidP="001A24C3">
      <w:pPr>
        <w:pStyle w:val="TEXTkOICE"/>
        <w:ind w:left="0"/>
      </w:pPr>
    </w:p>
    <w:p w14:paraId="71217FC9" w14:textId="1B0E9786" w:rsidR="001A24C3" w:rsidRDefault="001A24C3" w:rsidP="004906C6">
      <w:pPr>
        <w:pStyle w:val="Popis"/>
        <w:keepNext/>
        <w:jc w:val="both"/>
      </w:pPr>
      <w:bookmarkStart w:id="384" w:name="_Toc83677952"/>
      <w:r>
        <w:t xml:space="preserve">Tabuľka </w:t>
      </w:r>
      <w:r w:rsidR="008B078A">
        <w:rPr>
          <w:noProof/>
        </w:rPr>
        <w:t>81</w:t>
      </w:r>
      <w:r>
        <w:tab/>
        <w:t>Prevádzkové náklady ekonomické (prírastkové)</w:t>
      </w:r>
      <w:bookmarkEnd w:id="384"/>
    </w:p>
    <w:tbl>
      <w:tblPr>
        <w:tblW w:w="5900" w:type="dxa"/>
        <w:tblCellMar>
          <w:left w:w="70" w:type="dxa"/>
          <w:right w:w="70" w:type="dxa"/>
        </w:tblCellMar>
        <w:tblLook w:val="04A0" w:firstRow="1" w:lastRow="0" w:firstColumn="1" w:lastColumn="0" w:noHBand="0" w:noVBand="1"/>
      </w:tblPr>
      <w:tblGrid>
        <w:gridCol w:w="4060"/>
        <w:gridCol w:w="1840"/>
      </w:tblGrid>
      <w:tr w:rsidR="001A24C3" w:rsidRPr="00482340" w14:paraId="30402810"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D304286"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3.4 Prevádzkové náklady (ekonomické)</w:t>
            </w:r>
          </w:p>
        </w:tc>
        <w:tc>
          <w:tcPr>
            <w:tcW w:w="1840" w:type="dxa"/>
            <w:tcBorders>
              <w:top w:val="single" w:sz="4" w:space="0" w:color="auto"/>
              <w:left w:val="nil"/>
              <w:bottom w:val="single" w:sz="4" w:space="0" w:color="auto"/>
              <w:right w:val="single" w:sz="4" w:space="0" w:color="auto"/>
            </w:tcBorders>
            <w:shd w:val="clear" w:color="auto" w:fill="auto"/>
            <w:noWrap/>
            <w:vAlign w:val="bottom"/>
            <w:hideMark/>
          </w:tcPr>
          <w:p w14:paraId="2F74D5F0"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 </w:t>
            </w:r>
          </w:p>
        </w:tc>
      </w:tr>
      <w:tr w:rsidR="001A24C3" w:rsidRPr="00482340" w14:paraId="47A302C5"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FFFFCC"/>
            <w:noWrap/>
            <w:vAlign w:val="bottom"/>
            <w:hideMark/>
          </w:tcPr>
          <w:p w14:paraId="284DB96B"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Inkrementálne (PRÍRASTKOVÉ)</w:t>
            </w:r>
          </w:p>
        </w:tc>
        <w:tc>
          <w:tcPr>
            <w:tcW w:w="1840" w:type="dxa"/>
            <w:tcBorders>
              <w:top w:val="nil"/>
              <w:left w:val="nil"/>
              <w:bottom w:val="single" w:sz="4" w:space="0" w:color="auto"/>
              <w:right w:val="single" w:sz="4" w:space="0" w:color="auto"/>
            </w:tcBorders>
            <w:shd w:val="clear" w:color="000000" w:fill="FFFFCC"/>
            <w:noWrap/>
            <w:vAlign w:val="bottom"/>
            <w:hideMark/>
          </w:tcPr>
          <w:p w14:paraId="48CEFBE9"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Celkom</w:t>
            </w:r>
          </w:p>
        </w:tc>
      </w:tr>
      <w:tr w:rsidR="001A24C3" w:rsidRPr="00482340" w14:paraId="2A98C663"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3AE1356"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Prevádzkové náklady</w:t>
            </w:r>
          </w:p>
        </w:tc>
        <w:tc>
          <w:tcPr>
            <w:tcW w:w="1840" w:type="dxa"/>
            <w:tcBorders>
              <w:top w:val="nil"/>
              <w:left w:val="nil"/>
              <w:bottom w:val="single" w:sz="4" w:space="0" w:color="auto"/>
              <w:right w:val="single" w:sz="4" w:space="0" w:color="auto"/>
            </w:tcBorders>
            <w:shd w:val="clear" w:color="auto" w:fill="auto"/>
            <w:noWrap/>
            <w:vAlign w:val="bottom"/>
            <w:hideMark/>
          </w:tcPr>
          <w:p w14:paraId="5828A6ED"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0,00</w:t>
            </w:r>
          </w:p>
        </w:tc>
      </w:tr>
      <w:tr w:rsidR="001A24C3" w:rsidRPr="00482340" w14:paraId="7486AEDC"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1FF9A35"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Výmeny</w:t>
            </w:r>
          </w:p>
        </w:tc>
        <w:tc>
          <w:tcPr>
            <w:tcW w:w="1840" w:type="dxa"/>
            <w:tcBorders>
              <w:top w:val="nil"/>
              <w:left w:val="nil"/>
              <w:bottom w:val="single" w:sz="4" w:space="0" w:color="auto"/>
              <w:right w:val="single" w:sz="4" w:space="0" w:color="auto"/>
            </w:tcBorders>
            <w:shd w:val="clear" w:color="auto" w:fill="auto"/>
            <w:noWrap/>
            <w:vAlign w:val="bottom"/>
            <w:hideMark/>
          </w:tcPr>
          <w:p w14:paraId="05CBBFB8"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-55 755 002,58</w:t>
            </w:r>
          </w:p>
        </w:tc>
      </w:tr>
      <w:tr w:rsidR="001A24C3" w:rsidRPr="00482340" w14:paraId="2BBBC948"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DEF36E3"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Celkové prevádzkové náklady na údržbu</w:t>
            </w:r>
          </w:p>
        </w:tc>
        <w:tc>
          <w:tcPr>
            <w:tcW w:w="1840" w:type="dxa"/>
            <w:tcBorders>
              <w:top w:val="nil"/>
              <w:left w:val="nil"/>
              <w:bottom w:val="single" w:sz="4" w:space="0" w:color="auto"/>
              <w:right w:val="single" w:sz="4" w:space="0" w:color="auto"/>
            </w:tcBorders>
            <w:shd w:val="clear" w:color="auto" w:fill="auto"/>
            <w:noWrap/>
            <w:vAlign w:val="bottom"/>
            <w:hideMark/>
          </w:tcPr>
          <w:p w14:paraId="0D19A42B" w14:textId="77777777" w:rsidR="001A24C3" w:rsidRPr="00482340" w:rsidRDefault="001A24C3" w:rsidP="00300963">
            <w:pPr>
              <w:jc w:val="right"/>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-55 755 002,58</w:t>
            </w:r>
          </w:p>
        </w:tc>
      </w:tr>
      <w:tr w:rsidR="001A24C3" w:rsidRPr="00482340" w14:paraId="5D720CE2"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5E25A9D1" w14:textId="77777777" w:rsidR="001A24C3" w:rsidRPr="00482340" w:rsidRDefault="001A24C3" w:rsidP="00300963">
            <w:pPr>
              <w:rPr>
                <w:rFonts w:ascii="Arial" w:eastAsia="Times New Roman" w:hAnsi="Arial" w:cs="Arial"/>
                <w:sz w:val="16"/>
                <w:szCs w:val="16"/>
                <w:lang w:eastAsia="sk-SK"/>
              </w:rPr>
            </w:pPr>
            <w:r w:rsidRPr="00482340">
              <w:rPr>
                <w:rFonts w:ascii="Arial" w:eastAsia="Times New Roman" w:hAnsi="Arial" w:cs="Arial"/>
                <w:sz w:val="16"/>
                <w:szCs w:val="16"/>
                <w:lang w:eastAsia="sk-SK"/>
              </w:rPr>
              <w:t>Iné špecifické náklady</w:t>
            </w:r>
          </w:p>
        </w:tc>
        <w:tc>
          <w:tcPr>
            <w:tcW w:w="1840" w:type="dxa"/>
            <w:tcBorders>
              <w:top w:val="nil"/>
              <w:left w:val="nil"/>
              <w:bottom w:val="single" w:sz="4" w:space="0" w:color="auto"/>
              <w:right w:val="single" w:sz="4" w:space="0" w:color="auto"/>
            </w:tcBorders>
            <w:shd w:val="clear" w:color="auto" w:fill="auto"/>
            <w:noWrap/>
            <w:vAlign w:val="bottom"/>
            <w:hideMark/>
          </w:tcPr>
          <w:p w14:paraId="65F0AEE2" w14:textId="77777777" w:rsidR="001A24C3" w:rsidRPr="00482340" w:rsidRDefault="001A24C3" w:rsidP="00300963">
            <w:pPr>
              <w:jc w:val="right"/>
              <w:rPr>
                <w:rFonts w:ascii="Arial" w:eastAsia="Times New Roman" w:hAnsi="Arial" w:cs="Arial"/>
                <w:sz w:val="16"/>
                <w:szCs w:val="16"/>
                <w:lang w:eastAsia="sk-SK"/>
              </w:rPr>
            </w:pPr>
            <w:r w:rsidRPr="00482340">
              <w:rPr>
                <w:rFonts w:ascii="Arial" w:eastAsia="Times New Roman" w:hAnsi="Arial" w:cs="Arial"/>
                <w:sz w:val="16"/>
                <w:szCs w:val="16"/>
                <w:lang w:eastAsia="sk-SK"/>
              </w:rPr>
              <w:t>0,00</w:t>
            </w:r>
          </w:p>
        </w:tc>
      </w:tr>
      <w:tr w:rsidR="001A24C3" w:rsidRPr="00482340" w14:paraId="670B8D33"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7B6532CF"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Celkové iné špecifické prevádzkové náklady</w:t>
            </w:r>
          </w:p>
        </w:tc>
        <w:tc>
          <w:tcPr>
            <w:tcW w:w="1840" w:type="dxa"/>
            <w:tcBorders>
              <w:top w:val="nil"/>
              <w:left w:val="nil"/>
              <w:bottom w:val="double" w:sz="6" w:space="0" w:color="auto"/>
              <w:right w:val="single" w:sz="4" w:space="0" w:color="auto"/>
            </w:tcBorders>
            <w:shd w:val="clear" w:color="auto" w:fill="auto"/>
            <w:noWrap/>
            <w:vAlign w:val="bottom"/>
            <w:hideMark/>
          </w:tcPr>
          <w:p w14:paraId="745B20F0" w14:textId="77777777" w:rsidR="001A24C3" w:rsidRPr="00482340" w:rsidRDefault="001A24C3" w:rsidP="00300963">
            <w:pPr>
              <w:jc w:val="right"/>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0,00</w:t>
            </w:r>
          </w:p>
        </w:tc>
      </w:tr>
      <w:tr w:rsidR="001A24C3" w:rsidRPr="00482340" w14:paraId="0CD51EDF"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134BAAA" w14:textId="77777777" w:rsidR="001A24C3" w:rsidRPr="00482340" w:rsidRDefault="001A24C3" w:rsidP="00300963">
            <w:pPr>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Celkové prevádzkové náklady</w:t>
            </w:r>
          </w:p>
        </w:tc>
        <w:tc>
          <w:tcPr>
            <w:tcW w:w="1840" w:type="dxa"/>
            <w:tcBorders>
              <w:top w:val="nil"/>
              <w:left w:val="nil"/>
              <w:bottom w:val="single" w:sz="4" w:space="0" w:color="auto"/>
              <w:right w:val="single" w:sz="4" w:space="0" w:color="auto"/>
            </w:tcBorders>
            <w:shd w:val="clear" w:color="auto" w:fill="auto"/>
            <w:noWrap/>
            <w:vAlign w:val="bottom"/>
            <w:hideMark/>
          </w:tcPr>
          <w:p w14:paraId="1EE9DD22" w14:textId="77777777" w:rsidR="001A24C3" w:rsidRPr="00482340" w:rsidRDefault="001A24C3" w:rsidP="00300963">
            <w:pPr>
              <w:jc w:val="right"/>
              <w:rPr>
                <w:rFonts w:ascii="Arial" w:eastAsia="Times New Roman" w:hAnsi="Arial" w:cs="Arial"/>
                <w:b/>
                <w:bCs/>
                <w:sz w:val="16"/>
                <w:szCs w:val="16"/>
                <w:lang w:eastAsia="sk-SK"/>
              </w:rPr>
            </w:pPr>
            <w:r w:rsidRPr="00482340">
              <w:rPr>
                <w:rFonts w:ascii="Arial" w:eastAsia="Times New Roman" w:hAnsi="Arial" w:cs="Arial"/>
                <w:b/>
                <w:bCs/>
                <w:sz w:val="16"/>
                <w:szCs w:val="16"/>
                <w:lang w:eastAsia="sk-SK"/>
              </w:rPr>
              <w:t>-55 755 002,58</w:t>
            </w:r>
          </w:p>
        </w:tc>
      </w:tr>
    </w:tbl>
    <w:p w14:paraId="670E095B" w14:textId="77777777" w:rsidR="001A24C3" w:rsidRPr="007A7CA8" w:rsidRDefault="001A24C3" w:rsidP="001A24C3"/>
    <w:p w14:paraId="2089D8AE" w14:textId="77777777" w:rsidR="001A24C3" w:rsidRPr="004906C6" w:rsidRDefault="001A24C3" w:rsidP="004906C6">
      <w:pPr>
        <w:pStyle w:val="Nadpis41"/>
        <w:ind w:left="851" w:hanging="851"/>
        <w:rPr>
          <w:color w:val="auto"/>
          <w:sz w:val="24"/>
          <w:szCs w:val="24"/>
        </w:rPr>
      </w:pPr>
      <w:bookmarkStart w:id="385" w:name="_Toc88653031"/>
      <w:r w:rsidRPr="004906C6">
        <w:rPr>
          <w:color w:val="auto"/>
          <w:sz w:val="24"/>
          <w:szCs w:val="24"/>
        </w:rPr>
        <w:t>Ekonomické príjmy (prínosy)</w:t>
      </w:r>
      <w:bookmarkEnd w:id="385"/>
    </w:p>
    <w:p w14:paraId="634A3EE9" w14:textId="77777777" w:rsidR="001A24C3" w:rsidRDefault="001A24C3" w:rsidP="001A24C3">
      <w:pPr>
        <w:pStyle w:val="TEXTkOICE"/>
      </w:pPr>
      <w:bookmarkStart w:id="386" w:name="_Hlk88427813"/>
      <w:r w:rsidRPr="00B33106">
        <w:t xml:space="preserve">V rámci ekonomickej analýzy sú do úvahy brané celospoločenské </w:t>
      </w:r>
      <w:r>
        <w:t xml:space="preserve">prínosy </w:t>
      </w:r>
      <w:r w:rsidRPr="00B33106">
        <w:t>projektu:</w:t>
      </w:r>
    </w:p>
    <w:p w14:paraId="325C5739" w14:textId="77777777" w:rsidR="001A24C3" w:rsidRPr="00020E9B" w:rsidRDefault="001A24C3" w:rsidP="001A24C3">
      <w:pPr>
        <w:pStyle w:val="ODRKY-KOICE"/>
        <w:rPr>
          <w:sz w:val="22"/>
        </w:rPr>
      </w:pPr>
      <w:r w:rsidRPr="00020E9B">
        <w:rPr>
          <w:sz w:val="22"/>
        </w:rPr>
        <w:t>Čas cestujúcich</w:t>
      </w:r>
    </w:p>
    <w:p w14:paraId="1B8AF2BC" w14:textId="77777777" w:rsidR="001A24C3" w:rsidRPr="00020E9B" w:rsidRDefault="001A24C3" w:rsidP="001A24C3">
      <w:pPr>
        <w:pStyle w:val="ODRKY-KOICE"/>
        <w:rPr>
          <w:sz w:val="22"/>
        </w:rPr>
      </w:pPr>
      <w:r w:rsidRPr="00020E9B">
        <w:rPr>
          <w:sz w:val="22"/>
        </w:rPr>
        <w:t>Čas tovaru</w:t>
      </w:r>
    </w:p>
    <w:p w14:paraId="3C8EE5A5" w14:textId="77777777" w:rsidR="001A24C3" w:rsidRPr="00020E9B" w:rsidRDefault="001A24C3" w:rsidP="001A24C3">
      <w:pPr>
        <w:pStyle w:val="ODRKY-KOICE"/>
        <w:rPr>
          <w:sz w:val="22"/>
        </w:rPr>
      </w:pPr>
      <w:r w:rsidRPr="00020E9B">
        <w:rPr>
          <w:sz w:val="22"/>
        </w:rPr>
        <w:t>Úspora prevádzkových nákladov</w:t>
      </w:r>
    </w:p>
    <w:p w14:paraId="510CD27E" w14:textId="77777777" w:rsidR="001A24C3" w:rsidRPr="00020E9B" w:rsidRDefault="001A24C3" w:rsidP="001A24C3">
      <w:pPr>
        <w:pStyle w:val="ODRKY-KOICE"/>
        <w:rPr>
          <w:sz w:val="22"/>
        </w:rPr>
      </w:pPr>
      <w:r w:rsidRPr="00020E9B">
        <w:rPr>
          <w:sz w:val="22"/>
        </w:rPr>
        <w:t>Bezpečnosť</w:t>
      </w:r>
    </w:p>
    <w:p w14:paraId="73F406A9" w14:textId="77777777" w:rsidR="001A24C3" w:rsidRPr="00020E9B" w:rsidRDefault="001A24C3" w:rsidP="001A24C3">
      <w:pPr>
        <w:pStyle w:val="ODRKY-KOICE"/>
        <w:rPr>
          <w:sz w:val="22"/>
        </w:rPr>
      </w:pPr>
      <w:r w:rsidRPr="00020E9B">
        <w:rPr>
          <w:sz w:val="22"/>
        </w:rPr>
        <w:t>Znečisťujúce látky</w:t>
      </w:r>
    </w:p>
    <w:p w14:paraId="73B067E5" w14:textId="77777777" w:rsidR="001A24C3" w:rsidRDefault="001A24C3" w:rsidP="001A24C3">
      <w:pPr>
        <w:pStyle w:val="ODRKY-KOICE"/>
        <w:rPr>
          <w:sz w:val="22"/>
        </w:rPr>
      </w:pPr>
      <w:r w:rsidRPr="00020E9B">
        <w:rPr>
          <w:sz w:val="22"/>
        </w:rPr>
        <w:t>Skleníkové plyny</w:t>
      </w:r>
    </w:p>
    <w:p w14:paraId="518EA89D" w14:textId="77777777" w:rsidR="001A24C3" w:rsidRDefault="001A24C3" w:rsidP="001A24C3">
      <w:pPr>
        <w:pStyle w:val="ODRKY-KOICE"/>
        <w:rPr>
          <w:sz w:val="22"/>
        </w:rPr>
      </w:pPr>
      <w:r w:rsidRPr="00482340">
        <w:rPr>
          <w:sz w:val="22"/>
        </w:rPr>
        <w:t xml:space="preserve"> Hluk</w:t>
      </w:r>
    </w:p>
    <w:p w14:paraId="68E76294" w14:textId="77777777" w:rsidR="001A24C3" w:rsidRDefault="001A24C3" w:rsidP="001A24C3">
      <w:pPr>
        <w:pStyle w:val="ODRKY-KOICE"/>
        <w:numPr>
          <w:ilvl w:val="0"/>
          <w:numId w:val="0"/>
        </w:numPr>
        <w:ind w:left="924" w:hanging="357"/>
        <w:rPr>
          <w:sz w:val="22"/>
        </w:rPr>
      </w:pPr>
    </w:p>
    <w:p w14:paraId="0836F6F2" w14:textId="066E87B1" w:rsidR="001A24C3" w:rsidRPr="00482340" w:rsidRDefault="001A24C3" w:rsidP="004906C6">
      <w:pPr>
        <w:pStyle w:val="ODRKY-KOICE"/>
        <w:numPr>
          <w:ilvl w:val="0"/>
          <w:numId w:val="0"/>
        </w:numPr>
        <w:jc w:val="both"/>
        <w:rPr>
          <w:sz w:val="22"/>
        </w:rPr>
      </w:pPr>
      <w:r w:rsidRPr="00A65D0D">
        <w:rPr>
          <w:sz w:val="22"/>
        </w:rPr>
        <w:t>Uvedené</w:t>
      </w:r>
      <w:r w:rsidRPr="00300731">
        <w:rPr>
          <w:sz w:val="22"/>
        </w:rPr>
        <w:t xml:space="preserve"> benefity boli vyčíslené v súlade s metodikou CBA a vstupy pre výpočty vychádzajú z  dopravného modelu </w:t>
      </w:r>
      <w:r w:rsidRPr="00300731">
        <w:rPr>
          <w:sz w:val="22"/>
          <w:lang w:val="en-US"/>
        </w:rPr>
        <w:t>(</w:t>
      </w:r>
      <w:r>
        <w:rPr>
          <w:sz w:val="22"/>
          <w:lang w:val="cs-CZ"/>
        </w:rPr>
        <w:t>stredný</w:t>
      </w:r>
      <w:r w:rsidRPr="00300731">
        <w:rPr>
          <w:sz w:val="22"/>
          <w:lang w:val="cs-CZ"/>
        </w:rPr>
        <w:t xml:space="preserve"> variant</w:t>
      </w:r>
      <w:r w:rsidRPr="00300731">
        <w:rPr>
          <w:sz w:val="22"/>
          <w:lang w:val="en-US"/>
        </w:rPr>
        <w:t>)</w:t>
      </w:r>
      <w:r w:rsidRPr="00300731">
        <w:rPr>
          <w:sz w:val="22"/>
        </w:rPr>
        <w:t>, ktorý obsahuje informácie o počte cestujúcich, osobokm, úsporách času, množstvách prepraveného tovaru, atď.</w:t>
      </w:r>
      <w:bookmarkEnd w:id="386"/>
    </w:p>
    <w:p w14:paraId="3FAC6294" w14:textId="5D8F4B1B" w:rsidR="001A24C3" w:rsidRPr="00773B79" w:rsidRDefault="001A24C3" w:rsidP="004906C6">
      <w:pPr>
        <w:pStyle w:val="Popis"/>
        <w:keepNext/>
        <w:jc w:val="both"/>
      </w:pPr>
      <w:bookmarkStart w:id="387" w:name="_Toc83677953"/>
      <w:r w:rsidRPr="00773B79">
        <w:t xml:space="preserve">Tabuľka </w:t>
      </w:r>
      <w:r w:rsidR="008B078A">
        <w:rPr>
          <w:noProof/>
        </w:rPr>
        <w:t>82</w:t>
      </w:r>
      <w:r w:rsidRPr="00773B79">
        <w:tab/>
        <w:t>Ekonomické prínosy</w:t>
      </w:r>
      <w:bookmarkEnd w:id="387"/>
    </w:p>
    <w:tbl>
      <w:tblPr>
        <w:tblW w:w="6600" w:type="dxa"/>
        <w:tblCellMar>
          <w:left w:w="70" w:type="dxa"/>
          <w:right w:w="70" w:type="dxa"/>
        </w:tblCellMar>
        <w:tblLook w:val="04A0" w:firstRow="1" w:lastRow="0" w:firstColumn="1" w:lastColumn="0" w:noHBand="0" w:noVBand="1"/>
      </w:tblPr>
      <w:tblGrid>
        <w:gridCol w:w="5060"/>
        <w:gridCol w:w="1540"/>
      </w:tblGrid>
      <w:tr w:rsidR="001A24C3" w:rsidRPr="00885FFC" w14:paraId="0D242A3E" w14:textId="77777777" w:rsidTr="00300963">
        <w:trPr>
          <w:trHeight w:val="408"/>
        </w:trPr>
        <w:tc>
          <w:tcPr>
            <w:tcW w:w="50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34E983D"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Peňažné toky</w:t>
            </w:r>
          </w:p>
        </w:tc>
        <w:tc>
          <w:tcPr>
            <w:tcW w:w="1540" w:type="dxa"/>
            <w:tcBorders>
              <w:top w:val="single" w:sz="4" w:space="0" w:color="auto"/>
              <w:left w:val="nil"/>
              <w:bottom w:val="single" w:sz="4" w:space="0" w:color="auto"/>
              <w:right w:val="single" w:sz="4" w:space="0" w:color="auto"/>
            </w:tcBorders>
            <w:shd w:val="clear" w:color="000000" w:fill="D9D9D9"/>
            <w:vAlign w:val="bottom"/>
            <w:hideMark/>
          </w:tcPr>
          <w:p w14:paraId="09333926"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Celkom (diskontované)</w:t>
            </w:r>
          </w:p>
        </w:tc>
      </w:tr>
      <w:tr w:rsidR="001A24C3" w:rsidRPr="00885FFC" w14:paraId="1440BA33"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3F755248"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Investičné náklady</w:t>
            </w:r>
          </w:p>
        </w:tc>
        <w:tc>
          <w:tcPr>
            <w:tcW w:w="1540" w:type="dxa"/>
            <w:tcBorders>
              <w:top w:val="nil"/>
              <w:left w:val="nil"/>
              <w:bottom w:val="single" w:sz="4" w:space="0" w:color="auto"/>
              <w:right w:val="single" w:sz="4" w:space="0" w:color="auto"/>
            </w:tcBorders>
            <w:shd w:val="clear" w:color="auto" w:fill="auto"/>
            <w:noWrap/>
            <w:vAlign w:val="bottom"/>
            <w:hideMark/>
          </w:tcPr>
          <w:p w14:paraId="12E2721F"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color w:val="FF0000"/>
                <w:sz w:val="16"/>
                <w:szCs w:val="16"/>
                <w:lang w:eastAsia="sk-SK"/>
              </w:rPr>
              <w:t xml:space="preserve">-343 633 373 </w:t>
            </w:r>
          </w:p>
        </w:tc>
      </w:tr>
      <w:tr w:rsidR="001A24C3" w:rsidRPr="00885FFC" w14:paraId="395FFA2D"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1233ED14"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Prevádzkové náklady</w:t>
            </w:r>
          </w:p>
        </w:tc>
        <w:tc>
          <w:tcPr>
            <w:tcW w:w="1540" w:type="dxa"/>
            <w:tcBorders>
              <w:top w:val="nil"/>
              <w:left w:val="nil"/>
              <w:bottom w:val="single" w:sz="4" w:space="0" w:color="auto"/>
              <w:right w:val="single" w:sz="4" w:space="0" w:color="auto"/>
            </w:tcBorders>
            <w:shd w:val="clear" w:color="auto" w:fill="auto"/>
            <w:noWrap/>
            <w:vAlign w:val="bottom"/>
            <w:hideMark/>
          </w:tcPr>
          <w:p w14:paraId="6D1AD4BB"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47 900 905 </w:t>
            </w:r>
          </w:p>
        </w:tc>
      </w:tr>
      <w:tr w:rsidR="001A24C3" w:rsidRPr="00885FFC" w14:paraId="19DFDEE1"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320D6E1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cestujúcich</w:t>
            </w:r>
          </w:p>
        </w:tc>
        <w:tc>
          <w:tcPr>
            <w:tcW w:w="1540" w:type="dxa"/>
            <w:tcBorders>
              <w:top w:val="nil"/>
              <w:left w:val="nil"/>
              <w:bottom w:val="single" w:sz="4" w:space="0" w:color="auto"/>
              <w:right w:val="single" w:sz="4" w:space="0" w:color="auto"/>
            </w:tcBorders>
            <w:shd w:val="clear" w:color="auto" w:fill="auto"/>
            <w:noWrap/>
            <w:vAlign w:val="bottom"/>
            <w:hideMark/>
          </w:tcPr>
          <w:p w14:paraId="4844FE62"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19 533 426 </w:t>
            </w:r>
          </w:p>
        </w:tc>
      </w:tr>
      <w:tr w:rsidR="001A24C3" w:rsidRPr="00885FFC" w14:paraId="1F281A94"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3C761915"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tovaru</w:t>
            </w:r>
          </w:p>
        </w:tc>
        <w:tc>
          <w:tcPr>
            <w:tcW w:w="1540" w:type="dxa"/>
            <w:tcBorders>
              <w:top w:val="nil"/>
              <w:left w:val="nil"/>
              <w:bottom w:val="single" w:sz="4" w:space="0" w:color="auto"/>
              <w:right w:val="single" w:sz="4" w:space="0" w:color="auto"/>
            </w:tcBorders>
            <w:shd w:val="clear" w:color="auto" w:fill="auto"/>
            <w:noWrap/>
            <w:vAlign w:val="bottom"/>
            <w:hideMark/>
          </w:tcPr>
          <w:p w14:paraId="19AD0F13"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201 162 416 </w:t>
            </w:r>
          </w:p>
        </w:tc>
      </w:tr>
      <w:tr w:rsidR="001A24C3" w:rsidRPr="00885FFC" w14:paraId="67A1BA19"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60906EF7"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Prevádzkové náklady </w:t>
            </w:r>
          </w:p>
        </w:tc>
        <w:tc>
          <w:tcPr>
            <w:tcW w:w="1540" w:type="dxa"/>
            <w:tcBorders>
              <w:top w:val="nil"/>
              <w:left w:val="nil"/>
              <w:bottom w:val="single" w:sz="4" w:space="0" w:color="auto"/>
              <w:right w:val="single" w:sz="4" w:space="0" w:color="auto"/>
            </w:tcBorders>
            <w:shd w:val="clear" w:color="auto" w:fill="auto"/>
            <w:noWrap/>
            <w:vAlign w:val="bottom"/>
            <w:hideMark/>
          </w:tcPr>
          <w:p w14:paraId="1FFDD359"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29 281 589 </w:t>
            </w:r>
          </w:p>
        </w:tc>
      </w:tr>
      <w:tr w:rsidR="001A24C3" w:rsidRPr="00885FFC" w14:paraId="360B40C9"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426D36D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Bezpečnosť</w:t>
            </w:r>
          </w:p>
        </w:tc>
        <w:tc>
          <w:tcPr>
            <w:tcW w:w="1540" w:type="dxa"/>
            <w:tcBorders>
              <w:top w:val="nil"/>
              <w:left w:val="nil"/>
              <w:bottom w:val="single" w:sz="4" w:space="0" w:color="auto"/>
              <w:right w:val="single" w:sz="4" w:space="0" w:color="auto"/>
            </w:tcBorders>
            <w:shd w:val="clear" w:color="auto" w:fill="auto"/>
            <w:noWrap/>
            <w:vAlign w:val="bottom"/>
            <w:hideMark/>
          </w:tcPr>
          <w:p w14:paraId="72DD7CD7"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1 238 153 </w:t>
            </w:r>
          </w:p>
        </w:tc>
      </w:tr>
      <w:tr w:rsidR="001A24C3" w:rsidRPr="00885FFC" w14:paraId="17DD8F9E"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68C14272"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lastRenderedPageBreak/>
              <w:t>Znečisťujúce látky</w:t>
            </w:r>
          </w:p>
        </w:tc>
        <w:tc>
          <w:tcPr>
            <w:tcW w:w="1540" w:type="dxa"/>
            <w:tcBorders>
              <w:top w:val="nil"/>
              <w:left w:val="nil"/>
              <w:bottom w:val="single" w:sz="4" w:space="0" w:color="auto"/>
              <w:right w:val="single" w:sz="4" w:space="0" w:color="auto"/>
            </w:tcBorders>
            <w:shd w:val="clear" w:color="auto" w:fill="auto"/>
            <w:noWrap/>
            <w:vAlign w:val="bottom"/>
            <w:hideMark/>
          </w:tcPr>
          <w:p w14:paraId="591F110A"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1 184 700 </w:t>
            </w:r>
          </w:p>
        </w:tc>
      </w:tr>
      <w:tr w:rsidR="001A24C3" w:rsidRPr="00885FFC" w14:paraId="72A89CB3"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29DB51DA"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Skleníkové plyny</w:t>
            </w:r>
          </w:p>
        </w:tc>
        <w:tc>
          <w:tcPr>
            <w:tcW w:w="1540" w:type="dxa"/>
            <w:tcBorders>
              <w:top w:val="nil"/>
              <w:left w:val="nil"/>
              <w:bottom w:val="single" w:sz="4" w:space="0" w:color="auto"/>
              <w:right w:val="single" w:sz="4" w:space="0" w:color="auto"/>
            </w:tcBorders>
            <w:shd w:val="clear" w:color="auto" w:fill="auto"/>
            <w:noWrap/>
            <w:vAlign w:val="bottom"/>
            <w:hideMark/>
          </w:tcPr>
          <w:p w14:paraId="5DDFED8A"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4 877 836 </w:t>
            </w:r>
          </w:p>
        </w:tc>
      </w:tr>
      <w:tr w:rsidR="001A24C3" w:rsidRPr="00885FFC" w14:paraId="6E7AECC6"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49906980"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Hluk</w:t>
            </w:r>
          </w:p>
        </w:tc>
        <w:tc>
          <w:tcPr>
            <w:tcW w:w="1540" w:type="dxa"/>
            <w:tcBorders>
              <w:top w:val="nil"/>
              <w:left w:val="nil"/>
              <w:bottom w:val="single" w:sz="4" w:space="0" w:color="auto"/>
              <w:right w:val="single" w:sz="4" w:space="0" w:color="auto"/>
            </w:tcBorders>
            <w:shd w:val="clear" w:color="auto" w:fill="auto"/>
            <w:noWrap/>
            <w:vAlign w:val="bottom"/>
            <w:hideMark/>
          </w:tcPr>
          <w:p w14:paraId="442C31AF"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89 242 </w:t>
            </w:r>
          </w:p>
        </w:tc>
      </w:tr>
      <w:tr w:rsidR="001A24C3" w:rsidRPr="00885FFC" w14:paraId="0D76FF13"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7CDA5ED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Zostatková hodnota</w:t>
            </w:r>
          </w:p>
        </w:tc>
        <w:tc>
          <w:tcPr>
            <w:tcW w:w="1540" w:type="dxa"/>
            <w:tcBorders>
              <w:top w:val="nil"/>
              <w:left w:val="nil"/>
              <w:bottom w:val="single" w:sz="4" w:space="0" w:color="auto"/>
              <w:right w:val="single" w:sz="4" w:space="0" w:color="auto"/>
            </w:tcBorders>
            <w:shd w:val="clear" w:color="auto" w:fill="auto"/>
            <w:noWrap/>
            <w:vAlign w:val="bottom"/>
            <w:hideMark/>
          </w:tcPr>
          <w:p w14:paraId="60754222"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161 086 251 </w:t>
            </w:r>
          </w:p>
        </w:tc>
      </w:tr>
      <w:tr w:rsidR="001A24C3" w:rsidRPr="00885FFC" w14:paraId="398813A8" w14:textId="77777777" w:rsidTr="00300963">
        <w:trPr>
          <w:trHeight w:val="204"/>
        </w:trPr>
        <w:tc>
          <w:tcPr>
            <w:tcW w:w="5060" w:type="dxa"/>
            <w:tcBorders>
              <w:top w:val="nil"/>
              <w:left w:val="single" w:sz="4" w:space="0" w:color="auto"/>
              <w:bottom w:val="single" w:sz="4" w:space="0" w:color="auto"/>
              <w:right w:val="single" w:sz="4" w:space="0" w:color="auto"/>
            </w:tcBorders>
            <w:shd w:val="clear" w:color="000000" w:fill="FFFFCC"/>
            <w:noWrap/>
            <w:vAlign w:val="bottom"/>
            <w:hideMark/>
          </w:tcPr>
          <w:p w14:paraId="292444E2"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Čisté peňažné toky</w:t>
            </w:r>
          </w:p>
        </w:tc>
        <w:tc>
          <w:tcPr>
            <w:tcW w:w="1540" w:type="dxa"/>
            <w:tcBorders>
              <w:top w:val="nil"/>
              <w:left w:val="nil"/>
              <w:bottom w:val="single" w:sz="4" w:space="0" w:color="auto"/>
              <w:right w:val="single" w:sz="4" w:space="0" w:color="auto"/>
            </w:tcBorders>
            <w:shd w:val="clear" w:color="000000" w:fill="FFFFCC"/>
            <w:noWrap/>
            <w:vAlign w:val="bottom"/>
            <w:hideMark/>
          </w:tcPr>
          <w:p w14:paraId="6F7368CB" w14:textId="77777777" w:rsidR="001A24C3" w:rsidRPr="00885FFC" w:rsidRDefault="001A24C3" w:rsidP="00300963">
            <w:pPr>
              <w:jc w:val="right"/>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 xml:space="preserve">770 208 </w:t>
            </w:r>
          </w:p>
        </w:tc>
      </w:tr>
    </w:tbl>
    <w:p w14:paraId="3466DAB1" w14:textId="77777777" w:rsidR="001A24C3" w:rsidRDefault="001A24C3" w:rsidP="001A24C3"/>
    <w:p w14:paraId="68E076CA" w14:textId="77777777" w:rsidR="001A24C3" w:rsidRPr="004906C6" w:rsidRDefault="001A24C3" w:rsidP="004906C6">
      <w:pPr>
        <w:pStyle w:val="Nadpis41"/>
        <w:ind w:left="851" w:hanging="851"/>
        <w:rPr>
          <w:color w:val="auto"/>
          <w:sz w:val="24"/>
          <w:szCs w:val="24"/>
        </w:rPr>
      </w:pPr>
      <w:bookmarkStart w:id="388" w:name="_Toc88653032"/>
      <w:r w:rsidRPr="004906C6">
        <w:rPr>
          <w:color w:val="auto"/>
          <w:sz w:val="24"/>
          <w:szCs w:val="24"/>
        </w:rPr>
        <w:t>Zostatková hodnota</w:t>
      </w:r>
      <w:bookmarkEnd w:id="388"/>
    </w:p>
    <w:p w14:paraId="063A0FF5" w14:textId="77777777" w:rsidR="001A24C3" w:rsidRDefault="001A24C3" w:rsidP="001A24C3">
      <w:pPr>
        <w:rPr>
          <w:b/>
          <w:lang w:eastAsia="sk-SK" w:bidi="sk-SK"/>
        </w:rPr>
      </w:pPr>
      <w:r w:rsidRPr="00CA03A6">
        <w:rPr>
          <w:lang w:eastAsia="sk-SK" w:bidi="sk-SK"/>
        </w:rPr>
        <w:t>Zostatková hodnota bola v ekonomickej analýze vypočítaná 2 spôsobmi. Pomocou cash-flow tokov zároveň pomocou účtovných odpisov. Ako výsledná pre projekt bola použitá nižšia hodnota, teda tá konzervatívnejšia</w:t>
      </w:r>
      <w:r>
        <w:rPr>
          <w:b/>
          <w:lang w:eastAsia="sk-SK" w:bidi="sk-SK"/>
        </w:rPr>
        <w:t xml:space="preserve">. </w:t>
      </w:r>
    </w:p>
    <w:p w14:paraId="4499DC4B" w14:textId="7460F73C" w:rsidR="001A24C3" w:rsidRDefault="001A24C3" w:rsidP="004906C6">
      <w:pPr>
        <w:pStyle w:val="Popis"/>
        <w:keepNext/>
        <w:jc w:val="both"/>
      </w:pPr>
      <w:bookmarkStart w:id="389" w:name="_Toc83677954"/>
      <w:r>
        <w:t xml:space="preserve">Tabuľka </w:t>
      </w:r>
      <w:r w:rsidR="008B078A">
        <w:rPr>
          <w:noProof/>
        </w:rPr>
        <w:t>83</w:t>
      </w:r>
      <w:r>
        <w:tab/>
      </w:r>
      <w:r w:rsidRPr="00CA03A6">
        <w:t>Zostatková hodnota – metóda cash flow</w:t>
      </w:r>
      <w:bookmarkEnd w:id="389"/>
    </w:p>
    <w:tbl>
      <w:tblPr>
        <w:tblW w:w="9060" w:type="dxa"/>
        <w:tblCellMar>
          <w:left w:w="70" w:type="dxa"/>
          <w:right w:w="70" w:type="dxa"/>
        </w:tblCellMar>
        <w:tblLook w:val="04A0" w:firstRow="1" w:lastRow="0" w:firstColumn="1" w:lastColumn="0" w:noHBand="0" w:noVBand="1"/>
      </w:tblPr>
      <w:tblGrid>
        <w:gridCol w:w="7180"/>
        <w:gridCol w:w="1880"/>
      </w:tblGrid>
      <w:tr w:rsidR="001A24C3" w:rsidRPr="00885FFC" w14:paraId="6EE2FF46" w14:textId="77777777" w:rsidTr="00300963">
        <w:trPr>
          <w:trHeight w:val="216"/>
        </w:trPr>
        <w:tc>
          <w:tcPr>
            <w:tcW w:w="7180"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14:paraId="5DA5087A"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Peňažné toky</w:t>
            </w:r>
          </w:p>
        </w:tc>
        <w:tc>
          <w:tcPr>
            <w:tcW w:w="1880" w:type="dxa"/>
            <w:tcBorders>
              <w:top w:val="single" w:sz="8" w:space="0" w:color="auto"/>
              <w:left w:val="nil"/>
              <w:bottom w:val="single" w:sz="4" w:space="0" w:color="auto"/>
              <w:right w:val="single" w:sz="4" w:space="0" w:color="auto"/>
            </w:tcBorders>
            <w:shd w:val="clear" w:color="000000" w:fill="D9D9D9"/>
            <w:vAlign w:val="bottom"/>
            <w:hideMark/>
          </w:tcPr>
          <w:p w14:paraId="1F432B5B"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Celkom</w:t>
            </w:r>
          </w:p>
        </w:tc>
      </w:tr>
      <w:tr w:rsidR="001A24C3" w:rsidRPr="00885FFC" w14:paraId="491AC9A3"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156809A2"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Investičné náklady</w:t>
            </w:r>
          </w:p>
        </w:tc>
        <w:tc>
          <w:tcPr>
            <w:tcW w:w="1880" w:type="dxa"/>
            <w:tcBorders>
              <w:top w:val="nil"/>
              <w:left w:val="nil"/>
              <w:bottom w:val="single" w:sz="4" w:space="0" w:color="auto"/>
              <w:right w:val="single" w:sz="4" w:space="0" w:color="auto"/>
            </w:tcBorders>
            <w:shd w:val="clear" w:color="000000" w:fill="F2F2F2"/>
            <w:vAlign w:val="center"/>
            <w:hideMark/>
          </w:tcPr>
          <w:p w14:paraId="5346403A"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0</w:t>
            </w:r>
          </w:p>
        </w:tc>
      </w:tr>
      <w:tr w:rsidR="001A24C3" w:rsidRPr="00885FFC" w14:paraId="2432E6B5"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23B64084"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Prevádzkové náklady</w:t>
            </w:r>
          </w:p>
        </w:tc>
        <w:tc>
          <w:tcPr>
            <w:tcW w:w="1880" w:type="dxa"/>
            <w:tcBorders>
              <w:top w:val="nil"/>
              <w:left w:val="nil"/>
              <w:bottom w:val="single" w:sz="4" w:space="0" w:color="auto"/>
              <w:right w:val="single" w:sz="4" w:space="0" w:color="auto"/>
            </w:tcBorders>
            <w:shd w:val="clear" w:color="000000" w:fill="F2F2F2"/>
            <w:vAlign w:val="center"/>
            <w:hideMark/>
          </w:tcPr>
          <w:p w14:paraId="21D5DAAD"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0</w:t>
            </w:r>
          </w:p>
        </w:tc>
      </w:tr>
      <w:tr w:rsidR="001A24C3" w:rsidRPr="00885FFC" w14:paraId="7EFA665F"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4FC968A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cestujúcich</w:t>
            </w:r>
          </w:p>
        </w:tc>
        <w:tc>
          <w:tcPr>
            <w:tcW w:w="1880" w:type="dxa"/>
            <w:tcBorders>
              <w:top w:val="nil"/>
              <w:left w:val="nil"/>
              <w:bottom w:val="single" w:sz="4" w:space="0" w:color="auto"/>
              <w:right w:val="single" w:sz="4" w:space="0" w:color="auto"/>
            </w:tcBorders>
            <w:shd w:val="clear" w:color="000000" w:fill="F2F2F2"/>
            <w:vAlign w:val="center"/>
            <w:hideMark/>
          </w:tcPr>
          <w:p w14:paraId="7CC0794C"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10 739 074</w:t>
            </w:r>
          </w:p>
        </w:tc>
      </w:tr>
      <w:tr w:rsidR="001A24C3" w:rsidRPr="00885FFC" w14:paraId="2EDB0C3C"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67363DD3"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tovaru</w:t>
            </w:r>
          </w:p>
        </w:tc>
        <w:tc>
          <w:tcPr>
            <w:tcW w:w="1880" w:type="dxa"/>
            <w:tcBorders>
              <w:top w:val="nil"/>
              <w:left w:val="nil"/>
              <w:bottom w:val="single" w:sz="4" w:space="0" w:color="auto"/>
              <w:right w:val="single" w:sz="4" w:space="0" w:color="auto"/>
            </w:tcBorders>
            <w:shd w:val="clear" w:color="000000" w:fill="F2F2F2"/>
            <w:vAlign w:val="center"/>
            <w:hideMark/>
          </w:tcPr>
          <w:p w14:paraId="26EEB679"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102 638 984</w:t>
            </w:r>
          </w:p>
        </w:tc>
      </w:tr>
      <w:tr w:rsidR="001A24C3" w:rsidRPr="00885FFC" w14:paraId="6ACB67E2"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24713031"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Prevádzkové náklady vozidiel</w:t>
            </w:r>
          </w:p>
        </w:tc>
        <w:tc>
          <w:tcPr>
            <w:tcW w:w="1880" w:type="dxa"/>
            <w:tcBorders>
              <w:top w:val="nil"/>
              <w:left w:val="nil"/>
              <w:bottom w:val="single" w:sz="4" w:space="0" w:color="auto"/>
              <w:right w:val="single" w:sz="4" w:space="0" w:color="auto"/>
            </w:tcBorders>
            <w:shd w:val="clear" w:color="000000" w:fill="F2F2F2"/>
            <w:vAlign w:val="center"/>
            <w:hideMark/>
          </w:tcPr>
          <w:p w14:paraId="25528BD6"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14 810 913</w:t>
            </w:r>
          </w:p>
        </w:tc>
      </w:tr>
      <w:tr w:rsidR="001A24C3" w:rsidRPr="00885FFC" w14:paraId="358430F4"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185D2C7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Znečisťujúce látky</w:t>
            </w:r>
          </w:p>
        </w:tc>
        <w:tc>
          <w:tcPr>
            <w:tcW w:w="1880" w:type="dxa"/>
            <w:tcBorders>
              <w:top w:val="nil"/>
              <w:left w:val="nil"/>
              <w:bottom w:val="single" w:sz="4" w:space="0" w:color="auto"/>
              <w:right w:val="single" w:sz="4" w:space="0" w:color="auto"/>
            </w:tcBorders>
            <w:shd w:val="clear" w:color="000000" w:fill="F2F2F2"/>
            <w:vAlign w:val="center"/>
            <w:hideMark/>
          </w:tcPr>
          <w:p w14:paraId="497F58F3"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682 762</w:t>
            </w:r>
          </w:p>
        </w:tc>
      </w:tr>
      <w:tr w:rsidR="001A24C3" w:rsidRPr="00885FFC" w14:paraId="3A0929F9" w14:textId="77777777" w:rsidTr="00300963">
        <w:trPr>
          <w:trHeight w:val="204"/>
        </w:trPr>
        <w:tc>
          <w:tcPr>
            <w:tcW w:w="7180" w:type="dxa"/>
            <w:tcBorders>
              <w:top w:val="nil"/>
              <w:left w:val="single" w:sz="8" w:space="0" w:color="auto"/>
              <w:bottom w:val="single" w:sz="4" w:space="0" w:color="auto"/>
              <w:right w:val="single" w:sz="4" w:space="0" w:color="auto"/>
            </w:tcBorders>
            <w:shd w:val="clear" w:color="auto" w:fill="auto"/>
            <w:noWrap/>
            <w:vAlign w:val="bottom"/>
            <w:hideMark/>
          </w:tcPr>
          <w:p w14:paraId="2B56CFD7"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Skleníkové plyny</w:t>
            </w:r>
          </w:p>
        </w:tc>
        <w:tc>
          <w:tcPr>
            <w:tcW w:w="1880" w:type="dxa"/>
            <w:tcBorders>
              <w:top w:val="nil"/>
              <w:left w:val="nil"/>
              <w:bottom w:val="single" w:sz="4" w:space="0" w:color="auto"/>
              <w:right w:val="single" w:sz="4" w:space="0" w:color="auto"/>
            </w:tcBorders>
            <w:shd w:val="clear" w:color="000000" w:fill="F2F2F2"/>
            <w:vAlign w:val="center"/>
            <w:hideMark/>
          </w:tcPr>
          <w:p w14:paraId="3C7044B8"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4 514 430</w:t>
            </w:r>
          </w:p>
        </w:tc>
      </w:tr>
      <w:tr w:rsidR="001A24C3" w:rsidRPr="00885FFC" w14:paraId="57177029" w14:textId="77777777" w:rsidTr="00300963">
        <w:trPr>
          <w:trHeight w:val="216"/>
        </w:trPr>
        <w:tc>
          <w:tcPr>
            <w:tcW w:w="7180" w:type="dxa"/>
            <w:tcBorders>
              <w:top w:val="nil"/>
              <w:left w:val="single" w:sz="8" w:space="0" w:color="auto"/>
              <w:bottom w:val="nil"/>
              <w:right w:val="single" w:sz="4" w:space="0" w:color="auto"/>
            </w:tcBorders>
            <w:shd w:val="clear" w:color="auto" w:fill="auto"/>
            <w:noWrap/>
            <w:vAlign w:val="bottom"/>
            <w:hideMark/>
          </w:tcPr>
          <w:p w14:paraId="0C9C1B37"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Hluk</w:t>
            </w:r>
          </w:p>
        </w:tc>
        <w:tc>
          <w:tcPr>
            <w:tcW w:w="1880" w:type="dxa"/>
            <w:tcBorders>
              <w:top w:val="nil"/>
              <w:left w:val="nil"/>
              <w:bottom w:val="single" w:sz="4" w:space="0" w:color="auto"/>
              <w:right w:val="single" w:sz="4" w:space="0" w:color="auto"/>
            </w:tcBorders>
            <w:shd w:val="clear" w:color="000000" w:fill="F2F2F2"/>
            <w:vAlign w:val="center"/>
            <w:hideMark/>
          </w:tcPr>
          <w:p w14:paraId="5BCCB3B8"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50 590</w:t>
            </w:r>
          </w:p>
        </w:tc>
      </w:tr>
      <w:tr w:rsidR="001A24C3" w:rsidRPr="00885FFC" w14:paraId="4E3D7C7D" w14:textId="77777777" w:rsidTr="00300963">
        <w:trPr>
          <w:trHeight w:val="288"/>
        </w:trPr>
        <w:tc>
          <w:tcPr>
            <w:tcW w:w="718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3936B853"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Súčasná hodnota peňažných tokov</w:t>
            </w:r>
          </w:p>
        </w:tc>
        <w:tc>
          <w:tcPr>
            <w:tcW w:w="1880" w:type="dxa"/>
            <w:tcBorders>
              <w:top w:val="single" w:sz="8" w:space="0" w:color="auto"/>
              <w:left w:val="nil"/>
              <w:bottom w:val="single" w:sz="8" w:space="0" w:color="auto"/>
              <w:right w:val="single" w:sz="4" w:space="0" w:color="auto"/>
            </w:tcBorders>
            <w:shd w:val="clear" w:color="000000" w:fill="FFFF66"/>
            <w:vAlign w:val="center"/>
            <w:hideMark/>
          </w:tcPr>
          <w:p w14:paraId="034A236B" w14:textId="77777777" w:rsidR="001A24C3" w:rsidRPr="00885FFC" w:rsidRDefault="001A24C3" w:rsidP="00300963">
            <w:pPr>
              <w:jc w:val="center"/>
              <w:rPr>
                <w:rFonts w:ascii="Arial" w:eastAsia="Times New Roman" w:hAnsi="Arial" w:cs="Arial"/>
                <w:b/>
                <w:bCs/>
                <w:lang w:eastAsia="sk-SK"/>
              </w:rPr>
            </w:pPr>
            <w:r w:rsidRPr="00885FFC">
              <w:rPr>
                <w:rFonts w:ascii="Arial" w:eastAsia="Times New Roman" w:hAnsi="Arial" w:cs="Arial"/>
                <w:b/>
                <w:bCs/>
                <w:lang w:eastAsia="sk-SK"/>
              </w:rPr>
              <w:t>392 810 522</w:t>
            </w:r>
          </w:p>
        </w:tc>
      </w:tr>
    </w:tbl>
    <w:p w14:paraId="27DD9F3B" w14:textId="77777777" w:rsidR="001A24C3" w:rsidRPr="00CA03A6" w:rsidRDefault="001A24C3" w:rsidP="001A24C3"/>
    <w:p w14:paraId="7C32606A" w14:textId="23D7A6C7" w:rsidR="001A24C3" w:rsidRDefault="001A24C3" w:rsidP="004906C6">
      <w:pPr>
        <w:pStyle w:val="Popis"/>
        <w:keepNext/>
        <w:jc w:val="both"/>
      </w:pPr>
      <w:bookmarkStart w:id="390" w:name="_Toc83677955"/>
      <w:r>
        <w:t xml:space="preserve">Tabuľka </w:t>
      </w:r>
      <w:r w:rsidR="008B078A">
        <w:rPr>
          <w:noProof/>
        </w:rPr>
        <w:t>84</w:t>
      </w:r>
      <w:r>
        <w:tab/>
      </w:r>
      <w:r w:rsidRPr="00CA03A6">
        <w:t xml:space="preserve">Zostatková hodnota – </w:t>
      </w:r>
      <w:r>
        <w:t>odpisová metóda</w:t>
      </w:r>
      <w:bookmarkEnd w:id="390"/>
    </w:p>
    <w:tbl>
      <w:tblPr>
        <w:tblW w:w="9214" w:type="dxa"/>
        <w:tblLayout w:type="fixed"/>
        <w:tblCellMar>
          <w:left w:w="70" w:type="dxa"/>
          <w:right w:w="70" w:type="dxa"/>
        </w:tblCellMar>
        <w:tblLook w:val="04A0" w:firstRow="1" w:lastRow="0" w:firstColumn="1" w:lastColumn="0" w:noHBand="0" w:noVBand="1"/>
      </w:tblPr>
      <w:tblGrid>
        <w:gridCol w:w="3396"/>
        <w:gridCol w:w="1140"/>
        <w:gridCol w:w="1134"/>
        <w:gridCol w:w="993"/>
        <w:gridCol w:w="773"/>
        <w:gridCol w:w="751"/>
        <w:gridCol w:w="1027"/>
      </w:tblGrid>
      <w:tr w:rsidR="001A24C3" w:rsidRPr="00482340" w14:paraId="0A219370" w14:textId="77777777" w:rsidTr="00300963">
        <w:trPr>
          <w:trHeight w:val="204"/>
        </w:trPr>
        <w:tc>
          <w:tcPr>
            <w:tcW w:w="4536" w:type="dxa"/>
            <w:gridSpan w:val="2"/>
            <w:tcBorders>
              <w:top w:val="nil"/>
              <w:left w:val="nil"/>
              <w:bottom w:val="nil"/>
              <w:right w:val="nil"/>
            </w:tcBorders>
            <w:shd w:val="clear" w:color="auto" w:fill="auto"/>
            <w:noWrap/>
            <w:vAlign w:val="bottom"/>
            <w:hideMark/>
          </w:tcPr>
          <w:p w14:paraId="33A9B560" w14:textId="77777777" w:rsidR="001A24C3" w:rsidRPr="00482340" w:rsidRDefault="001A24C3" w:rsidP="00300963">
            <w:pP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2.1 Zostatková hodnota na základe životnosti infraštruktrálnych prvkov (alebo tzv. účtovné odpisy)</w:t>
            </w:r>
          </w:p>
        </w:tc>
        <w:tc>
          <w:tcPr>
            <w:tcW w:w="1134" w:type="dxa"/>
            <w:tcBorders>
              <w:top w:val="nil"/>
              <w:left w:val="nil"/>
              <w:bottom w:val="nil"/>
              <w:right w:val="nil"/>
            </w:tcBorders>
            <w:shd w:val="clear" w:color="auto" w:fill="auto"/>
            <w:noWrap/>
            <w:vAlign w:val="bottom"/>
            <w:hideMark/>
          </w:tcPr>
          <w:p w14:paraId="109FE8E3" w14:textId="77777777" w:rsidR="001A24C3" w:rsidRPr="00482340" w:rsidRDefault="001A24C3" w:rsidP="00300963">
            <w:pPr>
              <w:rPr>
                <w:rFonts w:ascii="Arial" w:eastAsia="Times New Roman" w:hAnsi="Arial" w:cs="Arial"/>
                <w:b/>
                <w:bCs/>
                <w:sz w:val="12"/>
                <w:szCs w:val="12"/>
                <w:lang w:eastAsia="sk-SK"/>
              </w:rPr>
            </w:pPr>
          </w:p>
        </w:tc>
        <w:tc>
          <w:tcPr>
            <w:tcW w:w="993" w:type="dxa"/>
            <w:tcBorders>
              <w:top w:val="nil"/>
              <w:left w:val="nil"/>
              <w:bottom w:val="nil"/>
              <w:right w:val="nil"/>
            </w:tcBorders>
            <w:shd w:val="clear" w:color="auto" w:fill="auto"/>
            <w:noWrap/>
            <w:vAlign w:val="bottom"/>
            <w:hideMark/>
          </w:tcPr>
          <w:p w14:paraId="61B60B1A" w14:textId="77777777" w:rsidR="001A24C3" w:rsidRPr="00482340" w:rsidRDefault="001A24C3" w:rsidP="00300963">
            <w:pPr>
              <w:rPr>
                <w:rFonts w:ascii="Times New Roman" w:eastAsia="Times New Roman" w:hAnsi="Times New Roman" w:cs="Times New Roman"/>
                <w:sz w:val="12"/>
                <w:szCs w:val="12"/>
                <w:lang w:eastAsia="sk-SK"/>
              </w:rPr>
            </w:pPr>
          </w:p>
        </w:tc>
        <w:tc>
          <w:tcPr>
            <w:tcW w:w="773" w:type="dxa"/>
            <w:tcBorders>
              <w:top w:val="nil"/>
              <w:left w:val="nil"/>
              <w:bottom w:val="nil"/>
              <w:right w:val="nil"/>
            </w:tcBorders>
            <w:shd w:val="clear" w:color="auto" w:fill="auto"/>
            <w:noWrap/>
            <w:vAlign w:val="bottom"/>
            <w:hideMark/>
          </w:tcPr>
          <w:p w14:paraId="1FD4DEF5" w14:textId="77777777" w:rsidR="001A24C3" w:rsidRPr="00482340" w:rsidRDefault="001A24C3" w:rsidP="00300963">
            <w:pPr>
              <w:rPr>
                <w:rFonts w:ascii="Times New Roman" w:eastAsia="Times New Roman" w:hAnsi="Times New Roman" w:cs="Times New Roman"/>
                <w:sz w:val="12"/>
                <w:szCs w:val="12"/>
                <w:lang w:eastAsia="sk-SK"/>
              </w:rPr>
            </w:pPr>
          </w:p>
        </w:tc>
        <w:tc>
          <w:tcPr>
            <w:tcW w:w="751" w:type="dxa"/>
            <w:tcBorders>
              <w:top w:val="nil"/>
              <w:left w:val="nil"/>
              <w:bottom w:val="nil"/>
              <w:right w:val="single" w:sz="4" w:space="0" w:color="auto"/>
            </w:tcBorders>
            <w:shd w:val="clear" w:color="auto" w:fill="auto"/>
            <w:noWrap/>
            <w:vAlign w:val="bottom"/>
            <w:hideMark/>
          </w:tcPr>
          <w:p w14:paraId="447A0FCE" w14:textId="77777777" w:rsidR="001A24C3" w:rsidRPr="00482340" w:rsidRDefault="001A24C3" w:rsidP="00300963">
            <w:pPr>
              <w:rPr>
                <w:rFonts w:ascii="Times New Roman" w:eastAsia="Times New Roman" w:hAnsi="Times New Roman" w:cs="Times New Roman"/>
                <w:sz w:val="12"/>
                <w:szCs w:val="12"/>
                <w:lang w:eastAsia="sk-SK"/>
              </w:rPr>
            </w:pPr>
          </w:p>
        </w:tc>
        <w:tc>
          <w:tcPr>
            <w:tcW w:w="1027" w:type="dxa"/>
            <w:tcBorders>
              <w:top w:val="single" w:sz="8" w:space="0" w:color="auto"/>
              <w:left w:val="single" w:sz="4" w:space="0" w:color="auto"/>
              <w:bottom w:val="nil"/>
              <w:right w:val="single" w:sz="8" w:space="0" w:color="auto"/>
            </w:tcBorders>
            <w:shd w:val="clear" w:color="auto" w:fill="auto"/>
            <w:noWrap/>
            <w:vAlign w:val="bottom"/>
            <w:hideMark/>
          </w:tcPr>
          <w:p w14:paraId="19BD3186" w14:textId="77777777" w:rsidR="001A24C3" w:rsidRPr="00482340" w:rsidRDefault="001A24C3" w:rsidP="00300963">
            <w:pPr>
              <w:jc w:val="cente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ekonomická</w:t>
            </w:r>
          </w:p>
        </w:tc>
      </w:tr>
      <w:tr w:rsidR="001A24C3" w:rsidRPr="00482340" w14:paraId="25986CF9" w14:textId="77777777" w:rsidTr="00300963">
        <w:trPr>
          <w:trHeight w:val="1020"/>
        </w:trPr>
        <w:tc>
          <w:tcPr>
            <w:tcW w:w="3396"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4521D42D" w14:textId="77777777" w:rsidR="001A24C3" w:rsidRPr="00482340" w:rsidRDefault="001A24C3" w:rsidP="00300963">
            <w:pP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Infraštrukturálny prvok</w:t>
            </w:r>
          </w:p>
        </w:tc>
        <w:tc>
          <w:tcPr>
            <w:tcW w:w="1140" w:type="dxa"/>
            <w:tcBorders>
              <w:top w:val="single" w:sz="4" w:space="0" w:color="auto"/>
              <w:left w:val="nil"/>
              <w:bottom w:val="single" w:sz="4" w:space="0" w:color="auto"/>
              <w:right w:val="single" w:sz="4" w:space="0" w:color="auto"/>
            </w:tcBorders>
            <w:shd w:val="clear" w:color="000000" w:fill="D9D9D9"/>
            <w:vAlign w:val="bottom"/>
            <w:hideMark/>
          </w:tcPr>
          <w:p w14:paraId="3DD5ADCC" w14:textId="77777777" w:rsidR="001A24C3" w:rsidRPr="00482340" w:rsidRDefault="001A24C3" w:rsidP="00300963">
            <w:pPr>
              <w:jc w:val="cente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Životnosť v rokoch</w:t>
            </w:r>
          </w:p>
        </w:tc>
        <w:tc>
          <w:tcPr>
            <w:tcW w:w="1134" w:type="dxa"/>
            <w:tcBorders>
              <w:top w:val="single" w:sz="4" w:space="0" w:color="auto"/>
              <w:left w:val="nil"/>
              <w:bottom w:val="single" w:sz="4" w:space="0" w:color="auto"/>
              <w:right w:val="single" w:sz="4" w:space="0" w:color="auto"/>
            </w:tcBorders>
            <w:shd w:val="clear" w:color="000000" w:fill="D9D9D9"/>
            <w:vAlign w:val="bottom"/>
            <w:hideMark/>
          </w:tcPr>
          <w:p w14:paraId="497930B8" w14:textId="77777777" w:rsidR="001A24C3" w:rsidRPr="00482340" w:rsidRDefault="001A24C3" w:rsidP="00300963">
            <w:pPr>
              <w:jc w:val="cente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Obdobie prevádzky v rámci referenčného obdobia</w:t>
            </w:r>
          </w:p>
        </w:tc>
        <w:tc>
          <w:tcPr>
            <w:tcW w:w="993" w:type="dxa"/>
            <w:tcBorders>
              <w:top w:val="single" w:sz="4" w:space="0" w:color="auto"/>
              <w:left w:val="nil"/>
              <w:bottom w:val="single" w:sz="4" w:space="0" w:color="auto"/>
              <w:right w:val="single" w:sz="4" w:space="0" w:color="auto"/>
            </w:tcBorders>
            <w:shd w:val="clear" w:color="000000" w:fill="D9D9D9"/>
            <w:vAlign w:val="bottom"/>
            <w:hideMark/>
          </w:tcPr>
          <w:p w14:paraId="494ED2DE" w14:textId="77777777" w:rsidR="001A24C3" w:rsidRPr="00482340" w:rsidRDefault="001A24C3" w:rsidP="00300963">
            <w:pPr>
              <w:jc w:val="cente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Nevyhnutnosť výmeny</w:t>
            </w:r>
          </w:p>
        </w:tc>
        <w:tc>
          <w:tcPr>
            <w:tcW w:w="773" w:type="dxa"/>
            <w:tcBorders>
              <w:top w:val="single" w:sz="4" w:space="0" w:color="auto"/>
              <w:left w:val="nil"/>
              <w:bottom w:val="single" w:sz="4" w:space="0" w:color="auto"/>
              <w:right w:val="single" w:sz="4" w:space="0" w:color="auto"/>
            </w:tcBorders>
            <w:shd w:val="clear" w:color="000000" w:fill="D9D9D9"/>
            <w:vAlign w:val="bottom"/>
            <w:hideMark/>
          </w:tcPr>
          <w:p w14:paraId="6FFC682F" w14:textId="77777777" w:rsidR="001A24C3" w:rsidRPr="00482340" w:rsidRDefault="001A24C3" w:rsidP="00300963">
            <w:pPr>
              <w:jc w:val="cente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Životnosť (vrátane výmeny)</w:t>
            </w:r>
          </w:p>
        </w:tc>
        <w:tc>
          <w:tcPr>
            <w:tcW w:w="751" w:type="dxa"/>
            <w:tcBorders>
              <w:top w:val="single" w:sz="4" w:space="0" w:color="auto"/>
              <w:left w:val="nil"/>
              <w:bottom w:val="single" w:sz="4" w:space="0" w:color="auto"/>
              <w:right w:val="single" w:sz="4" w:space="0" w:color="auto"/>
            </w:tcBorders>
            <w:shd w:val="clear" w:color="000000" w:fill="D9D9D9"/>
            <w:vAlign w:val="bottom"/>
            <w:hideMark/>
          </w:tcPr>
          <w:p w14:paraId="4135D599" w14:textId="77777777" w:rsidR="001A24C3" w:rsidRPr="00482340" w:rsidRDefault="001A24C3" w:rsidP="00300963">
            <w:pPr>
              <w:jc w:val="cente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Zostávajúca životnosť v %*</w:t>
            </w:r>
          </w:p>
        </w:tc>
        <w:tc>
          <w:tcPr>
            <w:tcW w:w="1027" w:type="dxa"/>
            <w:tcBorders>
              <w:top w:val="single" w:sz="4" w:space="0" w:color="auto"/>
              <w:left w:val="single" w:sz="4" w:space="0" w:color="auto"/>
              <w:bottom w:val="single" w:sz="4" w:space="0" w:color="auto"/>
              <w:right w:val="single" w:sz="8" w:space="0" w:color="auto"/>
            </w:tcBorders>
            <w:shd w:val="clear" w:color="000000" w:fill="D9D9D9"/>
            <w:vAlign w:val="bottom"/>
            <w:hideMark/>
          </w:tcPr>
          <w:p w14:paraId="4950389B" w14:textId="77777777" w:rsidR="001A24C3" w:rsidRPr="00482340" w:rsidRDefault="001A24C3" w:rsidP="00300963">
            <w:pPr>
              <w:jc w:val="cente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Zostatková hodnota</w:t>
            </w:r>
          </w:p>
        </w:tc>
      </w:tr>
      <w:tr w:rsidR="001A24C3" w:rsidRPr="00482340" w14:paraId="6D5AB82C"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63995E0D"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Pozemky</w:t>
            </w:r>
          </w:p>
        </w:tc>
        <w:tc>
          <w:tcPr>
            <w:tcW w:w="1140" w:type="dxa"/>
            <w:tcBorders>
              <w:top w:val="nil"/>
              <w:left w:val="nil"/>
              <w:bottom w:val="single" w:sz="4" w:space="0" w:color="auto"/>
              <w:right w:val="single" w:sz="4" w:space="0" w:color="auto"/>
            </w:tcBorders>
            <w:shd w:val="clear" w:color="auto" w:fill="auto"/>
            <w:vAlign w:val="bottom"/>
            <w:hideMark/>
          </w:tcPr>
          <w:p w14:paraId="0DBA1183"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nekonečná</w:t>
            </w:r>
          </w:p>
        </w:tc>
        <w:tc>
          <w:tcPr>
            <w:tcW w:w="1134" w:type="dxa"/>
            <w:tcBorders>
              <w:top w:val="nil"/>
              <w:left w:val="nil"/>
              <w:bottom w:val="single" w:sz="4" w:space="0" w:color="auto"/>
              <w:right w:val="single" w:sz="4" w:space="0" w:color="auto"/>
            </w:tcBorders>
            <w:shd w:val="clear" w:color="auto" w:fill="auto"/>
            <w:vAlign w:val="center"/>
            <w:hideMark/>
          </w:tcPr>
          <w:p w14:paraId="363E7A93"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15F124C8"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vAlign w:val="bottom"/>
            <w:hideMark/>
          </w:tcPr>
          <w:p w14:paraId="5F1CDC27"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nekonečná</w:t>
            </w:r>
          </w:p>
        </w:tc>
        <w:tc>
          <w:tcPr>
            <w:tcW w:w="751" w:type="dxa"/>
            <w:tcBorders>
              <w:top w:val="nil"/>
              <w:left w:val="nil"/>
              <w:bottom w:val="single" w:sz="4" w:space="0" w:color="auto"/>
              <w:right w:val="single" w:sz="4" w:space="0" w:color="auto"/>
            </w:tcBorders>
            <w:shd w:val="clear" w:color="auto" w:fill="auto"/>
            <w:noWrap/>
            <w:vAlign w:val="bottom"/>
            <w:hideMark/>
          </w:tcPr>
          <w:p w14:paraId="7136B9A7"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nekonečná</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5B7D34AD"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1 590 900,00</w:t>
            </w:r>
          </w:p>
        </w:tc>
      </w:tr>
      <w:tr w:rsidR="001A24C3" w:rsidRPr="00482340" w14:paraId="00015FC6"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4C585C55"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Mosty železobetónové</w:t>
            </w:r>
          </w:p>
        </w:tc>
        <w:tc>
          <w:tcPr>
            <w:tcW w:w="1140" w:type="dxa"/>
            <w:tcBorders>
              <w:top w:val="nil"/>
              <w:left w:val="nil"/>
              <w:bottom w:val="single" w:sz="4" w:space="0" w:color="auto"/>
              <w:right w:val="single" w:sz="4" w:space="0" w:color="auto"/>
            </w:tcBorders>
            <w:shd w:val="clear" w:color="auto" w:fill="auto"/>
            <w:noWrap/>
            <w:vAlign w:val="bottom"/>
            <w:hideMark/>
          </w:tcPr>
          <w:p w14:paraId="74DAF587"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100</w:t>
            </w:r>
          </w:p>
        </w:tc>
        <w:tc>
          <w:tcPr>
            <w:tcW w:w="1134" w:type="dxa"/>
            <w:tcBorders>
              <w:top w:val="nil"/>
              <w:left w:val="nil"/>
              <w:bottom w:val="single" w:sz="4" w:space="0" w:color="auto"/>
              <w:right w:val="single" w:sz="4" w:space="0" w:color="auto"/>
            </w:tcBorders>
            <w:shd w:val="clear" w:color="auto" w:fill="auto"/>
            <w:vAlign w:val="center"/>
            <w:hideMark/>
          </w:tcPr>
          <w:p w14:paraId="0F0A3548"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15AABABD"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51CAA53F"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100</w:t>
            </w:r>
          </w:p>
        </w:tc>
        <w:tc>
          <w:tcPr>
            <w:tcW w:w="751" w:type="dxa"/>
            <w:tcBorders>
              <w:top w:val="nil"/>
              <w:left w:val="nil"/>
              <w:bottom w:val="single" w:sz="4" w:space="0" w:color="auto"/>
              <w:right w:val="single" w:sz="4" w:space="0" w:color="auto"/>
            </w:tcBorders>
            <w:shd w:val="clear" w:color="auto" w:fill="auto"/>
            <w:noWrap/>
            <w:vAlign w:val="bottom"/>
            <w:hideMark/>
          </w:tcPr>
          <w:p w14:paraId="663251C1"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74%</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33773A39"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0,00</w:t>
            </w:r>
          </w:p>
        </w:tc>
      </w:tr>
      <w:tr w:rsidR="001A24C3" w:rsidRPr="00482340" w14:paraId="393DE9A0"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4FC3D1D8"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Mosty oceľové a priepusty</w:t>
            </w:r>
          </w:p>
        </w:tc>
        <w:tc>
          <w:tcPr>
            <w:tcW w:w="1140" w:type="dxa"/>
            <w:tcBorders>
              <w:top w:val="nil"/>
              <w:left w:val="nil"/>
              <w:bottom w:val="single" w:sz="4" w:space="0" w:color="auto"/>
              <w:right w:val="single" w:sz="4" w:space="0" w:color="auto"/>
            </w:tcBorders>
            <w:shd w:val="clear" w:color="auto" w:fill="auto"/>
            <w:noWrap/>
            <w:vAlign w:val="bottom"/>
            <w:hideMark/>
          </w:tcPr>
          <w:p w14:paraId="26563E0A"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80</w:t>
            </w:r>
          </w:p>
        </w:tc>
        <w:tc>
          <w:tcPr>
            <w:tcW w:w="1134" w:type="dxa"/>
            <w:tcBorders>
              <w:top w:val="nil"/>
              <w:left w:val="nil"/>
              <w:bottom w:val="single" w:sz="4" w:space="0" w:color="auto"/>
              <w:right w:val="single" w:sz="4" w:space="0" w:color="auto"/>
            </w:tcBorders>
            <w:shd w:val="clear" w:color="auto" w:fill="auto"/>
            <w:vAlign w:val="center"/>
            <w:hideMark/>
          </w:tcPr>
          <w:p w14:paraId="5596BC8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12CC72E6"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486096D4"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80</w:t>
            </w:r>
          </w:p>
        </w:tc>
        <w:tc>
          <w:tcPr>
            <w:tcW w:w="751" w:type="dxa"/>
            <w:tcBorders>
              <w:top w:val="nil"/>
              <w:left w:val="nil"/>
              <w:bottom w:val="single" w:sz="4" w:space="0" w:color="auto"/>
              <w:right w:val="single" w:sz="4" w:space="0" w:color="auto"/>
            </w:tcBorders>
            <w:shd w:val="clear" w:color="auto" w:fill="auto"/>
            <w:noWrap/>
            <w:vAlign w:val="bottom"/>
            <w:hideMark/>
          </w:tcPr>
          <w:p w14:paraId="3C87227A"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68%</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27426588"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17 744 991,89</w:t>
            </w:r>
          </w:p>
        </w:tc>
      </w:tr>
      <w:tr w:rsidR="001A24C3" w:rsidRPr="00482340" w14:paraId="09CB8A84"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17386316"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Tunely</w:t>
            </w:r>
          </w:p>
        </w:tc>
        <w:tc>
          <w:tcPr>
            <w:tcW w:w="1140" w:type="dxa"/>
            <w:tcBorders>
              <w:top w:val="nil"/>
              <w:left w:val="nil"/>
              <w:bottom w:val="single" w:sz="4" w:space="0" w:color="auto"/>
              <w:right w:val="single" w:sz="4" w:space="0" w:color="auto"/>
            </w:tcBorders>
            <w:shd w:val="clear" w:color="auto" w:fill="auto"/>
            <w:noWrap/>
            <w:vAlign w:val="bottom"/>
            <w:hideMark/>
          </w:tcPr>
          <w:p w14:paraId="693E132A"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80</w:t>
            </w:r>
          </w:p>
        </w:tc>
        <w:tc>
          <w:tcPr>
            <w:tcW w:w="1134" w:type="dxa"/>
            <w:tcBorders>
              <w:top w:val="nil"/>
              <w:left w:val="nil"/>
              <w:bottom w:val="single" w:sz="4" w:space="0" w:color="auto"/>
              <w:right w:val="single" w:sz="4" w:space="0" w:color="auto"/>
            </w:tcBorders>
            <w:shd w:val="clear" w:color="auto" w:fill="auto"/>
            <w:vAlign w:val="center"/>
            <w:hideMark/>
          </w:tcPr>
          <w:p w14:paraId="0D7219BD"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6D521537"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0104C99C"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80</w:t>
            </w:r>
          </w:p>
        </w:tc>
        <w:tc>
          <w:tcPr>
            <w:tcW w:w="751" w:type="dxa"/>
            <w:tcBorders>
              <w:top w:val="nil"/>
              <w:left w:val="nil"/>
              <w:bottom w:val="single" w:sz="4" w:space="0" w:color="auto"/>
              <w:right w:val="single" w:sz="4" w:space="0" w:color="auto"/>
            </w:tcBorders>
            <w:shd w:val="clear" w:color="auto" w:fill="auto"/>
            <w:noWrap/>
            <w:vAlign w:val="bottom"/>
            <w:hideMark/>
          </w:tcPr>
          <w:p w14:paraId="2FB70511"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68%</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1B4A3B24"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106 764 315,49</w:t>
            </w:r>
          </w:p>
        </w:tc>
      </w:tr>
      <w:tr w:rsidR="001A24C3" w:rsidRPr="00482340" w14:paraId="0A544B12"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608DAF26"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Budovy</w:t>
            </w:r>
          </w:p>
        </w:tc>
        <w:tc>
          <w:tcPr>
            <w:tcW w:w="1140" w:type="dxa"/>
            <w:tcBorders>
              <w:top w:val="nil"/>
              <w:left w:val="nil"/>
              <w:bottom w:val="single" w:sz="4" w:space="0" w:color="auto"/>
              <w:right w:val="single" w:sz="4" w:space="0" w:color="auto"/>
            </w:tcBorders>
            <w:shd w:val="clear" w:color="auto" w:fill="auto"/>
            <w:noWrap/>
            <w:vAlign w:val="bottom"/>
            <w:hideMark/>
          </w:tcPr>
          <w:p w14:paraId="3685280C"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60</w:t>
            </w:r>
          </w:p>
        </w:tc>
        <w:tc>
          <w:tcPr>
            <w:tcW w:w="1134" w:type="dxa"/>
            <w:tcBorders>
              <w:top w:val="nil"/>
              <w:left w:val="nil"/>
              <w:bottom w:val="single" w:sz="4" w:space="0" w:color="auto"/>
              <w:right w:val="single" w:sz="4" w:space="0" w:color="auto"/>
            </w:tcBorders>
            <w:shd w:val="clear" w:color="auto" w:fill="auto"/>
            <w:vAlign w:val="center"/>
            <w:hideMark/>
          </w:tcPr>
          <w:p w14:paraId="2D5E316C"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119AC6A4"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79C34336"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60</w:t>
            </w:r>
          </w:p>
        </w:tc>
        <w:tc>
          <w:tcPr>
            <w:tcW w:w="751" w:type="dxa"/>
            <w:tcBorders>
              <w:top w:val="nil"/>
              <w:left w:val="nil"/>
              <w:bottom w:val="single" w:sz="4" w:space="0" w:color="auto"/>
              <w:right w:val="single" w:sz="4" w:space="0" w:color="auto"/>
            </w:tcBorders>
            <w:shd w:val="clear" w:color="auto" w:fill="auto"/>
            <w:noWrap/>
            <w:vAlign w:val="bottom"/>
            <w:hideMark/>
          </w:tcPr>
          <w:p w14:paraId="52F67350"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57%</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53B2B847"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3 099 442,76</w:t>
            </w:r>
          </w:p>
        </w:tc>
      </w:tr>
      <w:tr w:rsidR="001A24C3" w:rsidRPr="00482340" w14:paraId="0D7CBDE4"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5ED0ABC2"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Nástupištia</w:t>
            </w:r>
          </w:p>
        </w:tc>
        <w:tc>
          <w:tcPr>
            <w:tcW w:w="1140" w:type="dxa"/>
            <w:tcBorders>
              <w:top w:val="nil"/>
              <w:left w:val="nil"/>
              <w:bottom w:val="single" w:sz="4" w:space="0" w:color="auto"/>
              <w:right w:val="single" w:sz="4" w:space="0" w:color="auto"/>
            </w:tcBorders>
            <w:shd w:val="clear" w:color="auto" w:fill="auto"/>
            <w:noWrap/>
            <w:vAlign w:val="bottom"/>
            <w:hideMark/>
          </w:tcPr>
          <w:p w14:paraId="065A107D"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40</w:t>
            </w:r>
          </w:p>
        </w:tc>
        <w:tc>
          <w:tcPr>
            <w:tcW w:w="1134" w:type="dxa"/>
            <w:tcBorders>
              <w:top w:val="nil"/>
              <w:left w:val="nil"/>
              <w:bottom w:val="single" w:sz="4" w:space="0" w:color="auto"/>
              <w:right w:val="single" w:sz="4" w:space="0" w:color="auto"/>
            </w:tcBorders>
            <w:shd w:val="clear" w:color="auto" w:fill="auto"/>
            <w:vAlign w:val="center"/>
            <w:hideMark/>
          </w:tcPr>
          <w:p w14:paraId="48374B2D"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0C4BC6E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521B5A2C"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40</w:t>
            </w:r>
          </w:p>
        </w:tc>
        <w:tc>
          <w:tcPr>
            <w:tcW w:w="751" w:type="dxa"/>
            <w:tcBorders>
              <w:top w:val="nil"/>
              <w:left w:val="nil"/>
              <w:bottom w:val="single" w:sz="4" w:space="0" w:color="auto"/>
              <w:right w:val="single" w:sz="4" w:space="0" w:color="auto"/>
            </w:tcBorders>
            <w:shd w:val="clear" w:color="auto" w:fill="auto"/>
            <w:noWrap/>
            <w:vAlign w:val="bottom"/>
            <w:hideMark/>
          </w:tcPr>
          <w:p w14:paraId="7E5F2F4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35%</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24A5F38A"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3 297 802,36</w:t>
            </w:r>
          </w:p>
        </w:tc>
      </w:tr>
      <w:tr w:rsidR="001A24C3" w:rsidRPr="00482340" w14:paraId="24516D10"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058D959E"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Cestné komunikácie</w:t>
            </w:r>
          </w:p>
        </w:tc>
        <w:tc>
          <w:tcPr>
            <w:tcW w:w="1140" w:type="dxa"/>
            <w:tcBorders>
              <w:top w:val="nil"/>
              <w:left w:val="nil"/>
              <w:bottom w:val="single" w:sz="4" w:space="0" w:color="auto"/>
              <w:right w:val="single" w:sz="4" w:space="0" w:color="auto"/>
            </w:tcBorders>
            <w:shd w:val="clear" w:color="auto" w:fill="auto"/>
            <w:noWrap/>
            <w:vAlign w:val="bottom"/>
            <w:hideMark/>
          </w:tcPr>
          <w:p w14:paraId="23B1944F"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50</w:t>
            </w:r>
          </w:p>
        </w:tc>
        <w:tc>
          <w:tcPr>
            <w:tcW w:w="1134" w:type="dxa"/>
            <w:tcBorders>
              <w:top w:val="nil"/>
              <w:left w:val="nil"/>
              <w:bottom w:val="single" w:sz="4" w:space="0" w:color="auto"/>
              <w:right w:val="single" w:sz="4" w:space="0" w:color="auto"/>
            </w:tcBorders>
            <w:shd w:val="clear" w:color="auto" w:fill="auto"/>
            <w:vAlign w:val="center"/>
            <w:hideMark/>
          </w:tcPr>
          <w:p w14:paraId="6E93603B"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26DFA6DB"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6D10D6E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50</w:t>
            </w:r>
          </w:p>
        </w:tc>
        <w:tc>
          <w:tcPr>
            <w:tcW w:w="751" w:type="dxa"/>
            <w:tcBorders>
              <w:top w:val="nil"/>
              <w:left w:val="nil"/>
              <w:bottom w:val="single" w:sz="4" w:space="0" w:color="auto"/>
              <w:right w:val="single" w:sz="4" w:space="0" w:color="auto"/>
            </w:tcBorders>
            <w:shd w:val="clear" w:color="auto" w:fill="auto"/>
            <w:noWrap/>
            <w:vAlign w:val="bottom"/>
            <w:hideMark/>
          </w:tcPr>
          <w:p w14:paraId="3A124B38"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48%</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6ADC6667"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938 363,34</w:t>
            </w:r>
          </w:p>
        </w:tc>
      </w:tr>
      <w:tr w:rsidR="001A24C3" w:rsidRPr="00482340" w14:paraId="027CE5F3"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62D1CB2A"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xml:space="preserve">Trať – železničný spodok </w:t>
            </w:r>
          </w:p>
        </w:tc>
        <w:tc>
          <w:tcPr>
            <w:tcW w:w="1140" w:type="dxa"/>
            <w:tcBorders>
              <w:top w:val="nil"/>
              <w:left w:val="nil"/>
              <w:bottom w:val="single" w:sz="4" w:space="0" w:color="auto"/>
              <w:right w:val="single" w:sz="4" w:space="0" w:color="auto"/>
            </w:tcBorders>
            <w:shd w:val="clear" w:color="auto" w:fill="auto"/>
            <w:noWrap/>
            <w:vAlign w:val="bottom"/>
            <w:hideMark/>
          </w:tcPr>
          <w:p w14:paraId="256BE79F"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50</w:t>
            </w:r>
          </w:p>
        </w:tc>
        <w:tc>
          <w:tcPr>
            <w:tcW w:w="1134" w:type="dxa"/>
            <w:tcBorders>
              <w:top w:val="nil"/>
              <w:left w:val="nil"/>
              <w:bottom w:val="single" w:sz="4" w:space="0" w:color="auto"/>
              <w:right w:val="single" w:sz="4" w:space="0" w:color="auto"/>
            </w:tcBorders>
            <w:shd w:val="clear" w:color="auto" w:fill="auto"/>
            <w:vAlign w:val="center"/>
            <w:hideMark/>
          </w:tcPr>
          <w:p w14:paraId="37A17EAD"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49858A5D"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2319F19F"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50</w:t>
            </w:r>
          </w:p>
        </w:tc>
        <w:tc>
          <w:tcPr>
            <w:tcW w:w="751" w:type="dxa"/>
            <w:tcBorders>
              <w:top w:val="nil"/>
              <w:left w:val="nil"/>
              <w:bottom w:val="single" w:sz="4" w:space="0" w:color="auto"/>
              <w:right w:val="single" w:sz="4" w:space="0" w:color="auto"/>
            </w:tcBorders>
            <w:shd w:val="clear" w:color="auto" w:fill="auto"/>
            <w:noWrap/>
            <w:vAlign w:val="bottom"/>
            <w:hideMark/>
          </w:tcPr>
          <w:p w14:paraId="35572074"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48%</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6A84C4C0"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9 511 789,63</w:t>
            </w:r>
          </w:p>
        </w:tc>
      </w:tr>
      <w:tr w:rsidR="001A24C3" w:rsidRPr="00482340" w14:paraId="01962DE2"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0C8E59D9"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xml:space="preserve">Trať – železničný zvršok </w:t>
            </w:r>
          </w:p>
        </w:tc>
        <w:tc>
          <w:tcPr>
            <w:tcW w:w="1140" w:type="dxa"/>
            <w:tcBorders>
              <w:top w:val="nil"/>
              <w:left w:val="nil"/>
              <w:bottom w:val="single" w:sz="4" w:space="0" w:color="auto"/>
              <w:right w:val="single" w:sz="4" w:space="0" w:color="auto"/>
            </w:tcBorders>
            <w:shd w:val="clear" w:color="auto" w:fill="auto"/>
            <w:noWrap/>
            <w:vAlign w:val="bottom"/>
            <w:hideMark/>
          </w:tcPr>
          <w:p w14:paraId="4C1980A6"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1134" w:type="dxa"/>
            <w:tcBorders>
              <w:top w:val="nil"/>
              <w:left w:val="nil"/>
              <w:bottom w:val="single" w:sz="4" w:space="0" w:color="auto"/>
              <w:right w:val="single" w:sz="4" w:space="0" w:color="auto"/>
            </w:tcBorders>
            <w:shd w:val="clear" w:color="auto" w:fill="auto"/>
            <w:vAlign w:val="center"/>
            <w:hideMark/>
          </w:tcPr>
          <w:p w14:paraId="09692E3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231F07AB"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7875DF1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751" w:type="dxa"/>
            <w:tcBorders>
              <w:top w:val="nil"/>
              <w:left w:val="nil"/>
              <w:bottom w:val="single" w:sz="4" w:space="0" w:color="auto"/>
              <w:right w:val="single" w:sz="4" w:space="0" w:color="auto"/>
            </w:tcBorders>
            <w:shd w:val="clear" w:color="auto" w:fill="auto"/>
            <w:noWrap/>
            <w:vAlign w:val="bottom"/>
            <w:hideMark/>
          </w:tcPr>
          <w:p w14:paraId="5CFD845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13%</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04CB2D51"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4 532 115,28</w:t>
            </w:r>
          </w:p>
        </w:tc>
      </w:tr>
      <w:tr w:rsidR="001A24C3" w:rsidRPr="00482340" w14:paraId="41F0CFC1"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796AE614"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Podporné a oporné múry, spevnenie svahu</w:t>
            </w:r>
          </w:p>
        </w:tc>
        <w:tc>
          <w:tcPr>
            <w:tcW w:w="1140" w:type="dxa"/>
            <w:tcBorders>
              <w:top w:val="nil"/>
              <w:left w:val="nil"/>
              <w:bottom w:val="single" w:sz="4" w:space="0" w:color="auto"/>
              <w:right w:val="single" w:sz="4" w:space="0" w:color="auto"/>
            </w:tcBorders>
            <w:shd w:val="clear" w:color="auto" w:fill="auto"/>
            <w:noWrap/>
            <w:vAlign w:val="bottom"/>
            <w:hideMark/>
          </w:tcPr>
          <w:p w14:paraId="15098933"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50</w:t>
            </w:r>
          </w:p>
        </w:tc>
        <w:tc>
          <w:tcPr>
            <w:tcW w:w="1134" w:type="dxa"/>
            <w:tcBorders>
              <w:top w:val="nil"/>
              <w:left w:val="nil"/>
              <w:bottom w:val="single" w:sz="4" w:space="0" w:color="auto"/>
              <w:right w:val="single" w:sz="4" w:space="0" w:color="auto"/>
            </w:tcBorders>
            <w:shd w:val="clear" w:color="auto" w:fill="auto"/>
            <w:vAlign w:val="center"/>
            <w:hideMark/>
          </w:tcPr>
          <w:p w14:paraId="29E1392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405B506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0A28968D"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50</w:t>
            </w:r>
          </w:p>
        </w:tc>
        <w:tc>
          <w:tcPr>
            <w:tcW w:w="751" w:type="dxa"/>
            <w:tcBorders>
              <w:top w:val="nil"/>
              <w:left w:val="nil"/>
              <w:bottom w:val="single" w:sz="4" w:space="0" w:color="auto"/>
              <w:right w:val="single" w:sz="4" w:space="0" w:color="auto"/>
            </w:tcBorders>
            <w:shd w:val="clear" w:color="auto" w:fill="auto"/>
            <w:noWrap/>
            <w:vAlign w:val="bottom"/>
            <w:hideMark/>
          </w:tcPr>
          <w:p w14:paraId="522460DC"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48%</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58A4B641"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12 100 397,04</w:t>
            </w:r>
          </w:p>
        </w:tc>
      </w:tr>
      <w:tr w:rsidR="001A24C3" w:rsidRPr="00482340" w14:paraId="0839D56B"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4E5EE76B"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Elektrifikácia – trakčné napájacie stanice, trakčné vedenia</w:t>
            </w:r>
          </w:p>
        </w:tc>
        <w:tc>
          <w:tcPr>
            <w:tcW w:w="1140" w:type="dxa"/>
            <w:tcBorders>
              <w:top w:val="nil"/>
              <w:left w:val="nil"/>
              <w:bottom w:val="single" w:sz="4" w:space="0" w:color="auto"/>
              <w:right w:val="single" w:sz="4" w:space="0" w:color="auto"/>
            </w:tcBorders>
            <w:shd w:val="clear" w:color="auto" w:fill="auto"/>
            <w:noWrap/>
            <w:vAlign w:val="bottom"/>
            <w:hideMark/>
          </w:tcPr>
          <w:p w14:paraId="29E0D894"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1134" w:type="dxa"/>
            <w:tcBorders>
              <w:top w:val="nil"/>
              <w:left w:val="nil"/>
              <w:bottom w:val="single" w:sz="4" w:space="0" w:color="auto"/>
              <w:right w:val="single" w:sz="4" w:space="0" w:color="auto"/>
            </w:tcBorders>
            <w:shd w:val="clear" w:color="auto" w:fill="auto"/>
            <w:vAlign w:val="center"/>
            <w:hideMark/>
          </w:tcPr>
          <w:p w14:paraId="31E15E0A"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2DE168EB"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3B82DD8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751" w:type="dxa"/>
            <w:tcBorders>
              <w:top w:val="nil"/>
              <w:left w:val="nil"/>
              <w:bottom w:val="single" w:sz="4" w:space="0" w:color="auto"/>
              <w:right w:val="single" w:sz="4" w:space="0" w:color="auto"/>
            </w:tcBorders>
            <w:shd w:val="clear" w:color="auto" w:fill="auto"/>
            <w:noWrap/>
            <w:vAlign w:val="bottom"/>
            <w:hideMark/>
          </w:tcPr>
          <w:p w14:paraId="267A76CA"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13%</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432BF3EE"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3 975 094,24</w:t>
            </w:r>
          </w:p>
        </w:tc>
      </w:tr>
      <w:tr w:rsidR="001A24C3" w:rsidRPr="00482340" w14:paraId="37AEC68F"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2DBD2930"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Oznamovacie a telekomunikačné zariadenia</w:t>
            </w:r>
          </w:p>
        </w:tc>
        <w:tc>
          <w:tcPr>
            <w:tcW w:w="1140" w:type="dxa"/>
            <w:tcBorders>
              <w:top w:val="nil"/>
              <w:left w:val="nil"/>
              <w:bottom w:val="single" w:sz="4" w:space="0" w:color="auto"/>
              <w:right w:val="single" w:sz="4" w:space="0" w:color="auto"/>
            </w:tcBorders>
            <w:shd w:val="clear" w:color="auto" w:fill="auto"/>
            <w:noWrap/>
            <w:vAlign w:val="bottom"/>
            <w:hideMark/>
          </w:tcPr>
          <w:p w14:paraId="4CE1DC92"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20</w:t>
            </w:r>
          </w:p>
        </w:tc>
        <w:tc>
          <w:tcPr>
            <w:tcW w:w="1134" w:type="dxa"/>
            <w:tcBorders>
              <w:top w:val="nil"/>
              <w:left w:val="nil"/>
              <w:bottom w:val="single" w:sz="4" w:space="0" w:color="auto"/>
              <w:right w:val="single" w:sz="4" w:space="0" w:color="auto"/>
            </w:tcBorders>
            <w:shd w:val="clear" w:color="auto" w:fill="auto"/>
            <w:vAlign w:val="center"/>
            <w:hideMark/>
          </w:tcPr>
          <w:p w14:paraId="0FD7A77B"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5F40D660"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w:t>
            </w:r>
          </w:p>
        </w:tc>
        <w:tc>
          <w:tcPr>
            <w:tcW w:w="773" w:type="dxa"/>
            <w:tcBorders>
              <w:top w:val="nil"/>
              <w:left w:val="nil"/>
              <w:bottom w:val="single" w:sz="4" w:space="0" w:color="auto"/>
              <w:right w:val="single" w:sz="4" w:space="0" w:color="auto"/>
            </w:tcBorders>
            <w:shd w:val="clear" w:color="auto" w:fill="auto"/>
            <w:noWrap/>
            <w:vAlign w:val="bottom"/>
            <w:hideMark/>
          </w:tcPr>
          <w:p w14:paraId="556CFFA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40</w:t>
            </w:r>
          </w:p>
        </w:tc>
        <w:tc>
          <w:tcPr>
            <w:tcW w:w="751" w:type="dxa"/>
            <w:tcBorders>
              <w:top w:val="nil"/>
              <w:left w:val="nil"/>
              <w:bottom w:val="single" w:sz="4" w:space="0" w:color="auto"/>
              <w:right w:val="single" w:sz="4" w:space="0" w:color="auto"/>
            </w:tcBorders>
            <w:shd w:val="clear" w:color="auto" w:fill="auto"/>
            <w:noWrap/>
            <w:vAlign w:val="bottom"/>
            <w:hideMark/>
          </w:tcPr>
          <w:p w14:paraId="5198C79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70%</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6D2ECE57"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3 610 729,05</w:t>
            </w:r>
          </w:p>
        </w:tc>
      </w:tr>
      <w:tr w:rsidR="001A24C3" w:rsidRPr="00482340" w14:paraId="63A805A9"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4704259B"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Signalizačné a zabezpečovacie zariadenia</w:t>
            </w:r>
          </w:p>
        </w:tc>
        <w:tc>
          <w:tcPr>
            <w:tcW w:w="1140" w:type="dxa"/>
            <w:tcBorders>
              <w:top w:val="nil"/>
              <w:left w:val="nil"/>
              <w:bottom w:val="single" w:sz="4" w:space="0" w:color="auto"/>
              <w:right w:val="single" w:sz="4" w:space="0" w:color="auto"/>
            </w:tcBorders>
            <w:shd w:val="clear" w:color="auto" w:fill="auto"/>
            <w:noWrap/>
            <w:vAlign w:val="bottom"/>
            <w:hideMark/>
          </w:tcPr>
          <w:p w14:paraId="052373FE"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20</w:t>
            </w:r>
          </w:p>
        </w:tc>
        <w:tc>
          <w:tcPr>
            <w:tcW w:w="1134" w:type="dxa"/>
            <w:tcBorders>
              <w:top w:val="nil"/>
              <w:left w:val="nil"/>
              <w:bottom w:val="single" w:sz="4" w:space="0" w:color="auto"/>
              <w:right w:val="single" w:sz="4" w:space="0" w:color="auto"/>
            </w:tcBorders>
            <w:shd w:val="clear" w:color="auto" w:fill="auto"/>
            <w:vAlign w:val="center"/>
            <w:hideMark/>
          </w:tcPr>
          <w:p w14:paraId="3C259218"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08626CC0"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w:t>
            </w:r>
          </w:p>
        </w:tc>
        <w:tc>
          <w:tcPr>
            <w:tcW w:w="773" w:type="dxa"/>
            <w:tcBorders>
              <w:top w:val="nil"/>
              <w:left w:val="nil"/>
              <w:bottom w:val="single" w:sz="4" w:space="0" w:color="auto"/>
              <w:right w:val="single" w:sz="4" w:space="0" w:color="auto"/>
            </w:tcBorders>
            <w:shd w:val="clear" w:color="auto" w:fill="auto"/>
            <w:noWrap/>
            <w:vAlign w:val="bottom"/>
            <w:hideMark/>
          </w:tcPr>
          <w:p w14:paraId="42F2C6E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40</w:t>
            </w:r>
          </w:p>
        </w:tc>
        <w:tc>
          <w:tcPr>
            <w:tcW w:w="751" w:type="dxa"/>
            <w:tcBorders>
              <w:top w:val="nil"/>
              <w:left w:val="nil"/>
              <w:bottom w:val="single" w:sz="4" w:space="0" w:color="auto"/>
              <w:right w:val="single" w:sz="4" w:space="0" w:color="auto"/>
            </w:tcBorders>
            <w:shd w:val="clear" w:color="auto" w:fill="auto"/>
            <w:noWrap/>
            <w:vAlign w:val="bottom"/>
            <w:hideMark/>
          </w:tcPr>
          <w:p w14:paraId="76C5A538"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70%</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1760479D"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986 930,37</w:t>
            </w:r>
          </w:p>
        </w:tc>
      </w:tr>
      <w:tr w:rsidR="001A24C3" w:rsidRPr="00482340" w14:paraId="57A18F68"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3FEE0401"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Zariadenia energetiky a elektrotechniky</w:t>
            </w:r>
          </w:p>
        </w:tc>
        <w:tc>
          <w:tcPr>
            <w:tcW w:w="1140" w:type="dxa"/>
            <w:tcBorders>
              <w:top w:val="nil"/>
              <w:left w:val="nil"/>
              <w:bottom w:val="single" w:sz="4" w:space="0" w:color="auto"/>
              <w:right w:val="single" w:sz="4" w:space="0" w:color="auto"/>
            </w:tcBorders>
            <w:shd w:val="clear" w:color="auto" w:fill="auto"/>
            <w:noWrap/>
            <w:vAlign w:val="bottom"/>
            <w:hideMark/>
          </w:tcPr>
          <w:p w14:paraId="291C6B83"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1134" w:type="dxa"/>
            <w:tcBorders>
              <w:top w:val="nil"/>
              <w:left w:val="nil"/>
              <w:bottom w:val="single" w:sz="4" w:space="0" w:color="auto"/>
              <w:right w:val="single" w:sz="4" w:space="0" w:color="auto"/>
            </w:tcBorders>
            <w:shd w:val="clear" w:color="auto" w:fill="auto"/>
            <w:vAlign w:val="center"/>
            <w:hideMark/>
          </w:tcPr>
          <w:p w14:paraId="42554F90"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5DDA3262"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16CBC91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751" w:type="dxa"/>
            <w:tcBorders>
              <w:top w:val="nil"/>
              <w:left w:val="nil"/>
              <w:bottom w:val="single" w:sz="4" w:space="0" w:color="auto"/>
              <w:right w:val="single" w:sz="4" w:space="0" w:color="auto"/>
            </w:tcBorders>
            <w:shd w:val="clear" w:color="auto" w:fill="auto"/>
            <w:noWrap/>
            <w:vAlign w:val="bottom"/>
            <w:hideMark/>
          </w:tcPr>
          <w:p w14:paraId="22EE8259"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13%</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330B6800"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0,00</w:t>
            </w:r>
          </w:p>
        </w:tc>
      </w:tr>
      <w:tr w:rsidR="001A24C3" w:rsidRPr="00482340" w14:paraId="1DC03CA7" w14:textId="77777777" w:rsidTr="00300963">
        <w:trPr>
          <w:trHeight w:val="204"/>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6C076697"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xml:space="preserve">Stroje a zariadenia </w:t>
            </w:r>
          </w:p>
        </w:tc>
        <w:tc>
          <w:tcPr>
            <w:tcW w:w="1140" w:type="dxa"/>
            <w:tcBorders>
              <w:top w:val="nil"/>
              <w:left w:val="nil"/>
              <w:bottom w:val="single" w:sz="4" w:space="0" w:color="auto"/>
              <w:right w:val="single" w:sz="4" w:space="0" w:color="auto"/>
            </w:tcBorders>
            <w:shd w:val="clear" w:color="auto" w:fill="auto"/>
            <w:noWrap/>
            <w:vAlign w:val="bottom"/>
            <w:hideMark/>
          </w:tcPr>
          <w:p w14:paraId="72F79894"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1134" w:type="dxa"/>
            <w:tcBorders>
              <w:top w:val="nil"/>
              <w:left w:val="nil"/>
              <w:bottom w:val="single" w:sz="4" w:space="0" w:color="auto"/>
              <w:right w:val="single" w:sz="4" w:space="0" w:color="auto"/>
            </w:tcBorders>
            <w:shd w:val="clear" w:color="auto" w:fill="auto"/>
            <w:vAlign w:val="center"/>
            <w:hideMark/>
          </w:tcPr>
          <w:p w14:paraId="1FA54AFF"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233ADB66"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23FFABD4"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751" w:type="dxa"/>
            <w:tcBorders>
              <w:top w:val="nil"/>
              <w:left w:val="nil"/>
              <w:bottom w:val="single" w:sz="4" w:space="0" w:color="auto"/>
              <w:right w:val="single" w:sz="4" w:space="0" w:color="auto"/>
            </w:tcBorders>
            <w:shd w:val="clear" w:color="auto" w:fill="auto"/>
            <w:noWrap/>
            <w:vAlign w:val="bottom"/>
            <w:hideMark/>
          </w:tcPr>
          <w:p w14:paraId="226F9A57"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13%</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2E80C988"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0,00</w:t>
            </w:r>
          </w:p>
        </w:tc>
      </w:tr>
      <w:tr w:rsidR="001A24C3" w:rsidRPr="00482340" w14:paraId="080A80A9" w14:textId="77777777" w:rsidTr="00300963">
        <w:trPr>
          <w:trHeight w:val="216"/>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72E388C3"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Protihlukové a iné prvky ochrany životného prostredia</w:t>
            </w:r>
          </w:p>
        </w:tc>
        <w:tc>
          <w:tcPr>
            <w:tcW w:w="1140" w:type="dxa"/>
            <w:tcBorders>
              <w:top w:val="nil"/>
              <w:left w:val="nil"/>
              <w:bottom w:val="single" w:sz="4" w:space="0" w:color="auto"/>
              <w:right w:val="single" w:sz="4" w:space="0" w:color="auto"/>
            </w:tcBorders>
            <w:shd w:val="clear" w:color="auto" w:fill="auto"/>
            <w:noWrap/>
            <w:vAlign w:val="bottom"/>
            <w:hideMark/>
          </w:tcPr>
          <w:p w14:paraId="1E02A697"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1134" w:type="dxa"/>
            <w:tcBorders>
              <w:top w:val="nil"/>
              <w:left w:val="nil"/>
              <w:bottom w:val="single" w:sz="4" w:space="0" w:color="auto"/>
              <w:right w:val="single" w:sz="4" w:space="0" w:color="auto"/>
            </w:tcBorders>
            <w:shd w:val="clear" w:color="auto" w:fill="auto"/>
            <w:vAlign w:val="center"/>
            <w:hideMark/>
          </w:tcPr>
          <w:p w14:paraId="66BDAB2C"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26</w:t>
            </w:r>
          </w:p>
        </w:tc>
        <w:tc>
          <w:tcPr>
            <w:tcW w:w="993" w:type="dxa"/>
            <w:tcBorders>
              <w:top w:val="nil"/>
              <w:left w:val="nil"/>
              <w:bottom w:val="single" w:sz="4" w:space="0" w:color="auto"/>
              <w:right w:val="single" w:sz="4" w:space="0" w:color="auto"/>
            </w:tcBorders>
            <w:shd w:val="clear" w:color="auto" w:fill="auto"/>
            <w:vAlign w:val="bottom"/>
            <w:hideMark/>
          </w:tcPr>
          <w:p w14:paraId="155C994B"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0</w:t>
            </w:r>
          </w:p>
        </w:tc>
        <w:tc>
          <w:tcPr>
            <w:tcW w:w="773" w:type="dxa"/>
            <w:tcBorders>
              <w:top w:val="nil"/>
              <w:left w:val="nil"/>
              <w:bottom w:val="single" w:sz="4" w:space="0" w:color="auto"/>
              <w:right w:val="single" w:sz="4" w:space="0" w:color="auto"/>
            </w:tcBorders>
            <w:shd w:val="clear" w:color="auto" w:fill="auto"/>
            <w:noWrap/>
            <w:vAlign w:val="bottom"/>
            <w:hideMark/>
          </w:tcPr>
          <w:p w14:paraId="1C7191B6"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30</w:t>
            </w:r>
          </w:p>
        </w:tc>
        <w:tc>
          <w:tcPr>
            <w:tcW w:w="751" w:type="dxa"/>
            <w:tcBorders>
              <w:top w:val="nil"/>
              <w:left w:val="nil"/>
              <w:bottom w:val="single" w:sz="4" w:space="0" w:color="auto"/>
              <w:right w:val="single" w:sz="4" w:space="0" w:color="auto"/>
            </w:tcBorders>
            <w:shd w:val="clear" w:color="auto" w:fill="auto"/>
            <w:noWrap/>
            <w:vAlign w:val="bottom"/>
            <w:hideMark/>
          </w:tcPr>
          <w:p w14:paraId="4BEFC730" w14:textId="77777777" w:rsidR="001A24C3" w:rsidRPr="00482340" w:rsidRDefault="001A24C3" w:rsidP="00300963">
            <w:pPr>
              <w:jc w:val="center"/>
              <w:rPr>
                <w:rFonts w:ascii="Arial" w:eastAsia="Times New Roman" w:hAnsi="Arial" w:cs="Arial"/>
                <w:sz w:val="12"/>
                <w:szCs w:val="12"/>
                <w:lang w:eastAsia="sk-SK"/>
              </w:rPr>
            </w:pPr>
            <w:r w:rsidRPr="00482340">
              <w:rPr>
                <w:rFonts w:ascii="Arial" w:eastAsia="Times New Roman" w:hAnsi="Arial" w:cs="Arial"/>
                <w:sz w:val="12"/>
                <w:szCs w:val="12"/>
                <w:lang w:eastAsia="sk-SK"/>
              </w:rPr>
              <w:t>13%</w:t>
            </w:r>
          </w:p>
        </w:tc>
        <w:tc>
          <w:tcPr>
            <w:tcW w:w="1027" w:type="dxa"/>
            <w:tcBorders>
              <w:top w:val="nil"/>
              <w:left w:val="single" w:sz="4" w:space="0" w:color="auto"/>
              <w:bottom w:val="single" w:sz="4" w:space="0" w:color="auto"/>
              <w:right w:val="single" w:sz="8" w:space="0" w:color="auto"/>
            </w:tcBorders>
            <w:shd w:val="clear" w:color="000000" w:fill="FFFF66"/>
            <w:noWrap/>
            <w:vAlign w:val="bottom"/>
            <w:hideMark/>
          </w:tcPr>
          <w:p w14:paraId="48B94EA2" w14:textId="77777777" w:rsidR="001A24C3" w:rsidRPr="00482340" w:rsidRDefault="001A24C3" w:rsidP="00300963">
            <w:pPr>
              <w:jc w:val="right"/>
              <w:rPr>
                <w:rFonts w:ascii="Arial" w:eastAsia="Times New Roman" w:hAnsi="Arial" w:cs="Arial"/>
                <w:sz w:val="12"/>
                <w:szCs w:val="12"/>
                <w:lang w:eastAsia="sk-SK"/>
              </w:rPr>
            </w:pPr>
            <w:r w:rsidRPr="00482340">
              <w:rPr>
                <w:rFonts w:ascii="Arial" w:eastAsia="Times New Roman" w:hAnsi="Arial" w:cs="Arial"/>
                <w:sz w:val="12"/>
                <w:szCs w:val="12"/>
                <w:lang w:eastAsia="sk-SK"/>
              </w:rPr>
              <w:t>987 692,41</w:t>
            </w:r>
          </w:p>
        </w:tc>
      </w:tr>
      <w:tr w:rsidR="001A24C3" w:rsidRPr="00482340" w14:paraId="4AC83322" w14:textId="77777777" w:rsidTr="00300963">
        <w:trPr>
          <w:trHeight w:val="216"/>
        </w:trPr>
        <w:tc>
          <w:tcPr>
            <w:tcW w:w="3396" w:type="dxa"/>
            <w:tcBorders>
              <w:top w:val="nil"/>
              <w:left w:val="single" w:sz="4" w:space="0" w:color="auto"/>
              <w:bottom w:val="single" w:sz="4" w:space="0" w:color="auto"/>
              <w:right w:val="single" w:sz="4" w:space="0" w:color="auto"/>
            </w:tcBorders>
            <w:shd w:val="clear" w:color="auto" w:fill="auto"/>
            <w:noWrap/>
            <w:vAlign w:val="bottom"/>
            <w:hideMark/>
          </w:tcPr>
          <w:p w14:paraId="15F684C6" w14:textId="77777777" w:rsidR="001A24C3" w:rsidRPr="00482340" w:rsidRDefault="001A24C3" w:rsidP="00300963">
            <w:pPr>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Zostatková hodnota</w:t>
            </w:r>
          </w:p>
        </w:tc>
        <w:tc>
          <w:tcPr>
            <w:tcW w:w="1140" w:type="dxa"/>
            <w:tcBorders>
              <w:top w:val="nil"/>
              <w:left w:val="nil"/>
              <w:bottom w:val="single" w:sz="4" w:space="0" w:color="auto"/>
              <w:right w:val="single" w:sz="4" w:space="0" w:color="auto"/>
            </w:tcBorders>
            <w:shd w:val="clear" w:color="auto" w:fill="auto"/>
            <w:noWrap/>
            <w:vAlign w:val="bottom"/>
            <w:hideMark/>
          </w:tcPr>
          <w:p w14:paraId="2D506E4E"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w:t>
            </w:r>
          </w:p>
        </w:tc>
        <w:tc>
          <w:tcPr>
            <w:tcW w:w="1134" w:type="dxa"/>
            <w:tcBorders>
              <w:top w:val="nil"/>
              <w:left w:val="nil"/>
              <w:bottom w:val="single" w:sz="4" w:space="0" w:color="auto"/>
              <w:right w:val="single" w:sz="4" w:space="0" w:color="auto"/>
            </w:tcBorders>
            <w:shd w:val="clear" w:color="auto" w:fill="auto"/>
            <w:noWrap/>
            <w:vAlign w:val="bottom"/>
            <w:hideMark/>
          </w:tcPr>
          <w:p w14:paraId="01A48007"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w:t>
            </w:r>
          </w:p>
        </w:tc>
        <w:tc>
          <w:tcPr>
            <w:tcW w:w="993" w:type="dxa"/>
            <w:tcBorders>
              <w:top w:val="nil"/>
              <w:left w:val="nil"/>
              <w:bottom w:val="single" w:sz="4" w:space="0" w:color="auto"/>
              <w:right w:val="single" w:sz="4" w:space="0" w:color="auto"/>
            </w:tcBorders>
            <w:shd w:val="clear" w:color="auto" w:fill="auto"/>
            <w:noWrap/>
            <w:vAlign w:val="bottom"/>
            <w:hideMark/>
          </w:tcPr>
          <w:p w14:paraId="1ED05048"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w:t>
            </w:r>
          </w:p>
        </w:tc>
        <w:tc>
          <w:tcPr>
            <w:tcW w:w="773" w:type="dxa"/>
            <w:tcBorders>
              <w:top w:val="nil"/>
              <w:left w:val="nil"/>
              <w:bottom w:val="single" w:sz="4" w:space="0" w:color="auto"/>
              <w:right w:val="single" w:sz="4" w:space="0" w:color="auto"/>
            </w:tcBorders>
            <w:shd w:val="clear" w:color="auto" w:fill="auto"/>
            <w:noWrap/>
            <w:vAlign w:val="bottom"/>
            <w:hideMark/>
          </w:tcPr>
          <w:p w14:paraId="38A4956D"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w:t>
            </w:r>
          </w:p>
        </w:tc>
        <w:tc>
          <w:tcPr>
            <w:tcW w:w="751" w:type="dxa"/>
            <w:tcBorders>
              <w:top w:val="nil"/>
              <w:left w:val="nil"/>
              <w:bottom w:val="single" w:sz="4" w:space="0" w:color="auto"/>
              <w:right w:val="single" w:sz="4" w:space="0" w:color="auto"/>
            </w:tcBorders>
            <w:shd w:val="clear" w:color="auto" w:fill="auto"/>
            <w:noWrap/>
            <w:vAlign w:val="bottom"/>
            <w:hideMark/>
          </w:tcPr>
          <w:p w14:paraId="1D054F94" w14:textId="77777777" w:rsidR="001A24C3" w:rsidRPr="00482340" w:rsidRDefault="001A24C3" w:rsidP="00300963">
            <w:pPr>
              <w:rPr>
                <w:rFonts w:ascii="Arial" w:eastAsia="Times New Roman" w:hAnsi="Arial" w:cs="Arial"/>
                <w:sz w:val="12"/>
                <w:szCs w:val="12"/>
                <w:lang w:eastAsia="sk-SK"/>
              </w:rPr>
            </w:pPr>
            <w:r w:rsidRPr="00482340">
              <w:rPr>
                <w:rFonts w:ascii="Arial" w:eastAsia="Times New Roman" w:hAnsi="Arial" w:cs="Arial"/>
                <w:sz w:val="12"/>
                <w:szCs w:val="12"/>
                <w:lang w:eastAsia="sk-SK"/>
              </w:rPr>
              <w:t> </w:t>
            </w:r>
          </w:p>
        </w:tc>
        <w:tc>
          <w:tcPr>
            <w:tcW w:w="1027" w:type="dxa"/>
            <w:tcBorders>
              <w:top w:val="single" w:sz="8" w:space="0" w:color="auto"/>
              <w:left w:val="single" w:sz="4" w:space="0" w:color="auto"/>
              <w:bottom w:val="single" w:sz="8" w:space="0" w:color="auto"/>
              <w:right w:val="single" w:sz="8" w:space="0" w:color="auto"/>
            </w:tcBorders>
            <w:shd w:val="clear" w:color="000000" w:fill="FFFF66"/>
            <w:noWrap/>
            <w:vAlign w:val="bottom"/>
            <w:hideMark/>
          </w:tcPr>
          <w:p w14:paraId="6FCA9BCE" w14:textId="77777777" w:rsidR="001A24C3" w:rsidRPr="00482340" w:rsidRDefault="001A24C3" w:rsidP="00300963">
            <w:pPr>
              <w:jc w:val="right"/>
              <w:rPr>
                <w:rFonts w:ascii="Arial" w:eastAsia="Times New Roman" w:hAnsi="Arial" w:cs="Arial"/>
                <w:b/>
                <w:bCs/>
                <w:sz w:val="12"/>
                <w:szCs w:val="12"/>
                <w:lang w:eastAsia="sk-SK"/>
              </w:rPr>
            </w:pPr>
            <w:r w:rsidRPr="00482340">
              <w:rPr>
                <w:rFonts w:ascii="Arial" w:eastAsia="Times New Roman" w:hAnsi="Arial" w:cs="Arial"/>
                <w:b/>
                <w:bCs/>
                <w:sz w:val="12"/>
                <w:szCs w:val="12"/>
                <w:lang w:eastAsia="sk-SK"/>
              </w:rPr>
              <w:t>169 140 563,86</w:t>
            </w:r>
          </w:p>
        </w:tc>
      </w:tr>
    </w:tbl>
    <w:p w14:paraId="7D5E7E95" w14:textId="2325D92A" w:rsidR="001A24C3" w:rsidRDefault="001A24C3" w:rsidP="001A24C3"/>
    <w:p w14:paraId="7E08F4EC" w14:textId="38A90BAE" w:rsidR="008B078A" w:rsidRDefault="008B078A" w:rsidP="001A24C3"/>
    <w:p w14:paraId="4831D51F" w14:textId="791021CE" w:rsidR="008B078A" w:rsidRDefault="008B078A" w:rsidP="001A24C3"/>
    <w:p w14:paraId="7AEDD18C" w14:textId="77777777" w:rsidR="008B078A" w:rsidRPr="00CA03A6" w:rsidRDefault="008B078A" w:rsidP="001A24C3"/>
    <w:p w14:paraId="2D2B152A" w14:textId="77777777" w:rsidR="001A24C3" w:rsidRPr="004906C6" w:rsidRDefault="001A24C3" w:rsidP="004906C6">
      <w:pPr>
        <w:pStyle w:val="Nadpis41"/>
        <w:ind w:left="851" w:hanging="851"/>
        <w:rPr>
          <w:color w:val="auto"/>
          <w:sz w:val="24"/>
          <w:szCs w:val="24"/>
        </w:rPr>
      </w:pPr>
      <w:bookmarkStart w:id="391" w:name="_Toc88653033"/>
      <w:r w:rsidRPr="004906C6">
        <w:rPr>
          <w:color w:val="auto"/>
          <w:sz w:val="24"/>
          <w:szCs w:val="24"/>
        </w:rPr>
        <w:lastRenderedPageBreak/>
        <w:t>Výstupy ekonomickej analýzy</w:t>
      </w:r>
      <w:bookmarkEnd w:id="391"/>
    </w:p>
    <w:p w14:paraId="68D7A99F" w14:textId="77777777" w:rsidR="001A24C3" w:rsidRPr="004906C6" w:rsidRDefault="001A24C3" w:rsidP="001A24C3">
      <w:pPr>
        <w:pStyle w:val="Koice4"/>
        <w:ind w:left="0"/>
        <w:rPr>
          <w:rFonts w:asciiTheme="minorHAnsi" w:eastAsiaTheme="majorEastAsia" w:hAnsiTheme="minorHAnsi" w:cstheme="majorBidi"/>
          <w:i/>
          <w:iCs/>
          <w:color w:val="0070C0"/>
        </w:rPr>
      </w:pPr>
      <w:bookmarkStart w:id="392" w:name="_Toc88653034"/>
      <w:r w:rsidRPr="004906C6">
        <w:rPr>
          <w:rFonts w:asciiTheme="minorHAnsi" w:eastAsiaTheme="majorEastAsia" w:hAnsiTheme="minorHAnsi" w:cstheme="majorBidi"/>
          <w:i/>
          <w:iCs/>
          <w:color w:val="0070C0"/>
        </w:rPr>
        <w:t>Vnútorné výnosové percento</w:t>
      </w:r>
      <w:bookmarkEnd w:id="392"/>
    </w:p>
    <w:p w14:paraId="34932FE6" w14:textId="77777777" w:rsidR="001A24C3" w:rsidRDefault="001A24C3" w:rsidP="001A24C3">
      <w:pPr>
        <w:pStyle w:val="TEXTkOICE"/>
        <w:ind w:left="0"/>
      </w:pPr>
      <w:bookmarkStart w:id="393" w:name="_Toc83677956"/>
      <w:r>
        <w:t>Na začiatku kapitoly o CBA sm</w:t>
      </w:r>
      <w:r w:rsidRPr="000E1FFA">
        <w:t>e spomínali, že finančná analýza sa vykonáva v stálych cenách bez zarátania inflácie</w:t>
      </w:r>
      <w:r>
        <w:t xml:space="preserve"> a prípadné zvyšovanie nákladov alebo príjmov (počas referenčného obdobia) je spôsobené nárastom výkonov z hľadiska objemu prác a nie dopytom ťahanou infláciou</w:t>
      </w:r>
      <w:r w:rsidRPr="000E1FFA">
        <w:t xml:space="preserve">. </w:t>
      </w:r>
    </w:p>
    <w:p w14:paraId="0DA15D0E" w14:textId="77777777" w:rsidR="001A24C3" w:rsidRDefault="001A24C3" w:rsidP="001A24C3">
      <w:pPr>
        <w:pStyle w:val="TEXTkOICE"/>
        <w:ind w:left="0"/>
      </w:pPr>
    </w:p>
    <w:p w14:paraId="027B950B" w14:textId="77777777" w:rsidR="001A24C3" w:rsidRDefault="001A24C3" w:rsidP="001A24C3">
      <w:pPr>
        <w:pStyle w:val="TEXTkOICE"/>
        <w:ind w:left="0"/>
      </w:pPr>
      <w:r w:rsidRPr="000E1FFA">
        <w:t xml:space="preserve">Napriek tomu je potrebné posúdiť výnosnosť alternatívnej investície, do ktorej by sme mohli prostriedky na realizáciu projektu investovať, ak by sme ich neinvestovali do projektu. </w:t>
      </w:r>
    </w:p>
    <w:p w14:paraId="5A1167E3" w14:textId="77777777" w:rsidR="001A24C3" w:rsidRDefault="001A24C3" w:rsidP="001A24C3">
      <w:pPr>
        <w:pStyle w:val="TEXTkOICE"/>
        <w:ind w:left="0"/>
      </w:pPr>
    </w:p>
    <w:p w14:paraId="68CB65B4" w14:textId="77777777" w:rsidR="001A24C3" w:rsidRDefault="001A24C3" w:rsidP="001A24C3">
      <w:pPr>
        <w:pStyle w:val="TEXTkOICE"/>
        <w:ind w:left="0"/>
      </w:pPr>
      <w:r w:rsidRPr="000E1FFA">
        <w:t>Na tento účel</w:t>
      </w:r>
      <w:r>
        <w:t>,</w:t>
      </w:r>
      <w:r w:rsidRPr="000E1FFA">
        <w:t xml:space="preserve"> resp. vyjadrenie hodnoty alternatívneho výnosu, ktorý je zároveň aj nákladom obetovaných príležitostí, je</w:t>
      </w:r>
      <w:r>
        <w:t xml:space="preserve"> využívaná</w:t>
      </w:r>
      <w:r w:rsidRPr="000E1FFA">
        <w:t xml:space="preserve"> diskontná sadzba.</w:t>
      </w:r>
    </w:p>
    <w:p w14:paraId="5E098CFF" w14:textId="77777777" w:rsidR="001A24C3" w:rsidRDefault="001A24C3" w:rsidP="001A24C3">
      <w:pPr>
        <w:pStyle w:val="TEXTkOICE"/>
        <w:ind w:left="0"/>
      </w:pPr>
    </w:p>
    <w:p w14:paraId="2F72EDFA" w14:textId="77777777" w:rsidR="001A24C3" w:rsidRDefault="001A24C3" w:rsidP="001A24C3">
      <w:pPr>
        <w:pStyle w:val="TEXTkOICE"/>
        <w:ind w:left="0"/>
      </w:pPr>
      <w:r w:rsidRPr="000E1FFA">
        <w:t xml:space="preserve">V prípade, že chceme projekt považovať za vhodný, musí pri zohľadnení časovej hodnoty peňazí projekt vygenerovať väčšie výnosové </w:t>
      </w:r>
      <w:r>
        <w:t>percento</w:t>
      </w:r>
      <w:r w:rsidRPr="000E1FFA">
        <w:t xml:space="preserve"> ako je diskontná sadzba</w:t>
      </w:r>
      <w:r>
        <w:t>, ktorá je stanovená na hodnotu 5 %.</w:t>
      </w:r>
    </w:p>
    <w:p w14:paraId="67205367" w14:textId="38B5A9E0" w:rsidR="001A24C3" w:rsidRDefault="001A24C3" w:rsidP="004906C6">
      <w:pPr>
        <w:pStyle w:val="Popis"/>
        <w:keepNext/>
        <w:jc w:val="both"/>
      </w:pPr>
      <w:r>
        <w:t xml:space="preserve">Tabuľka </w:t>
      </w:r>
      <w:r w:rsidR="008B078A">
        <w:t>85</w:t>
      </w:r>
      <w:r>
        <w:tab/>
        <w:t>Výstup z ekonomickej analýzy (ERR)</w:t>
      </w:r>
      <w:bookmarkEnd w:id="393"/>
    </w:p>
    <w:tbl>
      <w:tblPr>
        <w:tblW w:w="6600" w:type="dxa"/>
        <w:tblCellMar>
          <w:left w:w="70" w:type="dxa"/>
          <w:right w:w="70" w:type="dxa"/>
        </w:tblCellMar>
        <w:tblLook w:val="04A0" w:firstRow="1" w:lastRow="0" w:firstColumn="1" w:lastColumn="0" w:noHBand="0" w:noVBand="1"/>
      </w:tblPr>
      <w:tblGrid>
        <w:gridCol w:w="5060"/>
        <w:gridCol w:w="1540"/>
      </w:tblGrid>
      <w:tr w:rsidR="001A24C3" w:rsidRPr="00885FFC" w14:paraId="5B1D47AE" w14:textId="77777777" w:rsidTr="00300963">
        <w:trPr>
          <w:trHeight w:val="204"/>
        </w:trPr>
        <w:tc>
          <w:tcPr>
            <w:tcW w:w="5060" w:type="dxa"/>
            <w:tcBorders>
              <w:top w:val="single" w:sz="4" w:space="0" w:color="auto"/>
              <w:left w:val="single" w:sz="4" w:space="0" w:color="auto"/>
              <w:bottom w:val="single" w:sz="4" w:space="0" w:color="auto"/>
              <w:right w:val="nil"/>
            </w:tcBorders>
            <w:shd w:val="clear" w:color="auto" w:fill="auto"/>
            <w:noWrap/>
            <w:vAlign w:val="bottom"/>
            <w:hideMark/>
          </w:tcPr>
          <w:p w14:paraId="5E2C907A"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Ekonomická vnútorná miera návratnosti (EIRR)</w:t>
            </w:r>
          </w:p>
        </w:tc>
        <w:tc>
          <w:tcPr>
            <w:tcW w:w="154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6EAF6E09"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5,02%</w:t>
            </w:r>
          </w:p>
        </w:tc>
      </w:tr>
    </w:tbl>
    <w:p w14:paraId="0D53B428" w14:textId="77777777" w:rsidR="001A24C3" w:rsidRDefault="001A24C3" w:rsidP="001A24C3">
      <w:pPr>
        <w:pStyle w:val="TEXTkOICE"/>
        <w:ind w:left="0"/>
      </w:pPr>
    </w:p>
    <w:p w14:paraId="5F33231E" w14:textId="77777777" w:rsidR="001A24C3" w:rsidRPr="004906C6" w:rsidRDefault="001A24C3" w:rsidP="001A24C3">
      <w:pPr>
        <w:pStyle w:val="Koice4"/>
        <w:ind w:left="0"/>
        <w:rPr>
          <w:rFonts w:asciiTheme="minorHAnsi" w:eastAsiaTheme="majorEastAsia" w:hAnsiTheme="minorHAnsi" w:cstheme="majorBidi"/>
          <w:i/>
          <w:iCs/>
          <w:color w:val="0070C0"/>
        </w:rPr>
      </w:pPr>
      <w:bookmarkStart w:id="394" w:name="_Toc88653035"/>
      <w:r w:rsidRPr="004906C6">
        <w:rPr>
          <w:rFonts w:asciiTheme="minorHAnsi" w:eastAsiaTheme="majorEastAsia" w:hAnsiTheme="minorHAnsi" w:cstheme="majorBidi"/>
          <w:i/>
          <w:iCs/>
          <w:color w:val="0070C0"/>
        </w:rPr>
        <w:t>Čistá súčasná hodnota</w:t>
      </w:r>
      <w:bookmarkEnd w:id="394"/>
      <w:r w:rsidRPr="004906C6">
        <w:rPr>
          <w:rFonts w:asciiTheme="minorHAnsi" w:eastAsiaTheme="majorEastAsia" w:hAnsiTheme="minorHAnsi" w:cstheme="majorBidi"/>
          <w:i/>
          <w:iCs/>
          <w:color w:val="0070C0"/>
        </w:rPr>
        <w:t xml:space="preserve"> </w:t>
      </w:r>
    </w:p>
    <w:p w14:paraId="23D0B150" w14:textId="0BAC6832" w:rsidR="001A24C3" w:rsidRDefault="001A24C3" w:rsidP="001A24C3">
      <w:pPr>
        <w:pStyle w:val="TEXTkOICE"/>
        <w:ind w:left="0"/>
      </w:pPr>
      <w:r w:rsidRPr="00B33106">
        <w:t>Čistá súčasná hodnota je iným vyjadrením výsledku finančnej analýzy. Kým vnútorné výnosové % vyjadruje vhodnosť projektu v %, čistá súčasná hodnota ho vyjadruje v EUR. Platí súvzťažnosť, že ak je ERR = diskontnej sadzbe, tak čistá súčasná hodnota ENPV je rovná 0. Ak je vnútorné výnosové % menšie ako diskontná sadzba, tak aj čistá súčasná hodnota je záporná a ak je vnútorné výnosové % väčšie ako diskontná sadzba, tak čistá súčasná hodnota je kladná.</w:t>
      </w:r>
    </w:p>
    <w:p w14:paraId="182F0D20" w14:textId="6C0F75B8" w:rsidR="001A24C3" w:rsidRDefault="001A24C3" w:rsidP="004906C6">
      <w:pPr>
        <w:pStyle w:val="Popis"/>
        <w:keepNext/>
        <w:jc w:val="both"/>
      </w:pPr>
      <w:bookmarkStart w:id="395" w:name="_Toc83677957"/>
      <w:r>
        <w:t xml:space="preserve">Tabuľka </w:t>
      </w:r>
      <w:r w:rsidR="008B078A">
        <w:rPr>
          <w:noProof/>
        </w:rPr>
        <w:t>86</w:t>
      </w:r>
      <w:r>
        <w:tab/>
        <w:t>Výstup z ekonomickej analýzy (ENPV)</w:t>
      </w:r>
      <w:bookmarkEnd w:id="395"/>
    </w:p>
    <w:tbl>
      <w:tblPr>
        <w:tblW w:w="6600" w:type="dxa"/>
        <w:tblCellMar>
          <w:left w:w="70" w:type="dxa"/>
          <w:right w:w="70" w:type="dxa"/>
        </w:tblCellMar>
        <w:tblLook w:val="04A0" w:firstRow="1" w:lastRow="0" w:firstColumn="1" w:lastColumn="0" w:noHBand="0" w:noVBand="1"/>
      </w:tblPr>
      <w:tblGrid>
        <w:gridCol w:w="5060"/>
        <w:gridCol w:w="1540"/>
      </w:tblGrid>
      <w:tr w:rsidR="001A24C3" w:rsidRPr="00885FFC" w14:paraId="23EB2979" w14:textId="77777777" w:rsidTr="00300963">
        <w:trPr>
          <w:trHeight w:val="204"/>
        </w:trPr>
        <w:tc>
          <w:tcPr>
            <w:tcW w:w="5060" w:type="dxa"/>
            <w:tcBorders>
              <w:top w:val="single" w:sz="4" w:space="0" w:color="auto"/>
              <w:left w:val="single" w:sz="4" w:space="0" w:color="auto"/>
              <w:bottom w:val="single" w:sz="4" w:space="0" w:color="auto"/>
              <w:right w:val="nil"/>
            </w:tcBorders>
            <w:shd w:val="clear" w:color="auto" w:fill="auto"/>
            <w:noWrap/>
            <w:vAlign w:val="bottom"/>
            <w:hideMark/>
          </w:tcPr>
          <w:p w14:paraId="60174DE7"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Ekonomická čistá súčasná hodnota investície (ENPV)</w:t>
            </w:r>
          </w:p>
        </w:tc>
        <w:tc>
          <w:tcPr>
            <w:tcW w:w="154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7914897B"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770 208 </w:t>
            </w:r>
          </w:p>
        </w:tc>
      </w:tr>
    </w:tbl>
    <w:p w14:paraId="0FA2CF1E" w14:textId="61270EE1" w:rsidR="001A24C3" w:rsidRDefault="001A24C3" w:rsidP="001A24C3">
      <w:pPr>
        <w:pStyle w:val="Koice4"/>
        <w:ind w:left="0"/>
        <w:rPr>
          <w:rFonts w:asciiTheme="minorHAnsi" w:eastAsiaTheme="majorEastAsia" w:hAnsiTheme="minorHAnsi" w:cstheme="majorBidi"/>
          <w:i/>
          <w:iCs/>
          <w:color w:val="C00000"/>
        </w:rPr>
      </w:pPr>
    </w:p>
    <w:p w14:paraId="3272CA32" w14:textId="77777777" w:rsidR="004906C6" w:rsidRDefault="004906C6" w:rsidP="001A24C3">
      <w:pPr>
        <w:pStyle w:val="Koice4"/>
        <w:ind w:left="0"/>
        <w:rPr>
          <w:rFonts w:asciiTheme="minorHAnsi" w:eastAsiaTheme="majorEastAsia" w:hAnsiTheme="minorHAnsi" w:cstheme="majorBidi"/>
          <w:i/>
          <w:iCs/>
          <w:color w:val="C00000"/>
        </w:rPr>
      </w:pPr>
    </w:p>
    <w:p w14:paraId="73F0624D" w14:textId="5399F5AD" w:rsidR="001A24C3" w:rsidRPr="004906C6" w:rsidRDefault="001A24C3" w:rsidP="001A24C3">
      <w:pPr>
        <w:pStyle w:val="Nadpis31"/>
        <w:rPr>
          <w:color w:val="auto"/>
        </w:rPr>
      </w:pPr>
      <w:bookmarkStart w:id="396" w:name="_Toc88653036"/>
      <w:r w:rsidRPr="004906C6">
        <w:rPr>
          <w:color w:val="auto"/>
        </w:rPr>
        <w:t>Variant</w:t>
      </w:r>
      <w:r w:rsidR="004906C6">
        <w:rPr>
          <w:color w:val="auto"/>
        </w:rPr>
        <w:t xml:space="preserve"> C</w:t>
      </w:r>
      <w:r w:rsidRPr="004906C6">
        <w:rPr>
          <w:color w:val="auto"/>
        </w:rPr>
        <w:t xml:space="preserve"> „</w:t>
      </w:r>
      <w:r w:rsidR="004906C6">
        <w:rPr>
          <w:color w:val="auto"/>
        </w:rPr>
        <w:t>KOMBINOVANÝ – optimalizácia trate</w:t>
      </w:r>
      <w:r w:rsidRPr="004906C6">
        <w:rPr>
          <w:color w:val="auto"/>
        </w:rPr>
        <w:t>“</w:t>
      </w:r>
      <w:bookmarkEnd w:id="396"/>
    </w:p>
    <w:p w14:paraId="67F80AD9" w14:textId="77777777" w:rsidR="001A24C3" w:rsidRPr="004906C6" w:rsidRDefault="001A24C3" w:rsidP="004906C6">
      <w:pPr>
        <w:pStyle w:val="Nadpis41"/>
        <w:numPr>
          <w:ilvl w:val="3"/>
          <w:numId w:val="83"/>
        </w:numPr>
        <w:ind w:left="851" w:hanging="851"/>
        <w:rPr>
          <w:color w:val="auto"/>
          <w:sz w:val="24"/>
          <w:szCs w:val="24"/>
        </w:rPr>
      </w:pPr>
      <w:bookmarkStart w:id="397" w:name="_Toc88653037"/>
      <w:bookmarkStart w:id="398" w:name="_Toc83677958"/>
      <w:r w:rsidRPr="004906C6">
        <w:rPr>
          <w:color w:val="auto"/>
          <w:sz w:val="24"/>
          <w:szCs w:val="24"/>
        </w:rPr>
        <w:t>Investičné náklady</w:t>
      </w:r>
      <w:bookmarkEnd w:id="397"/>
    </w:p>
    <w:p w14:paraId="31C50FCF" w14:textId="175825F7" w:rsidR="001A24C3" w:rsidRDefault="001A24C3" w:rsidP="00FC4139">
      <w:r w:rsidRPr="000E1FFA">
        <w:t>Investičné náklady sú náklady vynaložené za účelom realizácie projektu. V prípade projektov financovaných z fondov Európskej únie a</w:t>
      </w:r>
      <w:r>
        <w:t xml:space="preserve"> v </w:t>
      </w:r>
      <w:r w:rsidRPr="000E1FFA">
        <w:t xml:space="preserve">nadväznosti na metodiku spracovávania CBA </w:t>
      </w:r>
      <w:r>
        <w:t>sem</w:t>
      </w:r>
      <w:r w:rsidRPr="000E1FFA">
        <w:t xml:space="preserve"> patria </w:t>
      </w:r>
      <w:r>
        <w:t xml:space="preserve">náklady vzniknuté optimalizáciou </w:t>
      </w:r>
      <w:r w:rsidR="00FC4139">
        <w:t>(čiastočnou modernizáciou, resp. kombináciou variantu A a variantu B) železničnej trate v úseku Krásno nad Kysucou (mimo) – Čadca – štátna hranica SR/ČR v rozsahu: základná modernizácia v 2 úsekoch (1. Krásno nad Kysucou (mimo) – Čadca (mimo) vrátane nového prestupného terminálu autobus/vlak a 2. Stanica Čadca</w:t>
      </w:r>
      <w:r w:rsidR="00FC4139">
        <w:rPr>
          <w:lang w:val="en-US"/>
        </w:rPr>
        <w:t>)</w:t>
      </w:r>
      <w:r w:rsidR="00FC4139">
        <w:t xml:space="preserve"> a v 3. úseku Čadca – štátna hranica SR/ČR by sa modernizovala v smerovo nezmenenej polohe (rovnako ako vo variante B). </w:t>
      </w:r>
      <w:r w:rsidR="00FC4139">
        <w:rPr>
          <w:lang w:val="cs-CZ"/>
        </w:rPr>
        <w:t>Ďalej sem vstupujú</w:t>
      </w:r>
      <w:r w:rsidR="00FC4139">
        <w:t xml:space="preserve"> náklady na riadenie projektu, publicitu a pod. v súlade s cieľmi projektu.</w:t>
      </w:r>
      <w:r>
        <w:t xml:space="preserve">Tieto náklady sú však upravené pomocou konverzných faktorov.  </w:t>
      </w:r>
    </w:p>
    <w:p w14:paraId="009E90A9" w14:textId="71049679" w:rsidR="001A24C3" w:rsidRDefault="001A24C3" w:rsidP="00FC4139">
      <w:pPr>
        <w:pStyle w:val="Popis"/>
        <w:keepNext/>
        <w:jc w:val="both"/>
      </w:pPr>
      <w:r>
        <w:lastRenderedPageBreak/>
        <w:t xml:space="preserve">Tabuľka </w:t>
      </w:r>
      <w:r w:rsidR="008B078A">
        <w:rPr>
          <w:noProof/>
        </w:rPr>
        <w:t>87</w:t>
      </w:r>
      <w:r>
        <w:tab/>
      </w:r>
      <w:r w:rsidRPr="009E3441">
        <w:t>Investičné náklady ekonomické</w:t>
      </w:r>
      <w:bookmarkEnd w:id="398"/>
    </w:p>
    <w:tbl>
      <w:tblPr>
        <w:tblW w:w="0" w:type="auto"/>
        <w:tblCellMar>
          <w:left w:w="70" w:type="dxa"/>
          <w:right w:w="70" w:type="dxa"/>
        </w:tblCellMar>
        <w:tblLook w:val="04A0" w:firstRow="1" w:lastRow="0" w:firstColumn="1" w:lastColumn="0" w:noHBand="0" w:noVBand="1"/>
      </w:tblPr>
      <w:tblGrid>
        <w:gridCol w:w="3215"/>
        <w:gridCol w:w="975"/>
        <w:gridCol w:w="908"/>
        <w:gridCol w:w="908"/>
        <w:gridCol w:w="908"/>
        <w:gridCol w:w="407"/>
        <w:gridCol w:w="407"/>
        <w:gridCol w:w="407"/>
        <w:gridCol w:w="407"/>
      </w:tblGrid>
      <w:tr w:rsidR="001A24C3" w:rsidRPr="00452956" w14:paraId="62D1F6DC" w14:textId="77777777" w:rsidTr="00300963">
        <w:trPr>
          <w:trHeight w:val="204"/>
        </w:trPr>
        <w:tc>
          <w:tcPr>
            <w:tcW w:w="0" w:type="auto"/>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5E20476F" w14:textId="77777777" w:rsidR="001A24C3" w:rsidRPr="00452956" w:rsidRDefault="001A24C3" w:rsidP="00300963">
            <w:pP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1.2 Investičné náklady (EUR) - ekonomické</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7615554" w14:textId="77777777" w:rsidR="001A24C3" w:rsidRPr="00452956" w:rsidRDefault="001A24C3" w:rsidP="00300963">
            <w:pP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Celkom</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0C133AF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2023</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58C9686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2024</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41B6EF0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2025</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21FC3DC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2026</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64D9CBA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2027</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266F53A" w14:textId="77777777" w:rsidR="001A24C3" w:rsidRPr="00452956" w:rsidRDefault="001A24C3" w:rsidP="00300963">
            <w:pPr>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w:t>
            </w:r>
          </w:p>
        </w:tc>
        <w:tc>
          <w:tcPr>
            <w:tcW w:w="0" w:type="auto"/>
            <w:tcBorders>
              <w:top w:val="single" w:sz="4" w:space="0" w:color="auto"/>
              <w:left w:val="nil"/>
              <w:bottom w:val="single" w:sz="4" w:space="0" w:color="auto"/>
              <w:right w:val="single" w:sz="4" w:space="0" w:color="auto"/>
            </w:tcBorders>
            <w:shd w:val="clear" w:color="000000" w:fill="D9D9D9"/>
            <w:noWrap/>
            <w:vAlign w:val="bottom"/>
            <w:hideMark/>
          </w:tcPr>
          <w:p w14:paraId="12DA7BF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2052</w:t>
            </w:r>
          </w:p>
        </w:tc>
      </w:tr>
      <w:tr w:rsidR="001A24C3" w:rsidRPr="00452956" w14:paraId="18865EC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BF8511B"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Plánovacie/projektové poplatky</w:t>
            </w:r>
          </w:p>
        </w:tc>
        <w:tc>
          <w:tcPr>
            <w:tcW w:w="0" w:type="auto"/>
            <w:tcBorders>
              <w:top w:val="nil"/>
              <w:left w:val="nil"/>
              <w:bottom w:val="single" w:sz="4" w:space="0" w:color="auto"/>
              <w:right w:val="single" w:sz="4" w:space="0" w:color="auto"/>
            </w:tcBorders>
            <w:shd w:val="clear" w:color="auto" w:fill="auto"/>
            <w:noWrap/>
            <w:vAlign w:val="bottom"/>
            <w:hideMark/>
          </w:tcPr>
          <w:p w14:paraId="704C43F6"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9 424 516,50</w:t>
            </w:r>
          </w:p>
        </w:tc>
        <w:tc>
          <w:tcPr>
            <w:tcW w:w="0" w:type="auto"/>
            <w:tcBorders>
              <w:top w:val="nil"/>
              <w:left w:val="nil"/>
              <w:bottom w:val="single" w:sz="4" w:space="0" w:color="auto"/>
              <w:right w:val="single" w:sz="4" w:space="0" w:color="auto"/>
            </w:tcBorders>
            <w:shd w:val="clear" w:color="auto" w:fill="auto"/>
            <w:noWrap/>
            <w:vAlign w:val="bottom"/>
            <w:hideMark/>
          </w:tcPr>
          <w:p w14:paraId="38D81553"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9 424 516,50</w:t>
            </w:r>
          </w:p>
        </w:tc>
        <w:tc>
          <w:tcPr>
            <w:tcW w:w="0" w:type="auto"/>
            <w:tcBorders>
              <w:top w:val="nil"/>
              <w:left w:val="nil"/>
              <w:bottom w:val="single" w:sz="4" w:space="0" w:color="auto"/>
              <w:right w:val="single" w:sz="4" w:space="0" w:color="auto"/>
            </w:tcBorders>
            <w:shd w:val="clear" w:color="auto" w:fill="auto"/>
            <w:noWrap/>
            <w:vAlign w:val="bottom"/>
            <w:hideMark/>
          </w:tcPr>
          <w:p w14:paraId="54B6ECCA"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8A6E0D8"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50C81AF"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BD7C76D"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00A8AEC"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F804FE9"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5C381FD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5EE0C65"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Pozemky</w:t>
            </w:r>
          </w:p>
        </w:tc>
        <w:tc>
          <w:tcPr>
            <w:tcW w:w="0" w:type="auto"/>
            <w:tcBorders>
              <w:top w:val="nil"/>
              <w:left w:val="nil"/>
              <w:bottom w:val="single" w:sz="4" w:space="0" w:color="auto"/>
              <w:right w:val="single" w:sz="4" w:space="0" w:color="auto"/>
            </w:tcBorders>
            <w:shd w:val="clear" w:color="auto" w:fill="auto"/>
            <w:noWrap/>
            <w:vAlign w:val="bottom"/>
            <w:hideMark/>
          </w:tcPr>
          <w:p w14:paraId="485E6950"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1 590 900,00</w:t>
            </w:r>
          </w:p>
        </w:tc>
        <w:tc>
          <w:tcPr>
            <w:tcW w:w="0" w:type="auto"/>
            <w:tcBorders>
              <w:top w:val="nil"/>
              <w:left w:val="nil"/>
              <w:bottom w:val="single" w:sz="4" w:space="0" w:color="auto"/>
              <w:right w:val="single" w:sz="4" w:space="0" w:color="auto"/>
            </w:tcBorders>
            <w:shd w:val="clear" w:color="auto" w:fill="auto"/>
            <w:noWrap/>
            <w:vAlign w:val="bottom"/>
            <w:hideMark/>
          </w:tcPr>
          <w:p w14:paraId="68FB0E2F"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1 590 900,00</w:t>
            </w:r>
          </w:p>
        </w:tc>
        <w:tc>
          <w:tcPr>
            <w:tcW w:w="0" w:type="auto"/>
            <w:tcBorders>
              <w:top w:val="nil"/>
              <w:left w:val="nil"/>
              <w:bottom w:val="single" w:sz="4" w:space="0" w:color="auto"/>
              <w:right w:val="single" w:sz="4" w:space="0" w:color="auto"/>
            </w:tcBorders>
            <w:shd w:val="clear" w:color="auto" w:fill="auto"/>
            <w:noWrap/>
            <w:vAlign w:val="bottom"/>
            <w:hideMark/>
          </w:tcPr>
          <w:p w14:paraId="025BFF0A"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E53CD92"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0021098"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A434454"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1A10B54"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A3C73ED"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5AA649C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2A65A7"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Príprava staveniska</w:t>
            </w:r>
          </w:p>
        </w:tc>
        <w:tc>
          <w:tcPr>
            <w:tcW w:w="0" w:type="auto"/>
            <w:tcBorders>
              <w:top w:val="nil"/>
              <w:left w:val="nil"/>
              <w:bottom w:val="single" w:sz="4" w:space="0" w:color="auto"/>
              <w:right w:val="single" w:sz="4" w:space="0" w:color="auto"/>
            </w:tcBorders>
            <w:shd w:val="clear" w:color="auto" w:fill="auto"/>
            <w:noWrap/>
            <w:vAlign w:val="bottom"/>
            <w:hideMark/>
          </w:tcPr>
          <w:p w14:paraId="258A9CC0"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1AC2693"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450B16A"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6B30B72"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DCAE963"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C682DB1"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3ADB805"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A794DB1"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36BCC058"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8694643"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Stavebné práce</w:t>
            </w:r>
          </w:p>
        </w:tc>
        <w:tc>
          <w:tcPr>
            <w:tcW w:w="0" w:type="auto"/>
            <w:tcBorders>
              <w:top w:val="nil"/>
              <w:left w:val="nil"/>
              <w:bottom w:val="single" w:sz="4" w:space="0" w:color="auto"/>
              <w:right w:val="single" w:sz="4" w:space="0" w:color="auto"/>
            </w:tcBorders>
            <w:shd w:val="clear" w:color="auto" w:fill="auto"/>
            <w:noWrap/>
            <w:vAlign w:val="bottom"/>
            <w:hideMark/>
          </w:tcPr>
          <w:p w14:paraId="39B9528E"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146 090 485,36</w:t>
            </w:r>
          </w:p>
        </w:tc>
        <w:tc>
          <w:tcPr>
            <w:tcW w:w="0" w:type="auto"/>
            <w:tcBorders>
              <w:top w:val="nil"/>
              <w:left w:val="nil"/>
              <w:bottom w:val="single" w:sz="4" w:space="0" w:color="auto"/>
              <w:right w:val="single" w:sz="4" w:space="0" w:color="auto"/>
            </w:tcBorders>
            <w:shd w:val="clear" w:color="auto" w:fill="auto"/>
            <w:noWrap/>
            <w:vAlign w:val="bottom"/>
            <w:hideMark/>
          </w:tcPr>
          <w:p w14:paraId="15A0DFBD"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54 978 454,28</w:t>
            </w:r>
          </w:p>
        </w:tc>
        <w:tc>
          <w:tcPr>
            <w:tcW w:w="0" w:type="auto"/>
            <w:tcBorders>
              <w:top w:val="nil"/>
              <w:left w:val="nil"/>
              <w:bottom w:val="single" w:sz="4" w:space="0" w:color="auto"/>
              <w:right w:val="single" w:sz="4" w:space="0" w:color="auto"/>
            </w:tcBorders>
            <w:shd w:val="clear" w:color="auto" w:fill="auto"/>
            <w:noWrap/>
            <w:vAlign w:val="bottom"/>
            <w:hideMark/>
          </w:tcPr>
          <w:p w14:paraId="57B41A71"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56 375 642,49</w:t>
            </w:r>
          </w:p>
        </w:tc>
        <w:tc>
          <w:tcPr>
            <w:tcW w:w="0" w:type="auto"/>
            <w:tcBorders>
              <w:top w:val="nil"/>
              <w:left w:val="nil"/>
              <w:bottom w:val="single" w:sz="4" w:space="0" w:color="auto"/>
              <w:right w:val="single" w:sz="4" w:space="0" w:color="auto"/>
            </w:tcBorders>
            <w:shd w:val="clear" w:color="auto" w:fill="auto"/>
            <w:noWrap/>
            <w:vAlign w:val="bottom"/>
            <w:hideMark/>
          </w:tcPr>
          <w:p w14:paraId="33675783"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34 736 388,59</w:t>
            </w:r>
          </w:p>
        </w:tc>
        <w:tc>
          <w:tcPr>
            <w:tcW w:w="0" w:type="auto"/>
            <w:tcBorders>
              <w:top w:val="nil"/>
              <w:left w:val="nil"/>
              <w:bottom w:val="single" w:sz="4" w:space="0" w:color="auto"/>
              <w:right w:val="single" w:sz="4" w:space="0" w:color="auto"/>
            </w:tcBorders>
            <w:shd w:val="clear" w:color="auto" w:fill="auto"/>
            <w:noWrap/>
            <w:vAlign w:val="bottom"/>
            <w:hideMark/>
          </w:tcPr>
          <w:p w14:paraId="1E951D1A"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98A201F"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2FF2F83"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2CE7DCC"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313B1E6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2BC38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Mosty železobetónové</w:t>
            </w:r>
          </w:p>
        </w:tc>
        <w:tc>
          <w:tcPr>
            <w:tcW w:w="0" w:type="auto"/>
            <w:tcBorders>
              <w:top w:val="nil"/>
              <w:left w:val="nil"/>
              <w:bottom w:val="single" w:sz="4" w:space="0" w:color="auto"/>
              <w:right w:val="single" w:sz="4" w:space="0" w:color="auto"/>
            </w:tcBorders>
            <w:shd w:val="clear" w:color="auto" w:fill="auto"/>
            <w:noWrap/>
            <w:vAlign w:val="bottom"/>
            <w:hideMark/>
          </w:tcPr>
          <w:p w14:paraId="63F866B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B8A149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B44AA9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45226F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EAED5E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4520EB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B0C252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BF92CD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33ABE36D"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09785B"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Mosty oceľové a mosty priepusty</w:t>
            </w:r>
          </w:p>
        </w:tc>
        <w:tc>
          <w:tcPr>
            <w:tcW w:w="0" w:type="auto"/>
            <w:tcBorders>
              <w:top w:val="nil"/>
              <w:left w:val="nil"/>
              <w:bottom w:val="single" w:sz="4" w:space="0" w:color="auto"/>
              <w:right w:val="single" w:sz="4" w:space="0" w:color="auto"/>
            </w:tcBorders>
            <w:shd w:val="clear" w:color="auto" w:fill="auto"/>
            <w:noWrap/>
            <w:vAlign w:val="bottom"/>
            <w:hideMark/>
          </w:tcPr>
          <w:p w14:paraId="3A5B245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28 342 983,30</w:t>
            </w:r>
          </w:p>
        </w:tc>
        <w:tc>
          <w:tcPr>
            <w:tcW w:w="0" w:type="auto"/>
            <w:tcBorders>
              <w:top w:val="nil"/>
              <w:left w:val="nil"/>
              <w:bottom w:val="single" w:sz="4" w:space="0" w:color="auto"/>
              <w:right w:val="single" w:sz="4" w:space="0" w:color="auto"/>
            </w:tcBorders>
            <w:shd w:val="clear" w:color="auto" w:fill="auto"/>
            <w:noWrap/>
            <w:vAlign w:val="bottom"/>
            <w:hideMark/>
          </w:tcPr>
          <w:p w14:paraId="558DB29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14 171 491,65</w:t>
            </w:r>
          </w:p>
        </w:tc>
        <w:tc>
          <w:tcPr>
            <w:tcW w:w="0" w:type="auto"/>
            <w:tcBorders>
              <w:top w:val="nil"/>
              <w:left w:val="nil"/>
              <w:bottom w:val="single" w:sz="4" w:space="0" w:color="auto"/>
              <w:right w:val="single" w:sz="4" w:space="0" w:color="auto"/>
            </w:tcBorders>
            <w:shd w:val="clear" w:color="auto" w:fill="auto"/>
            <w:noWrap/>
            <w:vAlign w:val="bottom"/>
            <w:hideMark/>
          </w:tcPr>
          <w:p w14:paraId="3808F8F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11 337 193,32</w:t>
            </w:r>
          </w:p>
        </w:tc>
        <w:tc>
          <w:tcPr>
            <w:tcW w:w="0" w:type="auto"/>
            <w:tcBorders>
              <w:top w:val="nil"/>
              <w:left w:val="nil"/>
              <w:bottom w:val="single" w:sz="4" w:space="0" w:color="auto"/>
              <w:right w:val="single" w:sz="4" w:space="0" w:color="auto"/>
            </w:tcBorders>
            <w:shd w:val="clear" w:color="auto" w:fill="auto"/>
            <w:noWrap/>
            <w:vAlign w:val="bottom"/>
            <w:hideMark/>
          </w:tcPr>
          <w:p w14:paraId="4B42DDD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2 834 298,33</w:t>
            </w:r>
          </w:p>
        </w:tc>
        <w:tc>
          <w:tcPr>
            <w:tcW w:w="0" w:type="auto"/>
            <w:tcBorders>
              <w:top w:val="nil"/>
              <w:left w:val="nil"/>
              <w:bottom w:val="single" w:sz="4" w:space="0" w:color="auto"/>
              <w:right w:val="single" w:sz="4" w:space="0" w:color="auto"/>
            </w:tcBorders>
            <w:shd w:val="clear" w:color="auto" w:fill="auto"/>
            <w:noWrap/>
            <w:vAlign w:val="bottom"/>
            <w:hideMark/>
          </w:tcPr>
          <w:p w14:paraId="5F46367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3A50CA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DE3928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E79046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7DD35B7E"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440A2F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Tunely</w:t>
            </w:r>
          </w:p>
        </w:tc>
        <w:tc>
          <w:tcPr>
            <w:tcW w:w="0" w:type="auto"/>
            <w:tcBorders>
              <w:top w:val="nil"/>
              <w:left w:val="nil"/>
              <w:bottom w:val="single" w:sz="4" w:space="0" w:color="auto"/>
              <w:right w:val="single" w:sz="4" w:space="0" w:color="auto"/>
            </w:tcBorders>
            <w:shd w:val="clear" w:color="auto" w:fill="auto"/>
            <w:noWrap/>
            <w:vAlign w:val="bottom"/>
            <w:hideMark/>
          </w:tcPr>
          <w:p w14:paraId="1EB9AE5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460E3D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411927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12C8D2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53044F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7D3C21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1C95222"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360A62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0FABB662"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3069E07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Budovy</w:t>
            </w:r>
          </w:p>
        </w:tc>
        <w:tc>
          <w:tcPr>
            <w:tcW w:w="0" w:type="auto"/>
            <w:tcBorders>
              <w:top w:val="nil"/>
              <w:left w:val="nil"/>
              <w:bottom w:val="single" w:sz="4" w:space="0" w:color="auto"/>
              <w:right w:val="single" w:sz="4" w:space="0" w:color="auto"/>
            </w:tcBorders>
            <w:shd w:val="clear" w:color="auto" w:fill="auto"/>
            <w:noWrap/>
            <w:vAlign w:val="bottom"/>
            <w:hideMark/>
          </w:tcPr>
          <w:p w14:paraId="68D6150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17 091,32</w:t>
            </w:r>
          </w:p>
        </w:tc>
        <w:tc>
          <w:tcPr>
            <w:tcW w:w="0" w:type="auto"/>
            <w:tcBorders>
              <w:top w:val="nil"/>
              <w:left w:val="nil"/>
              <w:bottom w:val="single" w:sz="4" w:space="0" w:color="auto"/>
              <w:right w:val="single" w:sz="4" w:space="0" w:color="auto"/>
            </w:tcBorders>
            <w:shd w:val="clear" w:color="auto" w:fill="auto"/>
            <w:noWrap/>
            <w:vAlign w:val="bottom"/>
            <w:hideMark/>
          </w:tcPr>
          <w:p w14:paraId="77F1331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17 091,32</w:t>
            </w:r>
          </w:p>
        </w:tc>
        <w:tc>
          <w:tcPr>
            <w:tcW w:w="0" w:type="auto"/>
            <w:tcBorders>
              <w:top w:val="nil"/>
              <w:left w:val="nil"/>
              <w:bottom w:val="single" w:sz="4" w:space="0" w:color="auto"/>
              <w:right w:val="single" w:sz="4" w:space="0" w:color="auto"/>
            </w:tcBorders>
            <w:shd w:val="clear" w:color="auto" w:fill="auto"/>
            <w:noWrap/>
            <w:vAlign w:val="bottom"/>
            <w:hideMark/>
          </w:tcPr>
          <w:p w14:paraId="7B41BDC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419DBE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F15DC5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4B31B5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62CF71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60F9AA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0A835AF7"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980814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Nástupištia</w:t>
            </w:r>
          </w:p>
        </w:tc>
        <w:tc>
          <w:tcPr>
            <w:tcW w:w="0" w:type="auto"/>
            <w:tcBorders>
              <w:top w:val="nil"/>
              <w:left w:val="nil"/>
              <w:bottom w:val="single" w:sz="4" w:space="0" w:color="auto"/>
              <w:right w:val="single" w:sz="4" w:space="0" w:color="auto"/>
            </w:tcBorders>
            <w:shd w:val="clear" w:color="auto" w:fill="auto"/>
            <w:noWrap/>
            <w:vAlign w:val="bottom"/>
            <w:hideMark/>
          </w:tcPr>
          <w:p w14:paraId="61ED4D8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2 737 466,94</w:t>
            </w:r>
          </w:p>
        </w:tc>
        <w:tc>
          <w:tcPr>
            <w:tcW w:w="0" w:type="auto"/>
            <w:tcBorders>
              <w:top w:val="nil"/>
              <w:left w:val="nil"/>
              <w:bottom w:val="single" w:sz="4" w:space="0" w:color="auto"/>
              <w:right w:val="single" w:sz="4" w:space="0" w:color="auto"/>
            </w:tcBorders>
            <w:shd w:val="clear" w:color="auto" w:fill="auto"/>
            <w:noWrap/>
            <w:vAlign w:val="bottom"/>
            <w:hideMark/>
          </w:tcPr>
          <w:p w14:paraId="67C4E73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7E8519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1 094 986,78</w:t>
            </w:r>
          </w:p>
        </w:tc>
        <w:tc>
          <w:tcPr>
            <w:tcW w:w="0" w:type="auto"/>
            <w:tcBorders>
              <w:top w:val="nil"/>
              <w:left w:val="nil"/>
              <w:bottom w:val="single" w:sz="4" w:space="0" w:color="auto"/>
              <w:right w:val="single" w:sz="4" w:space="0" w:color="auto"/>
            </w:tcBorders>
            <w:shd w:val="clear" w:color="auto" w:fill="auto"/>
            <w:noWrap/>
            <w:vAlign w:val="bottom"/>
            <w:hideMark/>
          </w:tcPr>
          <w:p w14:paraId="768F422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1 642 480,16</w:t>
            </w:r>
          </w:p>
        </w:tc>
        <w:tc>
          <w:tcPr>
            <w:tcW w:w="0" w:type="auto"/>
            <w:tcBorders>
              <w:top w:val="nil"/>
              <w:left w:val="nil"/>
              <w:bottom w:val="single" w:sz="4" w:space="0" w:color="auto"/>
              <w:right w:val="single" w:sz="4" w:space="0" w:color="auto"/>
            </w:tcBorders>
            <w:shd w:val="clear" w:color="auto" w:fill="auto"/>
            <w:noWrap/>
            <w:vAlign w:val="bottom"/>
            <w:hideMark/>
          </w:tcPr>
          <w:p w14:paraId="70E8ED3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2E223B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881D6C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818CD2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5F276F6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C456AA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Cestné komunikácie</w:t>
            </w:r>
          </w:p>
        </w:tc>
        <w:tc>
          <w:tcPr>
            <w:tcW w:w="0" w:type="auto"/>
            <w:tcBorders>
              <w:top w:val="nil"/>
              <w:left w:val="nil"/>
              <w:bottom w:val="single" w:sz="4" w:space="0" w:color="auto"/>
              <w:right w:val="single" w:sz="4" w:space="0" w:color="auto"/>
            </w:tcBorders>
            <w:shd w:val="clear" w:color="auto" w:fill="auto"/>
            <w:noWrap/>
            <w:vAlign w:val="bottom"/>
            <w:hideMark/>
          </w:tcPr>
          <w:p w14:paraId="3E188578"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1 524 955,57</w:t>
            </w:r>
          </w:p>
        </w:tc>
        <w:tc>
          <w:tcPr>
            <w:tcW w:w="0" w:type="auto"/>
            <w:tcBorders>
              <w:top w:val="nil"/>
              <w:left w:val="nil"/>
              <w:bottom w:val="single" w:sz="4" w:space="0" w:color="auto"/>
              <w:right w:val="single" w:sz="4" w:space="0" w:color="auto"/>
            </w:tcBorders>
            <w:shd w:val="clear" w:color="auto" w:fill="auto"/>
            <w:noWrap/>
            <w:vAlign w:val="bottom"/>
            <w:hideMark/>
          </w:tcPr>
          <w:p w14:paraId="4DC5247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762 477,79</w:t>
            </w:r>
          </w:p>
        </w:tc>
        <w:tc>
          <w:tcPr>
            <w:tcW w:w="0" w:type="auto"/>
            <w:tcBorders>
              <w:top w:val="nil"/>
              <w:left w:val="nil"/>
              <w:bottom w:val="single" w:sz="4" w:space="0" w:color="auto"/>
              <w:right w:val="single" w:sz="4" w:space="0" w:color="auto"/>
            </w:tcBorders>
            <w:shd w:val="clear" w:color="auto" w:fill="auto"/>
            <w:noWrap/>
            <w:vAlign w:val="bottom"/>
            <w:hideMark/>
          </w:tcPr>
          <w:p w14:paraId="1F15855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609 982,23</w:t>
            </w:r>
          </w:p>
        </w:tc>
        <w:tc>
          <w:tcPr>
            <w:tcW w:w="0" w:type="auto"/>
            <w:tcBorders>
              <w:top w:val="nil"/>
              <w:left w:val="nil"/>
              <w:bottom w:val="single" w:sz="4" w:space="0" w:color="auto"/>
              <w:right w:val="single" w:sz="4" w:space="0" w:color="auto"/>
            </w:tcBorders>
            <w:shd w:val="clear" w:color="auto" w:fill="auto"/>
            <w:noWrap/>
            <w:vAlign w:val="bottom"/>
            <w:hideMark/>
          </w:tcPr>
          <w:p w14:paraId="17A9EBD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152 495,56</w:t>
            </w:r>
          </w:p>
        </w:tc>
        <w:tc>
          <w:tcPr>
            <w:tcW w:w="0" w:type="auto"/>
            <w:tcBorders>
              <w:top w:val="nil"/>
              <w:left w:val="nil"/>
              <w:bottom w:val="single" w:sz="4" w:space="0" w:color="auto"/>
              <w:right w:val="single" w:sz="4" w:space="0" w:color="auto"/>
            </w:tcBorders>
            <w:shd w:val="clear" w:color="auto" w:fill="auto"/>
            <w:noWrap/>
            <w:vAlign w:val="bottom"/>
            <w:hideMark/>
          </w:tcPr>
          <w:p w14:paraId="6CCA8E7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1C978B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929424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EE054F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2089821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E991B2"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 xml:space="preserve">Trať – železničný spodok </w:t>
            </w:r>
          </w:p>
        </w:tc>
        <w:tc>
          <w:tcPr>
            <w:tcW w:w="0" w:type="auto"/>
            <w:tcBorders>
              <w:top w:val="nil"/>
              <w:left w:val="nil"/>
              <w:bottom w:val="single" w:sz="4" w:space="0" w:color="auto"/>
              <w:right w:val="single" w:sz="4" w:space="0" w:color="auto"/>
            </w:tcBorders>
            <w:shd w:val="clear" w:color="auto" w:fill="auto"/>
            <w:noWrap/>
            <w:vAlign w:val="bottom"/>
            <w:hideMark/>
          </w:tcPr>
          <w:p w14:paraId="498713E2"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13 811 404,47</w:t>
            </w:r>
          </w:p>
        </w:tc>
        <w:tc>
          <w:tcPr>
            <w:tcW w:w="0" w:type="auto"/>
            <w:tcBorders>
              <w:top w:val="nil"/>
              <w:left w:val="nil"/>
              <w:bottom w:val="single" w:sz="4" w:space="0" w:color="auto"/>
              <w:right w:val="single" w:sz="4" w:space="0" w:color="auto"/>
            </w:tcBorders>
            <w:shd w:val="clear" w:color="auto" w:fill="auto"/>
            <w:noWrap/>
            <w:vAlign w:val="bottom"/>
            <w:hideMark/>
          </w:tcPr>
          <w:p w14:paraId="5E12A41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5 524 561,79</w:t>
            </w:r>
          </w:p>
        </w:tc>
        <w:tc>
          <w:tcPr>
            <w:tcW w:w="0" w:type="auto"/>
            <w:tcBorders>
              <w:top w:val="nil"/>
              <w:left w:val="nil"/>
              <w:bottom w:val="single" w:sz="4" w:space="0" w:color="auto"/>
              <w:right w:val="single" w:sz="4" w:space="0" w:color="auto"/>
            </w:tcBorders>
            <w:shd w:val="clear" w:color="auto" w:fill="auto"/>
            <w:noWrap/>
            <w:vAlign w:val="bottom"/>
            <w:hideMark/>
          </w:tcPr>
          <w:p w14:paraId="0C2EAC4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5 524 561,79</w:t>
            </w:r>
          </w:p>
        </w:tc>
        <w:tc>
          <w:tcPr>
            <w:tcW w:w="0" w:type="auto"/>
            <w:tcBorders>
              <w:top w:val="nil"/>
              <w:left w:val="nil"/>
              <w:bottom w:val="single" w:sz="4" w:space="0" w:color="auto"/>
              <w:right w:val="single" w:sz="4" w:space="0" w:color="auto"/>
            </w:tcBorders>
            <w:shd w:val="clear" w:color="auto" w:fill="auto"/>
            <w:noWrap/>
            <w:vAlign w:val="bottom"/>
            <w:hideMark/>
          </w:tcPr>
          <w:p w14:paraId="7594CF8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2 762 280,89</w:t>
            </w:r>
          </w:p>
        </w:tc>
        <w:tc>
          <w:tcPr>
            <w:tcW w:w="0" w:type="auto"/>
            <w:tcBorders>
              <w:top w:val="nil"/>
              <w:left w:val="nil"/>
              <w:bottom w:val="single" w:sz="4" w:space="0" w:color="auto"/>
              <w:right w:val="single" w:sz="4" w:space="0" w:color="auto"/>
            </w:tcBorders>
            <w:shd w:val="clear" w:color="auto" w:fill="auto"/>
            <w:noWrap/>
            <w:vAlign w:val="bottom"/>
            <w:hideMark/>
          </w:tcPr>
          <w:p w14:paraId="68EB3C4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37514F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DB2FE88"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6DB925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2CDBAAC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64FD96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 xml:space="preserve">Trať – železničný zvršok </w:t>
            </w:r>
          </w:p>
        </w:tc>
        <w:tc>
          <w:tcPr>
            <w:tcW w:w="0" w:type="auto"/>
            <w:tcBorders>
              <w:top w:val="nil"/>
              <w:left w:val="nil"/>
              <w:bottom w:val="single" w:sz="4" w:space="0" w:color="auto"/>
              <w:right w:val="single" w:sz="4" w:space="0" w:color="auto"/>
            </w:tcBorders>
            <w:shd w:val="clear" w:color="auto" w:fill="auto"/>
            <w:noWrap/>
            <w:vAlign w:val="bottom"/>
            <w:hideMark/>
          </w:tcPr>
          <w:p w14:paraId="5054681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27 537 368,28</w:t>
            </w:r>
          </w:p>
        </w:tc>
        <w:tc>
          <w:tcPr>
            <w:tcW w:w="0" w:type="auto"/>
            <w:tcBorders>
              <w:top w:val="nil"/>
              <w:left w:val="nil"/>
              <w:bottom w:val="single" w:sz="4" w:space="0" w:color="auto"/>
              <w:right w:val="single" w:sz="4" w:space="0" w:color="auto"/>
            </w:tcBorders>
            <w:shd w:val="clear" w:color="auto" w:fill="auto"/>
            <w:noWrap/>
            <w:vAlign w:val="bottom"/>
            <w:hideMark/>
          </w:tcPr>
          <w:p w14:paraId="5128FC4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8 261 210,48</w:t>
            </w:r>
          </w:p>
        </w:tc>
        <w:tc>
          <w:tcPr>
            <w:tcW w:w="0" w:type="auto"/>
            <w:tcBorders>
              <w:top w:val="nil"/>
              <w:left w:val="nil"/>
              <w:bottom w:val="single" w:sz="4" w:space="0" w:color="auto"/>
              <w:right w:val="single" w:sz="4" w:space="0" w:color="auto"/>
            </w:tcBorders>
            <w:shd w:val="clear" w:color="auto" w:fill="auto"/>
            <w:noWrap/>
            <w:vAlign w:val="bottom"/>
            <w:hideMark/>
          </w:tcPr>
          <w:p w14:paraId="2C62770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11 014 947,31</w:t>
            </w:r>
          </w:p>
        </w:tc>
        <w:tc>
          <w:tcPr>
            <w:tcW w:w="0" w:type="auto"/>
            <w:tcBorders>
              <w:top w:val="nil"/>
              <w:left w:val="nil"/>
              <w:bottom w:val="single" w:sz="4" w:space="0" w:color="auto"/>
              <w:right w:val="single" w:sz="4" w:space="0" w:color="auto"/>
            </w:tcBorders>
            <w:shd w:val="clear" w:color="auto" w:fill="auto"/>
            <w:noWrap/>
            <w:vAlign w:val="bottom"/>
            <w:hideMark/>
          </w:tcPr>
          <w:p w14:paraId="587BFA9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8 261 210,48</w:t>
            </w:r>
          </w:p>
        </w:tc>
        <w:tc>
          <w:tcPr>
            <w:tcW w:w="0" w:type="auto"/>
            <w:tcBorders>
              <w:top w:val="nil"/>
              <w:left w:val="nil"/>
              <w:bottom w:val="single" w:sz="4" w:space="0" w:color="auto"/>
              <w:right w:val="single" w:sz="4" w:space="0" w:color="auto"/>
            </w:tcBorders>
            <w:shd w:val="clear" w:color="auto" w:fill="auto"/>
            <w:noWrap/>
            <w:vAlign w:val="bottom"/>
            <w:hideMark/>
          </w:tcPr>
          <w:p w14:paraId="274A3B0B"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5C7DEF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FC0F4D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87D601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739FDE18"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2340B3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Podporné a oporné múry, spevnenie svahu</w:t>
            </w:r>
          </w:p>
        </w:tc>
        <w:tc>
          <w:tcPr>
            <w:tcW w:w="0" w:type="auto"/>
            <w:tcBorders>
              <w:top w:val="nil"/>
              <w:left w:val="nil"/>
              <w:bottom w:val="single" w:sz="4" w:space="0" w:color="auto"/>
              <w:right w:val="single" w:sz="4" w:space="0" w:color="auto"/>
            </w:tcBorders>
            <w:shd w:val="clear" w:color="auto" w:fill="auto"/>
            <w:noWrap/>
            <w:vAlign w:val="bottom"/>
            <w:hideMark/>
          </w:tcPr>
          <w:p w14:paraId="219DD0F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23 144 536,10</w:t>
            </w:r>
          </w:p>
        </w:tc>
        <w:tc>
          <w:tcPr>
            <w:tcW w:w="0" w:type="auto"/>
            <w:tcBorders>
              <w:top w:val="nil"/>
              <w:left w:val="nil"/>
              <w:bottom w:val="single" w:sz="4" w:space="0" w:color="auto"/>
              <w:right w:val="single" w:sz="4" w:space="0" w:color="auto"/>
            </w:tcBorders>
            <w:shd w:val="clear" w:color="auto" w:fill="auto"/>
            <w:noWrap/>
            <w:vAlign w:val="bottom"/>
            <w:hideMark/>
          </w:tcPr>
          <w:p w14:paraId="3E661A6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12 003 171,64</w:t>
            </w:r>
          </w:p>
        </w:tc>
        <w:tc>
          <w:tcPr>
            <w:tcW w:w="0" w:type="auto"/>
            <w:tcBorders>
              <w:top w:val="nil"/>
              <w:left w:val="nil"/>
              <w:bottom w:val="single" w:sz="4" w:space="0" w:color="auto"/>
              <w:right w:val="single" w:sz="4" w:space="0" w:color="auto"/>
            </w:tcBorders>
            <w:shd w:val="clear" w:color="auto" w:fill="auto"/>
            <w:noWrap/>
            <w:vAlign w:val="bottom"/>
            <w:hideMark/>
          </w:tcPr>
          <w:p w14:paraId="6E0FB24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9 257 814,44</w:t>
            </w:r>
          </w:p>
        </w:tc>
        <w:tc>
          <w:tcPr>
            <w:tcW w:w="0" w:type="auto"/>
            <w:tcBorders>
              <w:top w:val="nil"/>
              <w:left w:val="nil"/>
              <w:bottom w:val="single" w:sz="4" w:space="0" w:color="auto"/>
              <w:right w:val="single" w:sz="4" w:space="0" w:color="auto"/>
            </w:tcBorders>
            <w:shd w:val="clear" w:color="auto" w:fill="auto"/>
            <w:noWrap/>
            <w:vAlign w:val="bottom"/>
            <w:hideMark/>
          </w:tcPr>
          <w:p w14:paraId="6B36B42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1 883 550,03</w:t>
            </w:r>
          </w:p>
        </w:tc>
        <w:tc>
          <w:tcPr>
            <w:tcW w:w="0" w:type="auto"/>
            <w:tcBorders>
              <w:top w:val="nil"/>
              <w:left w:val="nil"/>
              <w:bottom w:val="single" w:sz="4" w:space="0" w:color="auto"/>
              <w:right w:val="single" w:sz="4" w:space="0" w:color="auto"/>
            </w:tcBorders>
            <w:shd w:val="clear" w:color="auto" w:fill="auto"/>
            <w:noWrap/>
            <w:vAlign w:val="bottom"/>
            <w:hideMark/>
          </w:tcPr>
          <w:p w14:paraId="2CAAAAF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A6D9B6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9EE7CF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D3C76A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6785BCC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718363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Elektrifikácia – trakčné napájacie stanice, trakčné vedenia</w:t>
            </w:r>
          </w:p>
        </w:tc>
        <w:tc>
          <w:tcPr>
            <w:tcW w:w="0" w:type="auto"/>
            <w:tcBorders>
              <w:top w:val="nil"/>
              <w:left w:val="nil"/>
              <w:bottom w:val="single" w:sz="4" w:space="0" w:color="auto"/>
              <w:right w:val="single" w:sz="4" w:space="0" w:color="auto"/>
            </w:tcBorders>
            <w:shd w:val="clear" w:color="auto" w:fill="auto"/>
            <w:noWrap/>
            <w:vAlign w:val="bottom"/>
            <w:hideMark/>
          </w:tcPr>
          <w:p w14:paraId="56E5447B"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23 237 706,54</w:t>
            </w:r>
          </w:p>
        </w:tc>
        <w:tc>
          <w:tcPr>
            <w:tcW w:w="0" w:type="auto"/>
            <w:tcBorders>
              <w:top w:val="nil"/>
              <w:left w:val="nil"/>
              <w:bottom w:val="single" w:sz="4" w:space="0" w:color="auto"/>
              <w:right w:val="single" w:sz="4" w:space="0" w:color="auto"/>
            </w:tcBorders>
            <w:shd w:val="clear" w:color="auto" w:fill="auto"/>
            <w:noWrap/>
            <w:vAlign w:val="bottom"/>
            <w:hideMark/>
          </w:tcPr>
          <w:p w14:paraId="348114B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6 971 311,96</w:t>
            </w:r>
          </w:p>
        </w:tc>
        <w:tc>
          <w:tcPr>
            <w:tcW w:w="0" w:type="auto"/>
            <w:tcBorders>
              <w:top w:val="nil"/>
              <w:left w:val="nil"/>
              <w:bottom w:val="single" w:sz="4" w:space="0" w:color="auto"/>
              <w:right w:val="single" w:sz="4" w:space="0" w:color="auto"/>
            </w:tcBorders>
            <w:shd w:val="clear" w:color="auto" w:fill="auto"/>
            <w:noWrap/>
            <w:vAlign w:val="bottom"/>
            <w:hideMark/>
          </w:tcPr>
          <w:p w14:paraId="5704E89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9 295 082,62</w:t>
            </w:r>
          </w:p>
        </w:tc>
        <w:tc>
          <w:tcPr>
            <w:tcW w:w="0" w:type="auto"/>
            <w:tcBorders>
              <w:top w:val="nil"/>
              <w:left w:val="nil"/>
              <w:bottom w:val="single" w:sz="4" w:space="0" w:color="auto"/>
              <w:right w:val="single" w:sz="4" w:space="0" w:color="auto"/>
            </w:tcBorders>
            <w:shd w:val="clear" w:color="auto" w:fill="auto"/>
            <w:noWrap/>
            <w:vAlign w:val="bottom"/>
            <w:hideMark/>
          </w:tcPr>
          <w:p w14:paraId="725B5AC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6 971 311,96</w:t>
            </w:r>
          </w:p>
        </w:tc>
        <w:tc>
          <w:tcPr>
            <w:tcW w:w="0" w:type="auto"/>
            <w:tcBorders>
              <w:top w:val="nil"/>
              <w:left w:val="nil"/>
              <w:bottom w:val="single" w:sz="4" w:space="0" w:color="auto"/>
              <w:right w:val="single" w:sz="4" w:space="0" w:color="auto"/>
            </w:tcBorders>
            <w:shd w:val="clear" w:color="auto" w:fill="auto"/>
            <w:noWrap/>
            <w:vAlign w:val="bottom"/>
            <w:hideMark/>
          </w:tcPr>
          <w:p w14:paraId="35B60BB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3EC1E5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4556FB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CAB6D1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7914289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A76CC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Oznamovacie a telekomunikačné zariadenia</w:t>
            </w:r>
          </w:p>
        </w:tc>
        <w:tc>
          <w:tcPr>
            <w:tcW w:w="0" w:type="auto"/>
            <w:tcBorders>
              <w:top w:val="nil"/>
              <w:left w:val="nil"/>
              <w:bottom w:val="single" w:sz="4" w:space="0" w:color="auto"/>
              <w:right w:val="single" w:sz="4" w:space="0" w:color="auto"/>
            </w:tcBorders>
            <w:shd w:val="clear" w:color="auto" w:fill="auto"/>
            <w:noWrap/>
            <w:vAlign w:val="bottom"/>
            <w:hideMark/>
          </w:tcPr>
          <w:p w14:paraId="0204729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4 481 983,95</w:t>
            </w:r>
          </w:p>
        </w:tc>
        <w:tc>
          <w:tcPr>
            <w:tcW w:w="0" w:type="auto"/>
            <w:tcBorders>
              <w:top w:val="nil"/>
              <w:left w:val="nil"/>
              <w:bottom w:val="single" w:sz="4" w:space="0" w:color="auto"/>
              <w:right w:val="single" w:sz="4" w:space="0" w:color="auto"/>
            </w:tcBorders>
            <w:shd w:val="clear" w:color="auto" w:fill="auto"/>
            <w:noWrap/>
            <w:vAlign w:val="bottom"/>
            <w:hideMark/>
          </w:tcPr>
          <w:p w14:paraId="7FAC1CE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448 198,40</w:t>
            </w:r>
          </w:p>
        </w:tc>
        <w:tc>
          <w:tcPr>
            <w:tcW w:w="0" w:type="auto"/>
            <w:tcBorders>
              <w:top w:val="nil"/>
              <w:left w:val="nil"/>
              <w:bottom w:val="single" w:sz="4" w:space="0" w:color="auto"/>
              <w:right w:val="single" w:sz="4" w:space="0" w:color="auto"/>
            </w:tcBorders>
            <w:shd w:val="clear" w:color="auto" w:fill="auto"/>
            <w:noWrap/>
            <w:vAlign w:val="bottom"/>
            <w:hideMark/>
          </w:tcPr>
          <w:p w14:paraId="08DEEB2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896 396,79</w:t>
            </w:r>
          </w:p>
        </w:tc>
        <w:tc>
          <w:tcPr>
            <w:tcW w:w="0" w:type="auto"/>
            <w:tcBorders>
              <w:top w:val="nil"/>
              <w:left w:val="nil"/>
              <w:bottom w:val="single" w:sz="4" w:space="0" w:color="auto"/>
              <w:right w:val="single" w:sz="4" w:space="0" w:color="auto"/>
            </w:tcBorders>
            <w:shd w:val="clear" w:color="auto" w:fill="auto"/>
            <w:noWrap/>
            <w:vAlign w:val="bottom"/>
            <w:hideMark/>
          </w:tcPr>
          <w:p w14:paraId="6AEEDD3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3 137 388,77</w:t>
            </w:r>
          </w:p>
        </w:tc>
        <w:tc>
          <w:tcPr>
            <w:tcW w:w="0" w:type="auto"/>
            <w:tcBorders>
              <w:top w:val="nil"/>
              <w:left w:val="nil"/>
              <w:bottom w:val="single" w:sz="4" w:space="0" w:color="auto"/>
              <w:right w:val="single" w:sz="4" w:space="0" w:color="auto"/>
            </w:tcBorders>
            <w:shd w:val="clear" w:color="auto" w:fill="auto"/>
            <w:noWrap/>
            <w:vAlign w:val="bottom"/>
            <w:hideMark/>
          </w:tcPr>
          <w:p w14:paraId="68A8DEAB"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1732AC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A3BDF6B"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5F6D34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45673E56"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56685A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Signalizačné a zabezpečovacie zariadenia</w:t>
            </w:r>
          </w:p>
        </w:tc>
        <w:tc>
          <w:tcPr>
            <w:tcW w:w="0" w:type="auto"/>
            <w:tcBorders>
              <w:top w:val="nil"/>
              <w:left w:val="nil"/>
              <w:bottom w:val="single" w:sz="4" w:space="0" w:color="auto"/>
              <w:right w:val="single" w:sz="4" w:space="0" w:color="auto"/>
            </w:tcBorders>
            <w:shd w:val="clear" w:color="auto" w:fill="auto"/>
            <w:noWrap/>
            <w:vAlign w:val="bottom"/>
            <w:hideMark/>
          </w:tcPr>
          <w:p w14:paraId="1922D65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2 893 295,85</w:t>
            </w:r>
          </w:p>
        </w:tc>
        <w:tc>
          <w:tcPr>
            <w:tcW w:w="0" w:type="auto"/>
            <w:tcBorders>
              <w:top w:val="nil"/>
              <w:left w:val="nil"/>
              <w:bottom w:val="single" w:sz="4" w:space="0" w:color="auto"/>
              <w:right w:val="single" w:sz="4" w:space="0" w:color="auto"/>
            </w:tcBorders>
            <w:shd w:val="clear" w:color="auto" w:fill="auto"/>
            <w:noWrap/>
            <w:vAlign w:val="bottom"/>
            <w:hideMark/>
          </w:tcPr>
          <w:p w14:paraId="6885FD6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756656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87D013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2 893 295,85</w:t>
            </w:r>
          </w:p>
        </w:tc>
        <w:tc>
          <w:tcPr>
            <w:tcW w:w="0" w:type="auto"/>
            <w:tcBorders>
              <w:top w:val="nil"/>
              <w:left w:val="nil"/>
              <w:bottom w:val="single" w:sz="4" w:space="0" w:color="auto"/>
              <w:right w:val="single" w:sz="4" w:space="0" w:color="auto"/>
            </w:tcBorders>
            <w:shd w:val="clear" w:color="auto" w:fill="auto"/>
            <w:noWrap/>
            <w:vAlign w:val="bottom"/>
            <w:hideMark/>
          </w:tcPr>
          <w:p w14:paraId="7EA4DB9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58A3C8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340D1E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8C129A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57482AD0"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24CF473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Zariadenia energetiky a elektrotechniky</w:t>
            </w:r>
          </w:p>
        </w:tc>
        <w:tc>
          <w:tcPr>
            <w:tcW w:w="0" w:type="auto"/>
            <w:tcBorders>
              <w:top w:val="nil"/>
              <w:left w:val="nil"/>
              <w:bottom w:val="single" w:sz="4" w:space="0" w:color="auto"/>
              <w:right w:val="single" w:sz="4" w:space="0" w:color="auto"/>
            </w:tcBorders>
            <w:shd w:val="clear" w:color="auto" w:fill="auto"/>
            <w:noWrap/>
            <w:vAlign w:val="bottom"/>
            <w:hideMark/>
          </w:tcPr>
          <w:p w14:paraId="3EEB6730"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7E2795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6562E2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335CB2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1BEDB7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1F5AD8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90F23A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4D8ABE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62A42A69"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069F629B"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 xml:space="preserve">Stroje a zariadenia </w:t>
            </w:r>
          </w:p>
        </w:tc>
        <w:tc>
          <w:tcPr>
            <w:tcW w:w="0" w:type="auto"/>
            <w:tcBorders>
              <w:top w:val="nil"/>
              <w:left w:val="nil"/>
              <w:bottom w:val="single" w:sz="4" w:space="0" w:color="auto"/>
              <w:right w:val="single" w:sz="4" w:space="0" w:color="auto"/>
            </w:tcBorders>
            <w:shd w:val="clear" w:color="auto" w:fill="auto"/>
            <w:noWrap/>
            <w:vAlign w:val="bottom"/>
            <w:hideMark/>
          </w:tcPr>
          <w:p w14:paraId="2B967D2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74BCE0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22CD23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C896DB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F43926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E54295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DC404F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3FE6CE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54BF2B4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EFBF83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Protihlukové a iné prvky ochrany životného prostredia</w:t>
            </w:r>
          </w:p>
        </w:tc>
        <w:tc>
          <w:tcPr>
            <w:tcW w:w="0" w:type="auto"/>
            <w:tcBorders>
              <w:top w:val="nil"/>
              <w:left w:val="nil"/>
              <w:bottom w:val="single" w:sz="4" w:space="0" w:color="auto"/>
              <w:right w:val="single" w:sz="4" w:space="0" w:color="auto"/>
            </w:tcBorders>
            <w:shd w:val="clear" w:color="auto" w:fill="auto"/>
            <w:noWrap/>
            <w:vAlign w:val="bottom"/>
            <w:hideMark/>
          </w:tcPr>
          <w:p w14:paraId="336DB89C"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5 257 379,53</w:t>
            </w:r>
          </w:p>
        </w:tc>
        <w:tc>
          <w:tcPr>
            <w:tcW w:w="0" w:type="auto"/>
            <w:tcBorders>
              <w:top w:val="nil"/>
              <w:left w:val="nil"/>
              <w:bottom w:val="single" w:sz="4" w:space="0" w:color="auto"/>
              <w:right w:val="single" w:sz="4" w:space="0" w:color="auto"/>
            </w:tcBorders>
            <w:shd w:val="clear" w:color="auto" w:fill="auto"/>
            <w:noWrap/>
            <w:vAlign w:val="bottom"/>
            <w:hideMark/>
          </w:tcPr>
          <w:p w14:paraId="13500AB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1 577 213,86</w:t>
            </w:r>
          </w:p>
        </w:tc>
        <w:tc>
          <w:tcPr>
            <w:tcW w:w="0" w:type="auto"/>
            <w:tcBorders>
              <w:top w:val="nil"/>
              <w:left w:val="nil"/>
              <w:bottom w:val="single" w:sz="4" w:space="0" w:color="auto"/>
              <w:right w:val="single" w:sz="4" w:space="0" w:color="auto"/>
            </w:tcBorders>
            <w:shd w:val="clear" w:color="auto" w:fill="auto"/>
            <w:noWrap/>
            <w:vAlign w:val="bottom"/>
            <w:hideMark/>
          </w:tcPr>
          <w:p w14:paraId="00B80AB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2 102 951,81</w:t>
            </w:r>
          </w:p>
        </w:tc>
        <w:tc>
          <w:tcPr>
            <w:tcW w:w="0" w:type="auto"/>
            <w:tcBorders>
              <w:top w:val="nil"/>
              <w:left w:val="nil"/>
              <w:bottom w:val="single" w:sz="4" w:space="0" w:color="auto"/>
              <w:right w:val="single" w:sz="4" w:space="0" w:color="auto"/>
            </w:tcBorders>
            <w:shd w:val="clear" w:color="auto" w:fill="auto"/>
            <w:noWrap/>
            <w:vAlign w:val="bottom"/>
            <w:hideMark/>
          </w:tcPr>
          <w:p w14:paraId="2F7FC81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1 577 213,86</w:t>
            </w:r>
          </w:p>
        </w:tc>
        <w:tc>
          <w:tcPr>
            <w:tcW w:w="0" w:type="auto"/>
            <w:tcBorders>
              <w:top w:val="nil"/>
              <w:left w:val="nil"/>
              <w:bottom w:val="single" w:sz="4" w:space="0" w:color="auto"/>
              <w:right w:val="single" w:sz="4" w:space="0" w:color="auto"/>
            </w:tcBorders>
            <w:shd w:val="clear" w:color="auto" w:fill="auto"/>
            <w:noWrap/>
            <w:vAlign w:val="bottom"/>
            <w:hideMark/>
          </w:tcPr>
          <w:p w14:paraId="542C5B12"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4AEADC6"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C4D5A32"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E8A252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43276CC3"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4ECC0F3"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Ostatné</w:t>
            </w:r>
          </w:p>
        </w:tc>
        <w:tc>
          <w:tcPr>
            <w:tcW w:w="0" w:type="auto"/>
            <w:tcBorders>
              <w:top w:val="nil"/>
              <w:left w:val="nil"/>
              <w:bottom w:val="single" w:sz="4" w:space="0" w:color="auto"/>
              <w:right w:val="single" w:sz="4" w:space="0" w:color="auto"/>
            </w:tcBorders>
            <w:shd w:val="clear" w:color="auto" w:fill="auto"/>
            <w:noWrap/>
            <w:vAlign w:val="bottom"/>
            <w:hideMark/>
          </w:tcPr>
          <w:p w14:paraId="49B308E9"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469BC4A"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769676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1B1CD3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D1B74A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157F0AF"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5B9294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B70D851"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6550134A"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A84420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Vyvolané investície</w:t>
            </w:r>
          </w:p>
        </w:tc>
        <w:tc>
          <w:tcPr>
            <w:tcW w:w="0" w:type="auto"/>
            <w:tcBorders>
              <w:top w:val="nil"/>
              <w:left w:val="nil"/>
              <w:bottom w:val="single" w:sz="4" w:space="0" w:color="auto"/>
              <w:right w:val="single" w:sz="4" w:space="0" w:color="auto"/>
            </w:tcBorders>
            <w:shd w:val="clear" w:color="auto" w:fill="auto"/>
            <w:noWrap/>
            <w:vAlign w:val="bottom"/>
            <w:hideMark/>
          </w:tcPr>
          <w:p w14:paraId="1EE570BE"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13 104 313,49</w:t>
            </w:r>
          </w:p>
        </w:tc>
        <w:tc>
          <w:tcPr>
            <w:tcW w:w="0" w:type="auto"/>
            <w:tcBorders>
              <w:top w:val="nil"/>
              <w:left w:val="nil"/>
              <w:bottom w:val="single" w:sz="4" w:space="0" w:color="auto"/>
              <w:right w:val="single" w:sz="4" w:space="0" w:color="auto"/>
            </w:tcBorders>
            <w:shd w:val="clear" w:color="auto" w:fill="auto"/>
            <w:noWrap/>
            <w:vAlign w:val="bottom"/>
            <w:hideMark/>
          </w:tcPr>
          <w:p w14:paraId="6322E1F8"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5 241 725,40</w:t>
            </w:r>
          </w:p>
        </w:tc>
        <w:tc>
          <w:tcPr>
            <w:tcW w:w="0" w:type="auto"/>
            <w:tcBorders>
              <w:top w:val="nil"/>
              <w:left w:val="nil"/>
              <w:bottom w:val="single" w:sz="4" w:space="0" w:color="auto"/>
              <w:right w:val="single" w:sz="4" w:space="0" w:color="auto"/>
            </w:tcBorders>
            <w:shd w:val="clear" w:color="auto" w:fill="auto"/>
            <w:noWrap/>
            <w:vAlign w:val="bottom"/>
            <w:hideMark/>
          </w:tcPr>
          <w:p w14:paraId="4C43C2BB"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5 241 725,40</w:t>
            </w:r>
          </w:p>
        </w:tc>
        <w:tc>
          <w:tcPr>
            <w:tcW w:w="0" w:type="auto"/>
            <w:tcBorders>
              <w:top w:val="nil"/>
              <w:left w:val="nil"/>
              <w:bottom w:val="single" w:sz="4" w:space="0" w:color="auto"/>
              <w:right w:val="single" w:sz="4" w:space="0" w:color="auto"/>
            </w:tcBorders>
            <w:shd w:val="clear" w:color="auto" w:fill="auto"/>
            <w:noWrap/>
            <w:vAlign w:val="bottom"/>
            <w:hideMark/>
          </w:tcPr>
          <w:p w14:paraId="5E925F64"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2 620 862,70</w:t>
            </w:r>
          </w:p>
        </w:tc>
        <w:tc>
          <w:tcPr>
            <w:tcW w:w="0" w:type="auto"/>
            <w:tcBorders>
              <w:top w:val="nil"/>
              <w:left w:val="nil"/>
              <w:bottom w:val="single" w:sz="4" w:space="0" w:color="auto"/>
              <w:right w:val="single" w:sz="4" w:space="0" w:color="auto"/>
            </w:tcBorders>
            <w:shd w:val="clear" w:color="auto" w:fill="auto"/>
            <w:noWrap/>
            <w:vAlign w:val="bottom"/>
            <w:hideMark/>
          </w:tcPr>
          <w:p w14:paraId="306268E7"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A5F3D22"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2B92BAD"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4CD5C05" w14:textId="77777777" w:rsidR="001A24C3" w:rsidRPr="00452956" w:rsidRDefault="001A24C3" w:rsidP="00300963">
            <w:pPr>
              <w:jc w:val="right"/>
              <w:rPr>
                <w:rFonts w:ascii="Arial" w:eastAsia="Times New Roman" w:hAnsi="Arial" w:cs="Arial"/>
                <w:i/>
                <w:iCs/>
                <w:sz w:val="12"/>
                <w:szCs w:val="12"/>
                <w:lang w:eastAsia="sk-SK"/>
              </w:rPr>
            </w:pPr>
            <w:r w:rsidRPr="00452956">
              <w:rPr>
                <w:rFonts w:ascii="Arial" w:eastAsia="Times New Roman" w:hAnsi="Arial" w:cs="Arial"/>
                <w:i/>
                <w:iCs/>
                <w:sz w:val="12"/>
                <w:szCs w:val="12"/>
                <w:lang w:eastAsia="sk-SK"/>
              </w:rPr>
              <w:t>0,00</w:t>
            </w:r>
          </w:p>
        </w:tc>
      </w:tr>
      <w:tr w:rsidR="001A24C3" w:rsidRPr="00452956" w14:paraId="32183BBB"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4C00F82A"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Dozor</w:t>
            </w:r>
          </w:p>
        </w:tc>
        <w:tc>
          <w:tcPr>
            <w:tcW w:w="0" w:type="auto"/>
            <w:tcBorders>
              <w:top w:val="nil"/>
              <w:left w:val="nil"/>
              <w:bottom w:val="single" w:sz="4" w:space="0" w:color="auto"/>
              <w:right w:val="single" w:sz="4" w:space="0" w:color="auto"/>
            </w:tcBorders>
            <w:shd w:val="clear" w:color="auto" w:fill="auto"/>
            <w:noWrap/>
            <w:vAlign w:val="bottom"/>
            <w:hideMark/>
          </w:tcPr>
          <w:p w14:paraId="5C3D4DE1"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4 382 714,56</w:t>
            </w:r>
          </w:p>
        </w:tc>
        <w:tc>
          <w:tcPr>
            <w:tcW w:w="0" w:type="auto"/>
            <w:tcBorders>
              <w:top w:val="nil"/>
              <w:left w:val="nil"/>
              <w:bottom w:val="single" w:sz="4" w:space="0" w:color="auto"/>
              <w:right w:val="single" w:sz="4" w:space="0" w:color="auto"/>
            </w:tcBorders>
            <w:shd w:val="clear" w:color="auto" w:fill="auto"/>
            <w:noWrap/>
            <w:vAlign w:val="bottom"/>
            <w:hideMark/>
          </w:tcPr>
          <w:p w14:paraId="36E19CC9"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1 649 353,63</w:t>
            </w:r>
          </w:p>
        </w:tc>
        <w:tc>
          <w:tcPr>
            <w:tcW w:w="0" w:type="auto"/>
            <w:tcBorders>
              <w:top w:val="nil"/>
              <w:left w:val="nil"/>
              <w:bottom w:val="single" w:sz="4" w:space="0" w:color="auto"/>
              <w:right w:val="single" w:sz="4" w:space="0" w:color="auto"/>
            </w:tcBorders>
            <w:shd w:val="clear" w:color="auto" w:fill="auto"/>
            <w:noWrap/>
            <w:vAlign w:val="bottom"/>
            <w:hideMark/>
          </w:tcPr>
          <w:p w14:paraId="0848A204"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1 691 269,27</w:t>
            </w:r>
          </w:p>
        </w:tc>
        <w:tc>
          <w:tcPr>
            <w:tcW w:w="0" w:type="auto"/>
            <w:tcBorders>
              <w:top w:val="nil"/>
              <w:left w:val="nil"/>
              <w:bottom w:val="single" w:sz="4" w:space="0" w:color="auto"/>
              <w:right w:val="single" w:sz="4" w:space="0" w:color="auto"/>
            </w:tcBorders>
            <w:shd w:val="clear" w:color="auto" w:fill="auto"/>
            <w:noWrap/>
            <w:vAlign w:val="bottom"/>
            <w:hideMark/>
          </w:tcPr>
          <w:p w14:paraId="657C2282"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1 042 091,66</w:t>
            </w:r>
          </w:p>
        </w:tc>
        <w:tc>
          <w:tcPr>
            <w:tcW w:w="0" w:type="auto"/>
            <w:tcBorders>
              <w:top w:val="nil"/>
              <w:left w:val="nil"/>
              <w:bottom w:val="single" w:sz="4" w:space="0" w:color="auto"/>
              <w:right w:val="single" w:sz="4" w:space="0" w:color="auto"/>
            </w:tcBorders>
            <w:shd w:val="clear" w:color="auto" w:fill="auto"/>
            <w:noWrap/>
            <w:vAlign w:val="bottom"/>
            <w:hideMark/>
          </w:tcPr>
          <w:p w14:paraId="6644B1C3"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74646C30"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B977249"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C08364F"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53C03AE5" w14:textId="77777777" w:rsidTr="00300963">
        <w:trPr>
          <w:trHeight w:val="204"/>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66B85643"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Iné služby (Technická pomoc, Publicita, Externé riadenie)</w:t>
            </w:r>
          </w:p>
        </w:tc>
        <w:tc>
          <w:tcPr>
            <w:tcW w:w="0" w:type="auto"/>
            <w:tcBorders>
              <w:top w:val="nil"/>
              <w:left w:val="nil"/>
              <w:bottom w:val="single" w:sz="4" w:space="0" w:color="auto"/>
              <w:right w:val="single" w:sz="4" w:space="0" w:color="auto"/>
            </w:tcBorders>
            <w:shd w:val="clear" w:color="auto" w:fill="auto"/>
            <w:noWrap/>
            <w:vAlign w:val="bottom"/>
            <w:hideMark/>
          </w:tcPr>
          <w:p w14:paraId="48D246AB"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45EDF167"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5452C9BE"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7126940"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85C6CF4"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3CCCA907"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127D49F6"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B8B22BA"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13B09640" w14:textId="77777777" w:rsidTr="008B078A">
        <w:trPr>
          <w:trHeight w:val="169"/>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10A050D1" w14:textId="77777777" w:rsidR="001A24C3" w:rsidRPr="00452956" w:rsidRDefault="001A24C3" w:rsidP="00300963">
            <w:pP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Celkové investičné náklady</w:t>
            </w:r>
          </w:p>
        </w:tc>
        <w:tc>
          <w:tcPr>
            <w:tcW w:w="0" w:type="auto"/>
            <w:tcBorders>
              <w:top w:val="nil"/>
              <w:left w:val="nil"/>
              <w:bottom w:val="single" w:sz="4" w:space="0" w:color="auto"/>
              <w:right w:val="single" w:sz="4" w:space="0" w:color="auto"/>
            </w:tcBorders>
            <w:shd w:val="clear" w:color="auto" w:fill="auto"/>
            <w:noWrap/>
            <w:vAlign w:val="bottom"/>
            <w:hideMark/>
          </w:tcPr>
          <w:p w14:paraId="71490B6F"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161 488 616,42</w:t>
            </w:r>
          </w:p>
        </w:tc>
        <w:tc>
          <w:tcPr>
            <w:tcW w:w="0" w:type="auto"/>
            <w:tcBorders>
              <w:top w:val="nil"/>
              <w:left w:val="nil"/>
              <w:bottom w:val="single" w:sz="4" w:space="0" w:color="auto"/>
              <w:right w:val="single" w:sz="4" w:space="0" w:color="auto"/>
            </w:tcBorders>
            <w:shd w:val="clear" w:color="auto" w:fill="auto"/>
            <w:noWrap/>
            <w:vAlign w:val="bottom"/>
            <w:hideMark/>
          </w:tcPr>
          <w:p w14:paraId="1A48934B"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67 643 224,41</w:t>
            </w:r>
          </w:p>
        </w:tc>
        <w:tc>
          <w:tcPr>
            <w:tcW w:w="0" w:type="auto"/>
            <w:tcBorders>
              <w:top w:val="nil"/>
              <w:left w:val="nil"/>
              <w:bottom w:val="single" w:sz="4" w:space="0" w:color="auto"/>
              <w:right w:val="single" w:sz="4" w:space="0" w:color="auto"/>
            </w:tcBorders>
            <w:shd w:val="clear" w:color="auto" w:fill="auto"/>
            <w:noWrap/>
            <w:vAlign w:val="bottom"/>
            <w:hideMark/>
          </w:tcPr>
          <w:p w14:paraId="6D47625C"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58 066 911,76</w:t>
            </w:r>
          </w:p>
        </w:tc>
        <w:tc>
          <w:tcPr>
            <w:tcW w:w="0" w:type="auto"/>
            <w:tcBorders>
              <w:top w:val="nil"/>
              <w:left w:val="nil"/>
              <w:bottom w:val="single" w:sz="4" w:space="0" w:color="auto"/>
              <w:right w:val="single" w:sz="4" w:space="0" w:color="auto"/>
            </w:tcBorders>
            <w:shd w:val="clear" w:color="auto" w:fill="auto"/>
            <w:noWrap/>
            <w:vAlign w:val="bottom"/>
            <w:hideMark/>
          </w:tcPr>
          <w:p w14:paraId="66955383"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35 778 480,25</w:t>
            </w:r>
          </w:p>
        </w:tc>
        <w:tc>
          <w:tcPr>
            <w:tcW w:w="0" w:type="auto"/>
            <w:tcBorders>
              <w:top w:val="nil"/>
              <w:left w:val="nil"/>
              <w:bottom w:val="single" w:sz="4" w:space="0" w:color="auto"/>
              <w:right w:val="single" w:sz="4" w:space="0" w:color="auto"/>
            </w:tcBorders>
            <w:shd w:val="clear" w:color="auto" w:fill="auto"/>
            <w:noWrap/>
            <w:vAlign w:val="bottom"/>
            <w:hideMark/>
          </w:tcPr>
          <w:p w14:paraId="09B1BE9B"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02E9F703"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64B5D221"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0,00</w:t>
            </w:r>
          </w:p>
        </w:tc>
        <w:tc>
          <w:tcPr>
            <w:tcW w:w="0" w:type="auto"/>
            <w:tcBorders>
              <w:top w:val="nil"/>
              <w:left w:val="nil"/>
              <w:bottom w:val="single" w:sz="4" w:space="0" w:color="auto"/>
              <w:right w:val="single" w:sz="4" w:space="0" w:color="auto"/>
            </w:tcBorders>
            <w:shd w:val="clear" w:color="auto" w:fill="auto"/>
            <w:noWrap/>
            <w:vAlign w:val="bottom"/>
            <w:hideMark/>
          </w:tcPr>
          <w:p w14:paraId="2E4B23FE"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0,00</w:t>
            </w:r>
          </w:p>
        </w:tc>
      </w:tr>
    </w:tbl>
    <w:p w14:paraId="1CE5E0BB" w14:textId="77777777" w:rsidR="008B078A" w:rsidRDefault="008B078A" w:rsidP="008B078A">
      <w:pPr>
        <w:pStyle w:val="Nadpis41"/>
        <w:numPr>
          <w:ilvl w:val="0"/>
          <w:numId w:val="0"/>
        </w:numPr>
        <w:ind w:left="851"/>
        <w:rPr>
          <w:color w:val="auto"/>
          <w:sz w:val="24"/>
          <w:szCs w:val="24"/>
        </w:rPr>
      </w:pPr>
    </w:p>
    <w:p w14:paraId="7880D9F5" w14:textId="580D9A50" w:rsidR="001A24C3" w:rsidRPr="00FC4139" w:rsidRDefault="001A24C3" w:rsidP="00FC4139">
      <w:pPr>
        <w:pStyle w:val="Nadpis41"/>
        <w:ind w:left="851" w:hanging="851"/>
        <w:rPr>
          <w:color w:val="auto"/>
          <w:sz w:val="24"/>
          <w:szCs w:val="24"/>
        </w:rPr>
      </w:pPr>
      <w:bookmarkStart w:id="399" w:name="_Toc88653038"/>
      <w:r w:rsidRPr="00FC4139">
        <w:rPr>
          <w:color w:val="auto"/>
          <w:sz w:val="24"/>
          <w:szCs w:val="24"/>
        </w:rPr>
        <w:t>Prevádzkové  náklady</w:t>
      </w:r>
      <w:bookmarkEnd w:id="399"/>
    </w:p>
    <w:p w14:paraId="02367B80" w14:textId="77777777" w:rsidR="001A24C3" w:rsidRDefault="001A24C3" w:rsidP="001A24C3">
      <w:pPr>
        <w:pStyle w:val="TEXTkOICE"/>
        <w:ind w:left="0"/>
      </w:pPr>
      <w:r w:rsidRPr="000E1FFA">
        <w:t>Predstavujú náklady,</w:t>
      </w:r>
      <w:r>
        <w:t xml:space="preserve"> ktoré sú rozčlenené na bežné prevádzkové výdavky a výmeny časti infraštruktúry po skončení doby životnosti (ak skonči skôr ako uplynie referenčné obdobie, ktoré je pri tomto type projektov 30 rokov). Tieto náklady sú však upravené pomocou konverzných faktorov.  </w:t>
      </w:r>
    </w:p>
    <w:p w14:paraId="7F2C9BC3" w14:textId="77777777" w:rsidR="001A24C3" w:rsidRPr="00643316" w:rsidRDefault="001A24C3" w:rsidP="001A24C3">
      <w:pPr>
        <w:pStyle w:val="TEXTkOICE"/>
        <w:ind w:left="0"/>
        <w:rPr>
          <w:b/>
        </w:rPr>
      </w:pPr>
    </w:p>
    <w:p w14:paraId="6D6085DE" w14:textId="1411D51E" w:rsidR="001A24C3" w:rsidRDefault="001A24C3" w:rsidP="00FC4139">
      <w:pPr>
        <w:pStyle w:val="Popis"/>
        <w:keepNext/>
        <w:jc w:val="both"/>
      </w:pPr>
      <w:bookmarkStart w:id="400" w:name="_Toc83677959"/>
      <w:r>
        <w:t xml:space="preserve">Tabuľka </w:t>
      </w:r>
      <w:r w:rsidR="008B078A">
        <w:rPr>
          <w:noProof/>
        </w:rPr>
        <w:t>88</w:t>
      </w:r>
      <w:r>
        <w:tab/>
      </w:r>
      <w:r w:rsidRPr="00643316">
        <w:t>Prevádzkové náklady ekonomické (prírastkové)</w:t>
      </w:r>
      <w:bookmarkEnd w:id="400"/>
    </w:p>
    <w:tbl>
      <w:tblPr>
        <w:tblW w:w="5420" w:type="dxa"/>
        <w:tblCellMar>
          <w:left w:w="70" w:type="dxa"/>
          <w:right w:w="70" w:type="dxa"/>
        </w:tblCellMar>
        <w:tblLook w:val="04A0" w:firstRow="1" w:lastRow="0" w:firstColumn="1" w:lastColumn="0" w:noHBand="0" w:noVBand="1"/>
      </w:tblPr>
      <w:tblGrid>
        <w:gridCol w:w="4060"/>
        <w:gridCol w:w="1360"/>
      </w:tblGrid>
      <w:tr w:rsidR="001A24C3" w:rsidRPr="00452956" w14:paraId="557EAC21" w14:textId="77777777" w:rsidTr="00300963">
        <w:trPr>
          <w:trHeight w:val="204"/>
        </w:trPr>
        <w:tc>
          <w:tcPr>
            <w:tcW w:w="40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AFC9A7F" w14:textId="77777777" w:rsidR="001A24C3" w:rsidRPr="00452956" w:rsidRDefault="001A24C3" w:rsidP="00300963">
            <w:pPr>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3.4 Prevádzkové náklady (ekonomické)</w:t>
            </w:r>
          </w:p>
        </w:tc>
        <w:tc>
          <w:tcPr>
            <w:tcW w:w="1360" w:type="dxa"/>
            <w:tcBorders>
              <w:top w:val="single" w:sz="4" w:space="0" w:color="auto"/>
              <w:left w:val="nil"/>
              <w:bottom w:val="single" w:sz="4" w:space="0" w:color="auto"/>
              <w:right w:val="single" w:sz="4" w:space="0" w:color="auto"/>
            </w:tcBorders>
            <w:shd w:val="clear" w:color="auto" w:fill="auto"/>
            <w:noWrap/>
            <w:vAlign w:val="bottom"/>
            <w:hideMark/>
          </w:tcPr>
          <w:p w14:paraId="37BFD5ED" w14:textId="77777777" w:rsidR="001A24C3" w:rsidRPr="00452956" w:rsidRDefault="001A24C3" w:rsidP="00300963">
            <w:pPr>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 </w:t>
            </w:r>
          </w:p>
        </w:tc>
      </w:tr>
      <w:tr w:rsidR="001A24C3" w:rsidRPr="00452956" w14:paraId="6ACFD38A" w14:textId="77777777" w:rsidTr="00300963">
        <w:trPr>
          <w:trHeight w:val="204"/>
        </w:trPr>
        <w:tc>
          <w:tcPr>
            <w:tcW w:w="4060" w:type="dxa"/>
            <w:tcBorders>
              <w:top w:val="nil"/>
              <w:left w:val="single" w:sz="4" w:space="0" w:color="auto"/>
              <w:bottom w:val="single" w:sz="4" w:space="0" w:color="auto"/>
              <w:right w:val="single" w:sz="4" w:space="0" w:color="auto"/>
            </w:tcBorders>
            <w:shd w:val="clear" w:color="000000" w:fill="FFFFCC"/>
            <w:noWrap/>
            <w:vAlign w:val="bottom"/>
            <w:hideMark/>
          </w:tcPr>
          <w:p w14:paraId="779E4F51" w14:textId="77777777" w:rsidR="001A24C3" w:rsidRPr="00452956" w:rsidRDefault="001A24C3" w:rsidP="00300963">
            <w:pPr>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Inkrementálne (PRÍRASTKOVÉ)</w:t>
            </w:r>
          </w:p>
        </w:tc>
        <w:tc>
          <w:tcPr>
            <w:tcW w:w="1360" w:type="dxa"/>
            <w:tcBorders>
              <w:top w:val="nil"/>
              <w:left w:val="nil"/>
              <w:bottom w:val="single" w:sz="4" w:space="0" w:color="auto"/>
              <w:right w:val="single" w:sz="4" w:space="0" w:color="auto"/>
            </w:tcBorders>
            <w:shd w:val="clear" w:color="000000" w:fill="FFFFCC"/>
            <w:noWrap/>
            <w:vAlign w:val="bottom"/>
            <w:hideMark/>
          </w:tcPr>
          <w:p w14:paraId="0F55D4C2" w14:textId="77777777" w:rsidR="001A24C3" w:rsidRPr="00452956" w:rsidRDefault="001A24C3" w:rsidP="00300963">
            <w:pPr>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Celkom</w:t>
            </w:r>
          </w:p>
        </w:tc>
      </w:tr>
      <w:tr w:rsidR="001A24C3" w:rsidRPr="00452956" w14:paraId="4C4CA710"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41F356C2" w14:textId="77777777" w:rsidR="001A24C3" w:rsidRPr="00452956" w:rsidRDefault="001A24C3" w:rsidP="00300963">
            <w:pPr>
              <w:rPr>
                <w:rFonts w:ascii="Arial" w:eastAsia="Times New Roman" w:hAnsi="Arial" w:cs="Arial"/>
                <w:sz w:val="16"/>
                <w:szCs w:val="16"/>
                <w:lang w:eastAsia="sk-SK"/>
              </w:rPr>
            </w:pPr>
            <w:r w:rsidRPr="00452956">
              <w:rPr>
                <w:rFonts w:ascii="Arial" w:eastAsia="Times New Roman" w:hAnsi="Arial" w:cs="Arial"/>
                <w:sz w:val="16"/>
                <w:szCs w:val="16"/>
                <w:lang w:eastAsia="sk-SK"/>
              </w:rPr>
              <w:t>Prevádzkové náklady</w:t>
            </w:r>
          </w:p>
        </w:tc>
        <w:tc>
          <w:tcPr>
            <w:tcW w:w="1360" w:type="dxa"/>
            <w:tcBorders>
              <w:top w:val="nil"/>
              <w:left w:val="nil"/>
              <w:bottom w:val="single" w:sz="4" w:space="0" w:color="auto"/>
              <w:right w:val="single" w:sz="4" w:space="0" w:color="auto"/>
            </w:tcBorders>
            <w:shd w:val="clear" w:color="auto" w:fill="auto"/>
            <w:noWrap/>
            <w:vAlign w:val="bottom"/>
            <w:hideMark/>
          </w:tcPr>
          <w:p w14:paraId="2F54339C" w14:textId="77777777" w:rsidR="001A24C3" w:rsidRPr="00452956" w:rsidRDefault="001A24C3" w:rsidP="00300963">
            <w:pPr>
              <w:jc w:val="right"/>
              <w:rPr>
                <w:rFonts w:ascii="Arial" w:eastAsia="Times New Roman" w:hAnsi="Arial" w:cs="Arial"/>
                <w:sz w:val="16"/>
                <w:szCs w:val="16"/>
                <w:lang w:eastAsia="sk-SK"/>
              </w:rPr>
            </w:pPr>
            <w:r w:rsidRPr="00452956">
              <w:rPr>
                <w:rFonts w:ascii="Arial" w:eastAsia="Times New Roman" w:hAnsi="Arial" w:cs="Arial"/>
                <w:sz w:val="16"/>
                <w:szCs w:val="16"/>
                <w:lang w:eastAsia="sk-SK"/>
              </w:rPr>
              <w:t>0,00</w:t>
            </w:r>
          </w:p>
        </w:tc>
      </w:tr>
      <w:tr w:rsidR="001A24C3" w:rsidRPr="00452956" w14:paraId="6199C395"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33B1DDEA" w14:textId="77777777" w:rsidR="001A24C3" w:rsidRPr="00452956" w:rsidRDefault="001A24C3" w:rsidP="00300963">
            <w:pPr>
              <w:rPr>
                <w:rFonts w:ascii="Arial" w:eastAsia="Times New Roman" w:hAnsi="Arial" w:cs="Arial"/>
                <w:sz w:val="16"/>
                <w:szCs w:val="16"/>
                <w:lang w:eastAsia="sk-SK"/>
              </w:rPr>
            </w:pPr>
            <w:r w:rsidRPr="00452956">
              <w:rPr>
                <w:rFonts w:ascii="Arial" w:eastAsia="Times New Roman" w:hAnsi="Arial" w:cs="Arial"/>
                <w:sz w:val="16"/>
                <w:szCs w:val="16"/>
                <w:lang w:eastAsia="sk-SK"/>
              </w:rPr>
              <w:t>Výmeny</w:t>
            </w:r>
          </w:p>
        </w:tc>
        <w:tc>
          <w:tcPr>
            <w:tcW w:w="1360" w:type="dxa"/>
            <w:tcBorders>
              <w:top w:val="nil"/>
              <w:left w:val="nil"/>
              <w:bottom w:val="single" w:sz="4" w:space="0" w:color="auto"/>
              <w:right w:val="single" w:sz="4" w:space="0" w:color="auto"/>
            </w:tcBorders>
            <w:shd w:val="clear" w:color="auto" w:fill="auto"/>
            <w:noWrap/>
            <w:vAlign w:val="bottom"/>
            <w:hideMark/>
          </w:tcPr>
          <w:p w14:paraId="499B3053" w14:textId="77777777" w:rsidR="001A24C3" w:rsidRPr="00452956" w:rsidRDefault="001A24C3" w:rsidP="00300963">
            <w:pPr>
              <w:jc w:val="right"/>
              <w:rPr>
                <w:rFonts w:ascii="Arial" w:eastAsia="Times New Roman" w:hAnsi="Arial" w:cs="Arial"/>
                <w:sz w:val="16"/>
                <w:szCs w:val="16"/>
                <w:lang w:eastAsia="sk-SK"/>
              </w:rPr>
            </w:pPr>
            <w:r w:rsidRPr="00452956">
              <w:rPr>
                <w:rFonts w:ascii="Arial" w:eastAsia="Times New Roman" w:hAnsi="Arial" w:cs="Arial"/>
                <w:sz w:val="16"/>
                <w:szCs w:val="16"/>
                <w:lang w:eastAsia="sk-SK"/>
              </w:rPr>
              <w:t>-55 755 002,58</w:t>
            </w:r>
          </w:p>
        </w:tc>
      </w:tr>
      <w:tr w:rsidR="001A24C3" w:rsidRPr="00452956" w14:paraId="31FE6784"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2F10664" w14:textId="77777777" w:rsidR="001A24C3" w:rsidRPr="00452956" w:rsidRDefault="001A24C3" w:rsidP="00300963">
            <w:pPr>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Celkové prevádzkové náklady na údržbu</w:t>
            </w:r>
          </w:p>
        </w:tc>
        <w:tc>
          <w:tcPr>
            <w:tcW w:w="1360" w:type="dxa"/>
            <w:tcBorders>
              <w:top w:val="nil"/>
              <w:left w:val="nil"/>
              <w:bottom w:val="single" w:sz="4" w:space="0" w:color="auto"/>
              <w:right w:val="single" w:sz="4" w:space="0" w:color="auto"/>
            </w:tcBorders>
            <w:shd w:val="clear" w:color="auto" w:fill="auto"/>
            <w:noWrap/>
            <w:vAlign w:val="bottom"/>
            <w:hideMark/>
          </w:tcPr>
          <w:p w14:paraId="538F0D4F" w14:textId="77777777" w:rsidR="001A24C3" w:rsidRPr="00452956" w:rsidRDefault="001A24C3" w:rsidP="00300963">
            <w:pPr>
              <w:jc w:val="right"/>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-55 755 002,58</w:t>
            </w:r>
          </w:p>
        </w:tc>
      </w:tr>
      <w:tr w:rsidR="001A24C3" w:rsidRPr="00452956" w14:paraId="2E4AA5D2" w14:textId="77777777" w:rsidTr="00300963">
        <w:trPr>
          <w:trHeight w:val="204"/>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07D6084D" w14:textId="77777777" w:rsidR="001A24C3" w:rsidRPr="00452956" w:rsidRDefault="001A24C3" w:rsidP="00300963">
            <w:pPr>
              <w:rPr>
                <w:rFonts w:ascii="Arial" w:eastAsia="Times New Roman" w:hAnsi="Arial" w:cs="Arial"/>
                <w:sz w:val="16"/>
                <w:szCs w:val="16"/>
                <w:lang w:eastAsia="sk-SK"/>
              </w:rPr>
            </w:pPr>
            <w:r w:rsidRPr="00452956">
              <w:rPr>
                <w:rFonts w:ascii="Arial" w:eastAsia="Times New Roman" w:hAnsi="Arial" w:cs="Arial"/>
                <w:sz w:val="16"/>
                <w:szCs w:val="16"/>
                <w:lang w:eastAsia="sk-SK"/>
              </w:rPr>
              <w:t>Iné špecifické náklady</w:t>
            </w:r>
          </w:p>
        </w:tc>
        <w:tc>
          <w:tcPr>
            <w:tcW w:w="1360" w:type="dxa"/>
            <w:tcBorders>
              <w:top w:val="nil"/>
              <w:left w:val="nil"/>
              <w:bottom w:val="single" w:sz="4" w:space="0" w:color="auto"/>
              <w:right w:val="single" w:sz="4" w:space="0" w:color="auto"/>
            </w:tcBorders>
            <w:shd w:val="clear" w:color="auto" w:fill="auto"/>
            <w:noWrap/>
            <w:vAlign w:val="bottom"/>
            <w:hideMark/>
          </w:tcPr>
          <w:p w14:paraId="3909212E" w14:textId="77777777" w:rsidR="001A24C3" w:rsidRPr="00452956" w:rsidRDefault="001A24C3" w:rsidP="00300963">
            <w:pPr>
              <w:jc w:val="right"/>
              <w:rPr>
                <w:rFonts w:ascii="Arial" w:eastAsia="Times New Roman" w:hAnsi="Arial" w:cs="Arial"/>
                <w:sz w:val="16"/>
                <w:szCs w:val="16"/>
                <w:lang w:eastAsia="sk-SK"/>
              </w:rPr>
            </w:pPr>
            <w:r w:rsidRPr="00452956">
              <w:rPr>
                <w:rFonts w:ascii="Arial" w:eastAsia="Times New Roman" w:hAnsi="Arial" w:cs="Arial"/>
                <w:sz w:val="16"/>
                <w:szCs w:val="16"/>
                <w:lang w:eastAsia="sk-SK"/>
              </w:rPr>
              <w:t>0,00</w:t>
            </w:r>
          </w:p>
        </w:tc>
      </w:tr>
      <w:tr w:rsidR="001A24C3" w:rsidRPr="00452956" w14:paraId="14ED328E" w14:textId="77777777" w:rsidTr="00300963">
        <w:trPr>
          <w:trHeight w:val="216"/>
        </w:trPr>
        <w:tc>
          <w:tcPr>
            <w:tcW w:w="4060" w:type="dxa"/>
            <w:tcBorders>
              <w:top w:val="nil"/>
              <w:left w:val="single" w:sz="4" w:space="0" w:color="auto"/>
              <w:bottom w:val="double" w:sz="6" w:space="0" w:color="auto"/>
              <w:right w:val="single" w:sz="4" w:space="0" w:color="auto"/>
            </w:tcBorders>
            <w:shd w:val="clear" w:color="auto" w:fill="auto"/>
            <w:noWrap/>
            <w:vAlign w:val="bottom"/>
            <w:hideMark/>
          </w:tcPr>
          <w:p w14:paraId="00C84767" w14:textId="77777777" w:rsidR="001A24C3" w:rsidRPr="00452956" w:rsidRDefault="001A24C3" w:rsidP="00300963">
            <w:pPr>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Celkové iné špecifické prevádzkové náklady</w:t>
            </w:r>
          </w:p>
        </w:tc>
        <w:tc>
          <w:tcPr>
            <w:tcW w:w="1360" w:type="dxa"/>
            <w:tcBorders>
              <w:top w:val="nil"/>
              <w:left w:val="nil"/>
              <w:bottom w:val="double" w:sz="6" w:space="0" w:color="auto"/>
              <w:right w:val="single" w:sz="4" w:space="0" w:color="auto"/>
            </w:tcBorders>
            <w:shd w:val="clear" w:color="auto" w:fill="auto"/>
            <w:noWrap/>
            <w:vAlign w:val="bottom"/>
            <w:hideMark/>
          </w:tcPr>
          <w:p w14:paraId="1E67F34A" w14:textId="77777777" w:rsidR="001A24C3" w:rsidRPr="00452956" w:rsidRDefault="001A24C3" w:rsidP="00300963">
            <w:pPr>
              <w:jc w:val="right"/>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0,00</w:t>
            </w:r>
          </w:p>
        </w:tc>
      </w:tr>
      <w:tr w:rsidR="001A24C3" w:rsidRPr="00452956" w14:paraId="6779BA66" w14:textId="77777777" w:rsidTr="00300963">
        <w:trPr>
          <w:trHeight w:val="216"/>
        </w:trPr>
        <w:tc>
          <w:tcPr>
            <w:tcW w:w="4060" w:type="dxa"/>
            <w:tcBorders>
              <w:top w:val="nil"/>
              <w:left w:val="single" w:sz="4" w:space="0" w:color="auto"/>
              <w:bottom w:val="single" w:sz="4" w:space="0" w:color="auto"/>
              <w:right w:val="single" w:sz="4" w:space="0" w:color="auto"/>
            </w:tcBorders>
            <w:shd w:val="clear" w:color="auto" w:fill="auto"/>
            <w:noWrap/>
            <w:vAlign w:val="bottom"/>
            <w:hideMark/>
          </w:tcPr>
          <w:p w14:paraId="6AB93A4D" w14:textId="77777777" w:rsidR="001A24C3" w:rsidRPr="00452956" w:rsidRDefault="001A24C3" w:rsidP="00300963">
            <w:pPr>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Celkové prevádzkové náklady</w:t>
            </w:r>
          </w:p>
        </w:tc>
        <w:tc>
          <w:tcPr>
            <w:tcW w:w="1360" w:type="dxa"/>
            <w:tcBorders>
              <w:top w:val="nil"/>
              <w:left w:val="nil"/>
              <w:bottom w:val="single" w:sz="4" w:space="0" w:color="auto"/>
              <w:right w:val="single" w:sz="4" w:space="0" w:color="auto"/>
            </w:tcBorders>
            <w:shd w:val="clear" w:color="auto" w:fill="auto"/>
            <w:noWrap/>
            <w:vAlign w:val="bottom"/>
            <w:hideMark/>
          </w:tcPr>
          <w:p w14:paraId="5EFE93D2" w14:textId="77777777" w:rsidR="001A24C3" w:rsidRPr="00452956" w:rsidRDefault="001A24C3" w:rsidP="00300963">
            <w:pPr>
              <w:jc w:val="right"/>
              <w:rPr>
                <w:rFonts w:ascii="Arial" w:eastAsia="Times New Roman" w:hAnsi="Arial" w:cs="Arial"/>
                <w:b/>
                <w:bCs/>
                <w:sz w:val="16"/>
                <w:szCs w:val="16"/>
                <w:lang w:eastAsia="sk-SK"/>
              </w:rPr>
            </w:pPr>
            <w:r w:rsidRPr="00452956">
              <w:rPr>
                <w:rFonts w:ascii="Arial" w:eastAsia="Times New Roman" w:hAnsi="Arial" w:cs="Arial"/>
                <w:b/>
                <w:bCs/>
                <w:sz w:val="16"/>
                <w:szCs w:val="16"/>
                <w:lang w:eastAsia="sk-SK"/>
              </w:rPr>
              <w:t>-55 755 002,58</w:t>
            </w:r>
          </w:p>
        </w:tc>
      </w:tr>
    </w:tbl>
    <w:p w14:paraId="43F0D676" w14:textId="77777777" w:rsidR="001A24C3" w:rsidRDefault="001A24C3" w:rsidP="001A24C3"/>
    <w:p w14:paraId="09604CEE" w14:textId="77777777" w:rsidR="001A24C3" w:rsidRPr="00643316" w:rsidRDefault="001A24C3" w:rsidP="001A24C3"/>
    <w:p w14:paraId="4E73F4B1" w14:textId="77777777" w:rsidR="001A24C3" w:rsidRPr="00FC4139" w:rsidRDefault="001A24C3" w:rsidP="00FC4139">
      <w:pPr>
        <w:pStyle w:val="Nadpis41"/>
        <w:ind w:left="851" w:hanging="851"/>
        <w:rPr>
          <w:color w:val="auto"/>
        </w:rPr>
      </w:pPr>
      <w:bookmarkStart w:id="401" w:name="_Toc88653039"/>
      <w:r w:rsidRPr="00FC4139">
        <w:rPr>
          <w:color w:val="auto"/>
        </w:rPr>
        <w:t>Ekonomické príjmy (prínosy)</w:t>
      </w:r>
      <w:bookmarkEnd w:id="401"/>
    </w:p>
    <w:p w14:paraId="517F06E9" w14:textId="77777777" w:rsidR="001A24C3" w:rsidRDefault="001A24C3" w:rsidP="001A24C3">
      <w:pPr>
        <w:pStyle w:val="TEXTkOICE"/>
      </w:pPr>
      <w:r w:rsidRPr="00B33106">
        <w:t xml:space="preserve">V rámci ekonomickej analýzy sú do úvahy brané celospoločenské </w:t>
      </w:r>
      <w:r>
        <w:t xml:space="preserve">prínosy </w:t>
      </w:r>
      <w:r w:rsidRPr="00B33106">
        <w:t>projektu:</w:t>
      </w:r>
    </w:p>
    <w:p w14:paraId="113905F8" w14:textId="77777777" w:rsidR="001A24C3" w:rsidRPr="00020E9B" w:rsidRDefault="001A24C3" w:rsidP="001A24C3">
      <w:pPr>
        <w:pStyle w:val="ODRKY-KOICE"/>
        <w:rPr>
          <w:sz w:val="22"/>
        </w:rPr>
      </w:pPr>
      <w:r w:rsidRPr="00020E9B">
        <w:rPr>
          <w:sz w:val="22"/>
        </w:rPr>
        <w:t>Čas cestujúcich</w:t>
      </w:r>
    </w:p>
    <w:p w14:paraId="53A6AF18" w14:textId="77777777" w:rsidR="001A24C3" w:rsidRPr="00020E9B" w:rsidRDefault="001A24C3" w:rsidP="001A24C3">
      <w:pPr>
        <w:pStyle w:val="ODRKY-KOICE"/>
        <w:rPr>
          <w:sz w:val="22"/>
        </w:rPr>
      </w:pPr>
      <w:r w:rsidRPr="00020E9B">
        <w:rPr>
          <w:sz w:val="22"/>
        </w:rPr>
        <w:t>Čas tovaru</w:t>
      </w:r>
    </w:p>
    <w:p w14:paraId="3C9807CE" w14:textId="77777777" w:rsidR="001A24C3" w:rsidRPr="00020E9B" w:rsidRDefault="001A24C3" w:rsidP="001A24C3">
      <w:pPr>
        <w:pStyle w:val="ODRKY-KOICE"/>
        <w:rPr>
          <w:sz w:val="22"/>
        </w:rPr>
      </w:pPr>
      <w:r w:rsidRPr="00020E9B">
        <w:rPr>
          <w:sz w:val="22"/>
        </w:rPr>
        <w:t>Úspora prevádzkových nákladov</w:t>
      </w:r>
    </w:p>
    <w:p w14:paraId="2F704CBE" w14:textId="77777777" w:rsidR="001A24C3" w:rsidRPr="00020E9B" w:rsidRDefault="001A24C3" w:rsidP="001A24C3">
      <w:pPr>
        <w:pStyle w:val="ODRKY-KOICE"/>
        <w:rPr>
          <w:sz w:val="22"/>
        </w:rPr>
      </w:pPr>
      <w:r w:rsidRPr="00020E9B">
        <w:rPr>
          <w:sz w:val="22"/>
        </w:rPr>
        <w:t>Bezpečnosť</w:t>
      </w:r>
    </w:p>
    <w:p w14:paraId="023CE5E0" w14:textId="77777777" w:rsidR="001A24C3" w:rsidRPr="00020E9B" w:rsidRDefault="001A24C3" w:rsidP="001A24C3">
      <w:pPr>
        <w:pStyle w:val="ODRKY-KOICE"/>
        <w:rPr>
          <w:sz w:val="22"/>
        </w:rPr>
      </w:pPr>
      <w:r w:rsidRPr="00020E9B">
        <w:rPr>
          <w:sz w:val="22"/>
        </w:rPr>
        <w:t>Znečisťujúce látky</w:t>
      </w:r>
    </w:p>
    <w:p w14:paraId="754B7579" w14:textId="77777777" w:rsidR="001A24C3" w:rsidRDefault="001A24C3" w:rsidP="001A24C3">
      <w:pPr>
        <w:pStyle w:val="ODRKY-KOICE"/>
        <w:rPr>
          <w:sz w:val="22"/>
        </w:rPr>
      </w:pPr>
      <w:r w:rsidRPr="00020E9B">
        <w:rPr>
          <w:sz w:val="22"/>
        </w:rPr>
        <w:lastRenderedPageBreak/>
        <w:t>Skleníkové plyny</w:t>
      </w:r>
    </w:p>
    <w:p w14:paraId="6AE69E84" w14:textId="77777777" w:rsidR="001A24C3" w:rsidRDefault="001A24C3" w:rsidP="001A24C3">
      <w:pPr>
        <w:pStyle w:val="ODRKY-KOICE"/>
        <w:rPr>
          <w:sz w:val="22"/>
        </w:rPr>
      </w:pPr>
      <w:r w:rsidRPr="00482340">
        <w:rPr>
          <w:sz w:val="22"/>
        </w:rPr>
        <w:t xml:space="preserve"> Hluk</w:t>
      </w:r>
    </w:p>
    <w:p w14:paraId="2C5C0C97" w14:textId="77777777" w:rsidR="001A24C3" w:rsidRDefault="001A24C3" w:rsidP="001A24C3">
      <w:pPr>
        <w:pStyle w:val="ODRKY-KOICE"/>
        <w:numPr>
          <w:ilvl w:val="0"/>
          <w:numId w:val="0"/>
        </w:numPr>
        <w:ind w:left="924" w:hanging="357"/>
        <w:rPr>
          <w:sz w:val="22"/>
        </w:rPr>
      </w:pPr>
    </w:p>
    <w:p w14:paraId="625BC037" w14:textId="77777777" w:rsidR="001A24C3" w:rsidRDefault="001A24C3" w:rsidP="00FC4139">
      <w:pPr>
        <w:pStyle w:val="ODRKY-KOICE"/>
        <w:numPr>
          <w:ilvl w:val="0"/>
          <w:numId w:val="0"/>
        </w:numPr>
        <w:tabs>
          <w:tab w:val="clear" w:pos="964"/>
          <w:tab w:val="clear" w:pos="965"/>
        </w:tabs>
        <w:jc w:val="both"/>
        <w:rPr>
          <w:sz w:val="22"/>
        </w:rPr>
      </w:pPr>
      <w:r w:rsidRPr="00A65D0D">
        <w:rPr>
          <w:sz w:val="22"/>
        </w:rPr>
        <w:t>Uvedené</w:t>
      </w:r>
      <w:r w:rsidRPr="00300731">
        <w:rPr>
          <w:sz w:val="22"/>
        </w:rPr>
        <w:t xml:space="preserve"> benefity boli vyčíslené v súlade s metodikou CBA a vstupy pre výpočty vychádzajú z  dopravného modelu </w:t>
      </w:r>
      <w:r w:rsidRPr="00300731">
        <w:rPr>
          <w:sz w:val="22"/>
          <w:lang w:val="en-US"/>
        </w:rPr>
        <w:t>(</w:t>
      </w:r>
      <w:r>
        <w:rPr>
          <w:sz w:val="22"/>
          <w:lang w:val="cs-CZ"/>
        </w:rPr>
        <w:t>kombinovaný</w:t>
      </w:r>
      <w:r w:rsidRPr="00300731">
        <w:rPr>
          <w:sz w:val="22"/>
          <w:lang w:val="cs-CZ"/>
        </w:rPr>
        <w:t xml:space="preserve"> variant</w:t>
      </w:r>
      <w:r w:rsidRPr="00300731">
        <w:rPr>
          <w:sz w:val="22"/>
          <w:lang w:val="en-US"/>
        </w:rPr>
        <w:t>)</w:t>
      </w:r>
      <w:r w:rsidRPr="00300731">
        <w:rPr>
          <w:sz w:val="22"/>
        </w:rPr>
        <w:t>, ktorý obsahuje informácie o počte cestujúcich, osobokm, úsporách času, množstvách prepraveného tovaru, atď.</w:t>
      </w:r>
    </w:p>
    <w:p w14:paraId="74E9E321" w14:textId="77777777" w:rsidR="001A24C3" w:rsidRDefault="001A24C3" w:rsidP="001A24C3">
      <w:pPr>
        <w:pStyle w:val="ODRKY-KOICE"/>
        <w:numPr>
          <w:ilvl w:val="0"/>
          <w:numId w:val="0"/>
        </w:numPr>
        <w:ind w:left="924" w:hanging="357"/>
      </w:pPr>
    </w:p>
    <w:p w14:paraId="4BBB716F" w14:textId="0275FD63" w:rsidR="001A24C3" w:rsidRDefault="001A24C3" w:rsidP="00FC4139">
      <w:pPr>
        <w:pStyle w:val="Popis"/>
        <w:keepNext/>
        <w:jc w:val="both"/>
      </w:pPr>
      <w:bookmarkStart w:id="402" w:name="_Toc83677960"/>
      <w:r>
        <w:t xml:space="preserve">Tabuľka </w:t>
      </w:r>
      <w:r w:rsidR="00091EB3">
        <w:rPr>
          <w:noProof/>
        </w:rPr>
        <w:t>89</w:t>
      </w:r>
      <w:r>
        <w:tab/>
      </w:r>
      <w:r w:rsidRPr="00643316">
        <w:t xml:space="preserve">Prevádzkové </w:t>
      </w:r>
      <w:r>
        <w:t>príjmy (prínosy)</w:t>
      </w:r>
      <w:bookmarkEnd w:id="402"/>
    </w:p>
    <w:tbl>
      <w:tblPr>
        <w:tblW w:w="6600" w:type="dxa"/>
        <w:tblCellMar>
          <w:left w:w="70" w:type="dxa"/>
          <w:right w:w="70" w:type="dxa"/>
        </w:tblCellMar>
        <w:tblLook w:val="04A0" w:firstRow="1" w:lastRow="0" w:firstColumn="1" w:lastColumn="0" w:noHBand="0" w:noVBand="1"/>
      </w:tblPr>
      <w:tblGrid>
        <w:gridCol w:w="5060"/>
        <w:gridCol w:w="1540"/>
      </w:tblGrid>
      <w:tr w:rsidR="001A24C3" w:rsidRPr="00885FFC" w14:paraId="137871C1" w14:textId="77777777" w:rsidTr="00300963">
        <w:trPr>
          <w:trHeight w:val="408"/>
        </w:trPr>
        <w:tc>
          <w:tcPr>
            <w:tcW w:w="5060"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70FB8052"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Peňažné toky</w:t>
            </w:r>
          </w:p>
        </w:tc>
        <w:tc>
          <w:tcPr>
            <w:tcW w:w="1540" w:type="dxa"/>
            <w:tcBorders>
              <w:top w:val="single" w:sz="4" w:space="0" w:color="auto"/>
              <w:left w:val="nil"/>
              <w:bottom w:val="single" w:sz="4" w:space="0" w:color="auto"/>
              <w:right w:val="single" w:sz="4" w:space="0" w:color="auto"/>
            </w:tcBorders>
            <w:shd w:val="clear" w:color="000000" w:fill="D9D9D9"/>
            <w:vAlign w:val="bottom"/>
            <w:hideMark/>
          </w:tcPr>
          <w:p w14:paraId="7B76B130"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Celkom (diskontované)</w:t>
            </w:r>
          </w:p>
        </w:tc>
      </w:tr>
      <w:tr w:rsidR="001A24C3" w:rsidRPr="00885FFC" w14:paraId="22A45BD2"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0EB0C193"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Investičné náklady</w:t>
            </w:r>
          </w:p>
        </w:tc>
        <w:tc>
          <w:tcPr>
            <w:tcW w:w="1540" w:type="dxa"/>
            <w:tcBorders>
              <w:top w:val="nil"/>
              <w:left w:val="nil"/>
              <w:bottom w:val="single" w:sz="4" w:space="0" w:color="auto"/>
              <w:right w:val="single" w:sz="4" w:space="0" w:color="auto"/>
            </w:tcBorders>
            <w:shd w:val="clear" w:color="auto" w:fill="auto"/>
            <w:noWrap/>
            <w:vAlign w:val="bottom"/>
            <w:hideMark/>
          </w:tcPr>
          <w:p w14:paraId="2DFECA51"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color w:val="FF0000"/>
                <w:sz w:val="16"/>
                <w:szCs w:val="16"/>
                <w:lang w:eastAsia="sk-SK"/>
              </w:rPr>
              <w:t xml:space="preserve">-147 997 316 </w:t>
            </w:r>
          </w:p>
        </w:tc>
      </w:tr>
      <w:tr w:rsidR="001A24C3" w:rsidRPr="00885FFC" w14:paraId="0B25CE9B"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16634B54"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Prevádzkové náklady</w:t>
            </w:r>
          </w:p>
        </w:tc>
        <w:tc>
          <w:tcPr>
            <w:tcW w:w="1540" w:type="dxa"/>
            <w:tcBorders>
              <w:top w:val="nil"/>
              <w:left w:val="nil"/>
              <w:bottom w:val="single" w:sz="4" w:space="0" w:color="auto"/>
              <w:right w:val="single" w:sz="4" w:space="0" w:color="auto"/>
            </w:tcBorders>
            <w:shd w:val="clear" w:color="auto" w:fill="auto"/>
            <w:noWrap/>
            <w:vAlign w:val="bottom"/>
            <w:hideMark/>
          </w:tcPr>
          <w:p w14:paraId="7A4D864A"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47 900 905 </w:t>
            </w:r>
          </w:p>
        </w:tc>
      </w:tr>
      <w:tr w:rsidR="001A24C3" w:rsidRPr="00885FFC" w14:paraId="086DE291"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4473BE64"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cestujúcich</w:t>
            </w:r>
          </w:p>
        </w:tc>
        <w:tc>
          <w:tcPr>
            <w:tcW w:w="1540" w:type="dxa"/>
            <w:tcBorders>
              <w:top w:val="nil"/>
              <w:left w:val="nil"/>
              <w:bottom w:val="single" w:sz="4" w:space="0" w:color="auto"/>
              <w:right w:val="single" w:sz="4" w:space="0" w:color="auto"/>
            </w:tcBorders>
            <w:shd w:val="clear" w:color="auto" w:fill="auto"/>
            <w:noWrap/>
            <w:vAlign w:val="bottom"/>
            <w:hideMark/>
          </w:tcPr>
          <w:p w14:paraId="275BD101"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7 919 984 </w:t>
            </w:r>
          </w:p>
        </w:tc>
      </w:tr>
      <w:tr w:rsidR="001A24C3" w:rsidRPr="00885FFC" w14:paraId="7F2B00E5"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7A9987EC"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tovaru</w:t>
            </w:r>
          </w:p>
        </w:tc>
        <w:tc>
          <w:tcPr>
            <w:tcW w:w="1540" w:type="dxa"/>
            <w:tcBorders>
              <w:top w:val="nil"/>
              <w:left w:val="nil"/>
              <w:bottom w:val="single" w:sz="4" w:space="0" w:color="auto"/>
              <w:right w:val="single" w:sz="4" w:space="0" w:color="auto"/>
            </w:tcBorders>
            <w:shd w:val="clear" w:color="auto" w:fill="auto"/>
            <w:noWrap/>
            <w:vAlign w:val="bottom"/>
            <w:hideMark/>
          </w:tcPr>
          <w:p w14:paraId="6F00723A"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100 221 561 </w:t>
            </w:r>
          </w:p>
        </w:tc>
      </w:tr>
      <w:tr w:rsidR="001A24C3" w:rsidRPr="00885FFC" w14:paraId="2760765B"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2FCE4BB3"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Prevádzkové náklady </w:t>
            </w:r>
          </w:p>
        </w:tc>
        <w:tc>
          <w:tcPr>
            <w:tcW w:w="1540" w:type="dxa"/>
            <w:tcBorders>
              <w:top w:val="nil"/>
              <w:left w:val="nil"/>
              <w:bottom w:val="single" w:sz="4" w:space="0" w:color="auto"/>
              <w:right w:val="single" w:sz="4" w:space="0" w:color="auto"/>
            </w:tcBorders>
            <w:shd w:val="clear" w:color="auto" w:fill="auto"/>
            <w:noWrap/>
            <w:vAlign w:val="bottom"/>
            <w:hideMark/>
          </w:tcPr>
          <w:p w14:paraId="183AEB45"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7 054 153 </w:t>
            </w:r>
          </w:p>
        </w:tc>
      </w:tr>
      <w:tr w:rsidR="001A24C3" w:rsidRPr="00885FFC" w14:paraId="230E75FD"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3AA9550E"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Bezpečnosť</w:t>
            </w:r>
          </w:p>
        </w:tc>
        <w:tc>
          <w:tcPr>
            <w:tcW w:w="1540" w:type="dxa"/>
            <w:tcBorders>
              <w:top w:val="nil"/>
              <w:left w:val="nil"/>
              <w:bottom w:val="single" w:sz="4" w:space="0" w:color="auto"/>
              <w:right w:val="single" w:sz="4" w:space="0" w:color="auto"/>
            </w:tcBorders>
            <w:shd w:val="clear" w:color="auto" w:fill="auto"/>
            <w:noWrap/>
            <w:vAlign w:val="bottom"/>
            <w:hideMark/>
          </w:tcPr>
          <w:p w14:paraId="0D30C551"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545 972 </w:t>
            </w:r>
          </w:p>
        </w:tc>
      </w:tr>
      <w:tr w:rsidR="001A24C3" w:rsidRPr="00885FFC" w14:paraId="2A11A14F"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7CD1424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Znečisťujúce látky</w:t>
            </w:r>
          </w:p>
        </w:tc>
        <w:tc>
          <w:tcPr>
            <w:tcW w:w="1540" w:type="dxa"/>
            <w:tcBorders>
              <w:top w:val="nil"/>
              <w:left w:val="nil"/>
              <w:bottom w:val="single" w:sz="4" w:space="0" w:color="auto"/>
              <w:right w:val="single" w:sz="4" w:space="0" w:color="auto"/>
            </w:tcBorders>
            <w:shd w:val="clear" w:color="auto" w:fill="auto"/>
            <w:noWrap/>
            <w:vAlign w:val="bottom"/>
            <w:hideMark/>
          </w:tcPr>
          <w:p w14:paraId="02E86FB2"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517 828 </w:t>
            </w:r>
          </w:p>
        </w:tc>
      </w:tr>
      <w:tr w:rsidR="001A24C3" w:rsidRPr="00885FFC" w14:paraId="45A5C358"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01661C89"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Skleníkové plyny</w:t>
            </w:r>
          </w:p>
        </w:tc>
        <w:tc>
          <w:tcPr>
            <w:tcW w:w="1540" w:type="dxa"/>
            <w:tcBorders>
              <w:top w:val="nil"/>
              <w:left w:val="nil"/>
              <w:bottom w:val="single" w:sz="4" w:space="0" w:color="auto"/>
              <w:right w:val="single" w:sz="4" w:space="0" w:color="auto"/>
            </w:tcBorders>
            <w:shd w:val="clear" w:color="auto" w:fill="auto"/>
            <w:noWrap/>
            <w:vAlign w:val="bottom"/>
            <w:hideMark/>
          </w:tcPr>
          <w:p w14:paraId="45616D2A"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1 340 833 </w:t>
            </w:r>
          </w:p>
        </w:tc>
      </w:tr>
      <w:tr w:rsidR="001A24C3" w:rsidRPr="00885FFC" w14:paraId="587BB18E"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0343D92B"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Hluk</w:t>
            </w:r>
          </w:p>
        </w:tc>
        <w:tc>
          <w:tcPr>
            <w:tcW w:w="1540" w:type="dxa"/>
            <w:tcBorders>
              <w:top w:val="nil"/>
              <w:left w:val="nil"/>
              <w:bottom w:val="single" w:sz="4" w:space="0" w:color="auto"/>
              <w:right w:val="single" w:sz="4" w:space="0" w:color="auto"/>
            </w:tcBorders>
            <w:shd w:val="clear" w:color="auto" w:fill="auto"/>
            <w:noWrap/>
            <w:vAlign w:val="bottom"/>
            <w:hideMark/>
          </w:tcPr>
          <w:p w14:paraId="5CEF0410"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336 372 </w:t>
            </w:r>
          </w:p>
        </w:tc>
      </w:tr>
      <w:tr w:rsidR="001A24C3" w:rsidRPr="00885FFC" w14:paraId="7DAF6C9D" w14:textId="77777777" w:rsidTr="00300963">
        <w:trPr>
          <w:trHeight w:val="204"/>
        </w:trPr>
        <w:tc>
          <w:tcPr>
            <w:tcW w:w="5060" w:type="dxa"/>
            <w:tcBorders>
              <w:top w:val="nil"/>
              <w:left w:val="single" w:sz="4" w:space="0" w:color="auto"/>
              <w:bottom w:val="single" w:sz="4" w:space="0" w:color="auto"/>
              <w:right w:val="single" w:sz="4" w:space="0" w:color="auto"/>
            </w:tcBorders>
            <w:shd w:val="clear" w:color="auto" w:fill="auto"/>
            <w:noWrap/>
            <w:vAlign w:val="bottom"/>
            <w:hideMark/>
          </w:tcPr>
          <w:p w14:paraId="1C5779F7"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Zostatková hodnota</w:t>
            </w:r>
          </w:p>
        </w:tc>
        <w:tc>
          <w:tcPr>
            <w:tcW w:w="1540" w:type="dxa"/>
            <w:tcBorders>
              <w:top w:val="nil"/>
              <w:left w:val="nil"/>
              <w:bottom w:val="single" w:sz="4" w:space="0" w:color="auto"/>
              <w:right w:val="single" w:sz="4" w:space="0" w:color="auto"/>
            </w:tcBorders>
            <w:shd w:val="clear" w:color="auto" w:fill="auto"/>
            <w:noWrap/>
            <w:vAlign w:val="bottom"/>
            <w:hideMark/>
          </w:tcPr>
          <w:p w14:paraId="62EEC95A"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43 590 613 </w:t>
            </w:r>
          </w:p>
        </w:tc>
      </w:tr>
      <w:tr w:rsidR="001A24C3" w:rsidRPr="00885FFC" w14:paraId="18053B40" w14:textId="77777777" w:rsidTr="00300963">
        <w:trPr>
          <w:trHeight w:val="204"/>
        </w:trPr>
        <w:tc>
          <w:tcPr>
            <w:tcW w:w="5060" w:type="dxa"/>
            <w:tcBorders>
              <w:top w:val="nil"/>
              <w:left w:val="single" w:sz="4" w:space="0" w:color="auto"/>
              <w:bottom w:val="single" w:sz="4" w:space="0" w:color="auto"/>
              <w:right w:val="single" w:sz="4" w:space="0" w:color="auto"/>
            </w:tcBorders>
            <w:shd w:val="clear" w:color="000000" w:fill="FFFFCC"/>
            <w:noWrap/>
            <w:vAlign w:val="bottom"/>
            <w:hideMark/>
          </w:tcPr>
          <w:p w14:paraId="4DE6CAF4"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Čisté peňažné toky</w:t>
            </w:r>
          </w:p>
        </w:tc>
        <w:tc>
          <w:tcPr>
            <w:tcW w:w="1540" w:type="dxa"/>
            <w:tcBorders>
              <w:top w:val="nil"/>
              <w:left w:val="nil"/>
              <w:bottom w:val="single" w:sz="4" w:space="0" w:color="auto"/>
              <w:right w:val="single" w:sz="4" w:space="0" w:color="auto"/>
            </w:tcBorders>
            <w:shd w:val="clear" w:color="000000" w:fill="FFFFCC"/>
            <w:noWrap/>
            <w:vAlign w:val="bottom"/>
            <w:hideMark/>
          </w:tcPr>
          <w:p w14:paraId="2A04DFAA" w14:textId="77777777" w:rsidR="001A24C3" w:rsidRPr="00885FFC" w:rsidRDefault="001A24C3" w:rsidP="00300963">
            <w:pPr>
              <w:jc w:val="right"/>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 xml:space="preserve">28 430 472 </w:t>
            </w:r>
          </w:p>
        </w:tc>
      </w:tr>
    </w:tbl>
    <w:p w14:paraId="1BBECC76" w14:textId="77777777" w:rsidR="001A24C3" w:rsidRPr="00643316" w:rsidRDefault="001A24C3" w:rsidP="001A24C3"/>
    <w:p w14:paraId="01B685EA" w14:textId="77777777" w:rsidR="001A24C3" w:rsidRPr="00FC4139" w:rsidRDefault="001A24C3" w:rsidP="00FC4139">
      <w:pPr>
        <w:pStyle w:val="Nadpis41"/>
        <w:ind w:left="851" w:hanging="851"/>
        <w:rPr>
          <w:color w:val="auto"/>
          <w:sz w:val="24"/>
          <w:szCs w:val="24"/>
        </w:rPr>
      </w:pPr>
      <w:bookmarkStart w:id="403" w:name="_Toc88653040"/>
      <w:r w:rsidRPr="00FC4139">
        <w:rPr>
          <w:color w:val="auto"/>
          <w:sz w:val="24"/>
          <w:szCs w:val="24"/>
        </w:rPr>
        <w:t>Zostatková hodnota</w:t>
      </w:r>
      <w:bookmarkEnd w:id="403"/>
    </w:p>
    <w:p w14:paraId="523C1A94" w14:textId="77777777" w:rsidR="001A24C3" w:rsidRDefault="001A24C3" w:rsidP="001A24C3">
      <w:pPr>
        <w:rPr>
          <w:lang w:eastAsia="sk-SK" w:bidi="sk-SK"/>
        </w:rPr>
      </w:pPr>
      <w:r w:rsidRPr="00991F66">
        <w:rPr>
          <w:lang w:eastAsia="sk-SK" w:bidi="sk-SK"/>
        </w:rPr>
        <w:t>Zostatková hodnota bola v ekonomickej analýze vypočítaná 2 spôsobmi. Pomocou cash-flow tokov zároveň pomocou účtovných odpisov. Ako výsledná pre projekt bola použitá nižšia hodnota, teda tá konzervatívnejšia</w:t>
      </w:r>
      <w:r>
        <w:rPr>
          <w:lang w:eastAsia="sk-SK" w:bidi="sk-SK"/>
        </w:rPr>
        <w:t>.</w:t>
      </w:r>
    </w:p>
    <w:p w14:paraId="66D47EED" w14:textId="77777777" w:rsidR="001A24C3" w:rsidRDefault="001A24C3" w:rsidP="001A24C3">
      <w:pPr>
        <w:rPr>
          <w:b/>
          <w:lang w:eastAsia="sk-SK" w:bidi="sk-SK"/>
        </w:rPr>
      </w:pPr>
    </w:p>
    <w:p w14:paraId="01162ECE" w14:textId="40CBF038" w:rsidR="001A24C3" w:rsidRDefault="001A24C3" w:rsidP="00FC4139">
      <w:pPr>
        <w:pStyle w:val="Popis"/>
        <w:keepNext/>
        <w:jc w:val="both"/>
      </w:pPr>
      <w:bookmarkStart w:id="404" w:name="_Toc83677961"/>
      <w:r>
        <w:t xml:space="preserve">Tabuľka </w:t>
      </w:r>
      <w:r w:rsidR="00091EB3">
        <w:rPr>
          <w:noProof/>
        </w:rPr>
        <w:t>90</w:t>
      </w:r>
      <w:r>
        <w:tab/>
      </w:r>
      <w:r w:rsidRPr="00CA03A6">
        <w:t>Zostatková hodnota – metóda cash flow</w:t>
      </w:r>
      <w:bookmarkEnd w:id="404"/>
    </w:p>
    <w:tbl>
      <w:tblPr>
        <w:tblW w:w="8540" w:type="dxa"/>
        <w:tblCellMar>
          <w:left w:w="70" w:type="dxa"/>
          <w:right w:w="70" w:type="dxa"/>
        </w:tblCellMar>
        <w:tblLook w:val="04A0" w:firstRow="1" w:lastRow="0" w:firstColumn="1" w:lastColumn="0" w:noHBand="0" w:noVBand="1"/>
      </w:tblPr>
      <w:tblGrid>
        <w:gridCol w:w="7060"/>
        <w:gridCol w:w="1480"/>
      </w:tblGrid>
      <w:tr w:rsidR="001A24C3" w:rsidRPr="00885FFC" w14:paraId="64B8E827" w14:textId="77777777" w:rsidTr="00300963">
        <w:trPr>
          <w:trHeight w:val="216"/>
        </w:trPr>
        <w:tc>
          <w:tcPr>
            <w:tcW w:w="7060" w:type="dxa"/>
            <w:tcBorders>
              <w:top w:val="single" w:sz="8" w:space="0" w:color="auto"/>
              <w:left w:val="single" w:sz="8" w:space="0" w:color="auto"/>
              <w:bottom w:val="single" w:sz="4" w:space="0" w:color="auto"/>
              <w:right w:val="single" w:sz="4" w:space="0" w:color="auto"/>
            </w:tcBorders>
            <w:shd w:val="clear" w:color="000000" w:fill="D9D9D9"/>
            <w:noWrap/>
            <w:vAlign w:val="bottom"/>
            <w:hideMark/>
          </w:tcPr>
          <w:p w14:paraId="4B0E4D1B" w14:textId="77777777" w:rsidR="001A24C3" w:rsidRPr="00885FFC" w:rsidRDefault="001A24C3" w:rsidP="00300963">
            <w:pP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Peňažné toky</w:t>
            </w:r>
          </w:p>
        </w:tc>
        <w:tc>
          <w:tcPr>
            <w:tcW w:w="1480" w:type="dxa"/>
            <w:tcBorders>
              <w:top w:val="single" w:sz="8" w:space="0" w:color="auto"/>
              <w:left w:val="nil"/>
              <w:bottom w:val="single" w:sz="4" w:space="0" w:color="auto"/>
              <w:right w:val="single" w:sz="4" w:space="0" w:color="auto"/>
            </w:tcBorders>
            <w:shd w:val="clear" w:color="000000" w:fill="D9D9D9"/>
            <w:vAlign w:val="bottom"/>
            <w:hideMark/>
          </w:tcPr>
          <w:p w14:paraId="7EB0EE75"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Celkom</w:t>
            </w:r>
          </w:p>
        </w:tc>
      </w:tr>
      <w:tr w:rsidR="001A24C3" w:rsidRPr="00885FFC" w14:paraId="3BC923E2"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24AEFE81"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Investičné náklady</w:t>
            </w:r>
          </w:p>
        </w:tc>
        <w:tc>
          <w:tcPr>
            <w:tcW w:w="1480" w:type="dxa"/>
            <w:tcBorders>
              <w:top w:val="nil"/>
              <w:left w:val="nil"/>
              <w:bottom w:val="single" w:sz="4" w:space="0" w:color="auto"/>
              <w:right w:val="single" w:sz="4" w:space="0" w:color="auto"/>
            </w:tcBorders>
            <w:shd w:val="clear" w:color="000000" w:fill="F2F2F2"/>
            <w:vAlign w:val="center"/>
            <w:hideMark/>
          </w:tcPr>
          <w:p w14:paraId="686668A3"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0</w:t>
            </w:r>
          </w:p>
        </w:tc>
      </w:tr>
      <w:tr w:rsidR="001A24C3" w:rsidRPr="00885FFC" w14:paraId="3A468F3E"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2E7279CE"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Prevádzkové náklady</w:t>
            </w:r>
          </w:p>
        </w:tc>
        <w:tc>
          <w:tcPr>
            <w:tcW w:w="1480" w:type="dxa"/>
            <w:tcBorders>
              <w:top w:val="nil"/>
              <w:left w:val="nil"/>
              <w:bottom w:val="single" w:sz="4" w:space="0" w:color="auto"/>
              <w:right w:val="single" w:sz="4" w:space="0" w:color="auto"/>
            </w:tcBorders>
            <w:shd w:val="clear" w:color="000000" w:fill="F2F2F2"/>
            <w:vAlign w:val="center"/>
            <w:hideMark/>
          </w:tcPr>
          <w:p w14:paraId="78B7B278"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0</w:t>
            </w:r>
          </w:p>
        </w:tc>
      </w:tr>
      <w:tr w:rsidR="001A24C3" w:rsidRPr="00885FFC" w14:paraId="5E0C5F55"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3FF21BDC"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cestujúcich</w:t>
            </w:r>
          </w:p>
        </w:tc>
        <w:tc>
          <w:tcPr>
            <w:tcW w:w="1480" w:type="dxa"/>
            <w:tcBorders>
              <w:top w:val="nil"/>
              <w:left w:val="nil"/>
              <w:bottom w:val="single" w:sz="4" w:space="0" w:color="auto"/>
              <w:right w:val="single" w:sz="4" w:space="0" w:color="auto"/>
            </w:tcBorders>
            <w:shd w:val="clear" w:color="000000" w:fill="F2F2F2"/>
            <w:vAlign w:val="center"/>
            <w:hideMark/>
          </w:tcPr>
          <w:p w14:paraId="462394B3"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4 092 361</w:t>
            </w:r>
          </w:p>
        </w:tc>
      </w:tr>
      <w:tr w:rsidR="001A24C3" w:rsidRPr="00885FFC" w14:paraId="4FD1907D"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1BB2249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Čas tovaru</w:t>
            </w:r>
          </w:p>
        </w:tc>
        <w:tc>
          <w:tcPr>
            <w:tcW w:w="1480" w:type="dxa"/>
            <w:tcBorders>
              <w:top w:val="nil"/>
              <w:left w:val="nil"/>
              <w:bottom w:val="single" w:sz="4" w:space="0" w:color="auto"/>
              <w:right w:val="single" w:sz="4" w:space="0" w:color="auto"/>
            </w:tcBorders>
            <w:shd w:val="clear" w:color="000000" w:fill="F2F2F2"/>
            <w:vAlign w:val="center"/>
            <w:hideMark/>
          </w:tcPr>
          <w:p w14:paraId="1C3246C4"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47 900 370</w:t>
            </w:r>
          </w:p>
        </w:tc>
      </w:tr>
      <w:tr w:rsidR="001A24C3" w:rsidRPr="00885FFC" w14:paraId="011CC9C9"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35A0E999"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Prevádzkové náklady vozidiel</w:t>
            </w:r>
          </w:p>
        </w:tc>
        <w:tc>
          <w:tcPr>
            <w:tcW w:w="1480" w:type="dxa"/>
            <w:tcBorders>
              <w:top w:val="nil"/>
              <w:left w:val="nil"/>
              <w:bottom w:val="single" w:sz="4" w:space="0" w:color="auto"/>
              <w:right w:val="single" w:sz="4" w:space="0" w:color="auto"/>
            </w:tcBorders>
            <w:shd w:val="clear" w:color="000000" w:fill="F2F2F2"/>
            <w:vAlign w:val="center"/>
            <w:hideMark/>
          </w:tcPr>
          <w:p w14:paraId="792E526B"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3 379 757</w:t>
            </w:r>
          </w:p>
        </w:tc>
      </w:tr>
      <w:tr w:rsidR="001A24C3" w:rsidRPr="00885FFC" w14:paraId="129CCF30"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4875E1AF"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Znečisťujúce látky</w:t>
            </w:r>
          </w:p>
        </w:tc>
        <w:tc>
          <w:tcPr>
            <w:tcW w:w="1480" w:type="dxa"/>
            <w:tcBorders>
              <w:top w:val="nil"/>
              <w:left w:val="nil"/>
              <w:bottom w:val="single" w:sz="4" w:space="0" w:color="auto"/>
              <w:right w:val="single" w:sz="4" w:space="0" w:color="auto"/>
            </w:tcBorders>
            <w:shd w:val="clear" w:color="000000" w:fill="F2F2F2"/>
            <w:vAlign w:val="center"/>
            <w:hideMark/>
          </w:tcPr>
          <w:p w14:paraId="6D5FE338"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281 234</w:t>
            </w:r>
          </w:p>
        </w:tc>
      </w:tr>
      <w:tr w:rsidR="001A24C3" w:rsidRPr="00885FFC" w14:paraId="7F8407A8" w14:textId="77777777" w:rsidTr="00300963">
        <w:trPr>
          <w:trHeight w:val="204"/>
        </w:trPr>
        <w:tc>
          <w:tcPr>
            <w:tcW w:w="7060" w:type="dxa"/>
            <w:tcBorders>
              <w:top w:val="nil"/>
              <w:left w:val="single" w:sz="8" w:space="0" w:color="auto"/>
              <w:bottom w:val="single" w:sz="4" w:space="0" w:color="auto"/>
              <w:right w:val="single" w:sz="4" w:space="0" w:color="auto"/>
            </w:tcBorders>
            <w:shd w:val="clear" w:color="auto" w:fill="auto"/>
            <w:noWrap/>
            <w:vAlign w:val="bottom"/>
            <w:hideMark/>
          </w:tcPr>
          <w:p w14:paraId="24C51106"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Skleníkové plyny</w:t>
            </w:r>
          </w:p>
        </w:tc>
        <w:tc>
          <w:tcPr>
            <w:tcW w:w="1480" w:type="dxa"/>
            <w:tcBorders>
              <w:top w:val="nil"/>
              <w:left w:val="nil"/>
              <w:bottom w:val="single" w:sz="4" w:space="0" w:color="auto"/>
              <w:right w:val="single" w:sz="4" w:space="0" w:color="auto"/>
            </w:tcBorders>
            <w:shd w:val="clear" w:color="000000" w:fill="F2F2F2"/>
            <w:vAlign w:val="center"/>
            <w:hideMark/>
          </w:tcPr>
          <w:p w14:paraId="372AC994"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1 219 532</w:t>
            </w:r>
          </w:p>
        </w:tc>
      </w:tr>
      <w:tr w:rsidR="001A24C3" w:rsidRPr="00885FFC" w14:paraId="4BAEE53F" w14:textId="77777777" w:rsidTr="00300963">
        <w:trPr>
          <w:trHeight w:val="216"/>
        </w:trPr>
        <w:tc>
          <w:tcPr>
            <w:tcW w:w="7060" w:type="dxa"/>
            <w:tcBorders>
              <w:top w:val="nil"/>
              <w:left w:val="single" w:sz="8" w:space="0" w:color="auto"/>
              <w:bottom w:val="nil"/>
              <w:right w:val="single" w:sz="4" w:space="0" w:color="auto"/>
            </w:tcBorders>
            <w:shd w:val="clear" w:color="auto" w:fill="auto"/>
            <w:noWrap/>
            <w:vAlign w:val="bottom"/>
            <w:hideMark/>
          </w:tcPr>
          <w:p w14:paraId="0726B085"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Hluk</w:t>
            </w:r>
          </w:p>
        </w:tc>
        <w:tc>
          <w:tcPr>
            <w:tcW w:w="1480" w:type="dxa"/>
            <w:tcBorders>
              <w:top w:val="nil"/>
              <w:left w:val="nil"/>
              <w:bottom w:val="single" w:sz="4" w:space="0" w:color="auto"/>
              <w:right w:val="single" w:sz="4" w:space="0" w:color="auto"/>
            </w:tcBorders>
            <w:shd w:val="clear" w:color="000000" w:fill="F2F2F2"/>
            <w:vAlign w:val="center"/>
            <w:hideMark/>
          </w:tcPr>
          <w:p w14:paraId="724E94C9" w14:textId="77777777" w:rsidR="001A24C3" w:rsidRPr="00885FFC" w:rsidRDefault="001A24C3" w:rsidP="00300963">
            <w:pPr>
              <w:jc w:val="center"/>
              <w:rPr>
                <w:rFonts w:ascii="Arial" w:eastAsia="Times New Roman" w:hAnsi="Arial" w:cs="Arial"/>
                <w:b/>
                <w:bCs/>
                <w:sz w:val="16"/>
                <w:szCs w:val="16"/>
                <w:lang w:eastAsia="sk-SK"/>
              </w:rPr>
            </w:pPr>
            <w:r w:rsidRPr="00885FFC">
              <w:rPr>
                <w:rFonts w:ascii="Arial" w:eastAsia="Times New Roman" w:hAnsi="Arial" w:cs="Arial"/>
                <w:b/>
                <w:bCs/>
                <w:sz w:val="16"/>
                <w:szCs w:val="16"/>
                <w:lang w:eastAsia="sk-SK"/>
              </w:rPr>
              <w:t>180 698</w:t>
            </w:r>
          </w:p>
        </w:tc>
      </w:tr>
      <w:tr w:rsidR="001A24C3" w:rsidRPr="00885FFC" w14:paraId="1BB07CF9" w14:textId="77777777" w:rsidTr="00300963">
        <w:trPr>
          <w:trHeight w:val="288"/>
        </w:trPr>
        <w:tc>
          <w:tcPr>
            <w:tcW w:w="7060" w:type="dxa"/>
            <w:tcBorders>
              <w:top w:val="single" w:sz="8" w:space="0" w:color="auto"/>
              <w:left w:val="single" w:sz="8" w:space="0" w:color="auto"/>
              <w:bottom w:val="single" w:sz="8" w:space="0" w:color="auto"/>
              <w:right w:val="single" w:sz="4" w:space="0" w:color="auto"/>
            </w:tcBorders>
            <w:shd w:val="clear" w:color="auto" w:fill="auto"/>
            <w:noWrap/>
            <w:vAlign w:val="center"/>
            <w:hideMark/>
          </w:tcPr>
          <w:p w14:paraId="0F9D700A"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Súčasná hodnota peňažných tokov</w:t>
            </w:r>
          </w:p>
        </w:tc>
        <w:tc>
          <w:tcPr>
            <w:tcW w:w="1480" w:type="dxa"/>
            <w:tcBorders>
              <w:top w:val="single" w:sz="8" w:space="0" w:color="auto"/>
              <w:left w:val="nil"/>
              <w:bottom w:val="single" w:sz="8" w:space="0" w:color="auto"/>
              <w:right w:val="single" w:sz="4" w:space="0" w:color="auto"/>
            </w:tcBorders>
            <w:shd w:val="clear" w:color="000000" w:fill="FFFF66"/>
            <w:vAlign w:val="center"/>
            <w:hideMark/>
          </w:tcPr>
          <w:p w14:paraId="25DFF46B" w14:textId="77777777" w:rsidR="001A24C3" w:rsidRPr="00885FFC" w:rsidRDefault="001A24C3" w:rsidP="00300963">
            <w:pPr>
              <w:jc w:val="center"/>
              <w:rPr>
                <w:rFonts w:ascii="Arial" w:eastAsia="Times New Roman" w:hAnsi="Arial" w:cs="Arial"/>
                <w:b/>
                <w:bCs/>
                <w:lang w:eastAsia="sk-SK"/>
              </w:rPr>
            </w:pPr>
            <w:r w:rsidRPr="00885FFC">
              <w:rPr>
                <w:rFonts w:ascii="Arial" w:eastAsia="Times New Roman" w:hAnsi="Arial" w:cs="Arial"/>
                <w:b/>
                <w:bCs/>
                <w:lang w:eastAsia="sk-SK"/>
              </w:rPr>
              <w:t>143 976 350</w:t>
            </w:r>
          </w:p>
        </w:tc>
      </w:tr>
    </w:tbl>
    <w:p w14:paraId="05F7B634" w14:textId="77777777" w:rsidR="00FC4139" w:rsidRDefault="00FC4139" w:rsidP="00FC4139">
      <w:pPr>
        <w:pStyle w:val="Popis"/>
        <w:keepNext/>
        <w:jc w:val="both"/>
      </w:pPr>
      <w:bookmarkStart w:id="405" w:name="_Toc83677962"/>
    </w:p>
    <w:p w14:paraId="312C748E" w14:textId="3AF84E8E" w:rsidR="001A24C3" w:rsidRDefault="001A24C3" w:rsidP="00FC4139">
      <w:pPr>
        <w:pStyle w:val="Popis"/>
        <w:keepNext/>
        <w:jc w:val="both"/>
      </w:pPr>
      <w:r>
        <w:t xml:space="preserve">Tabuľka </w:t>
      </w:r>
      <w:r w:rsidR="00091EB3">
        <w:rPr>
          <w:noProof/>
        </w:rPr>
        <w:t>91</w:t>
      </w:r>
      <w:r>
        <w:tab/>
      </w:r>
      <w:r w:rsidRPr="00CA03A6">
        <w:t xml:space="preserve">Zostatková hodnota – </w:t>
      </w:r>
      <w:r>
        <w:t>odpisová metóda</w:t>
      </w:r>
      <w:bookmarkEnd w:id="405"/>
    </w:p>
    <w:tbl>
      <w:tblPr>
        <w:tblW w:w="0" w:type="auto"/>
        <w:tblLayout w:type="fixed"/>
        <w:tblCellMar>
          <w:left w:w="70" w:type="dxa"/>
          <w:right w:w="70" w:type="dxa"/>
        </w:tblCellMar>
        <w:tblLook w:val="04A0" w:firstRow="1" w:lastRow="0" w:firstColumn="1" w:lastColumn="0" w:noHBand="0" w:noVBand="1"/>
      </w:tblPr>
      <w:tblGrid>
        <w:gridCol w:w="3935"/>
        <w:gridCol w:w="885"/>
        <w:gridCol w:w="850"/>
        <w:gridCol w:w="851"/>
        <w:gridCol w:w="709"/>
        <w:gridCol w:w="708"/>
        <w:gridCol w:w="1124"/>
      </w:tblGrid>
      <w:tr w:rsidR="001A24C3" w:rsidRPr="00452956" w14:paraId="27A99B17" w14:textId="77777777" w:rsidTr="00300963">
        <w:trPr>
          <w:trHeight w:val="204"/>
        </w:trPr>
        <w:tc>
          <w:tcPr>
            <w:tcW w:w="4820" w:type="dxa"/>
            <w:gridSpan w:val="2"/>
            <w:tcBorders>
              <w:top w:val="nil"/>
              <w:left w:val="nil"/>
              <w:bottom w:val="nil"/>
              <w:right w:val="nil"/>
            </w:tcBorders>
            <w:shd w:val="clear" w:color="auto" w:fill="auto"/>
            <w:noWrap/>
            <w:vAlign w:val="bottom"/>
            <w:hideMark/>
          </w:tcPr>
          <w:p w14:paraId="11803B3D" w14:textId="77777777" w:rsidR="001A24C3" w:rsidRPr="00452956" w:rsidRDefault="001A24C3" w:rsidP="00300963">
            <w:pP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2.1 Zostatková hodnota na základe životnosti infraštruktrálnych prvkov (alebo tzv. účtovné odpisy)</w:t>
            </w:r>
          </w:p>
        </w:tc>
        <w:tc>
          <w:tcPr>
            <w:tcW w:w="850" w:type="dxa"/>
            <w:tcBorders>
              <w:top w:val="nil"/>
              <w:left w:val="nil"/>
              <w:bottom w:val="nil"/>
              <w:right w:val="nil"/>
            </w:tcBorders>
            <w:shd w:val="clear" w:color="auto" w:fill="auto"/>
            <w:noWrap/>
            <w:vAlign w:val="bottom"/>
            <w:hideMark/>
          </w:tcPr>
          <w:p w14:paraId="7F6D49DB" w14:textId="77777777" w:rsidR="001A24C3" w:rsidRPr="00452956" w:rsidRDefault="001A24C3" w:rsidP="00300963">
            <w:pPr>
              <w:rPr>
                <w:rFonts w:ascii="Arial" w:eastAsia="Times New Roman" w:hAnsi="Arial" w:cs="Arial"/>
                <w:b/>
                <w:bCs/>
                <w:sz w:val="12"/>
                <w:szCs w:val="12"/>
                <w:lang w:eastAsia="sk-SK"/>
              </w:rPr>
            </w:pPr>
          </w:p>
        </w:tc>
        <w:tc>
          <w:tcPr>
            <w:tcW w:w="851" w:type="dxa"/>
            <w:tcBorders>
              <w:top w:val="nil"/>
              <w:left w:val="nil"/>
              <w:bottom w:val="nil"/>
              <w:right w:val="nil"/>
            </w:tcBorders>
            <w:shd w:val="clear" w:color="auto" w:fill="auto"/>
            <w:noWrap/>
            <w:vAlign w:val="bottom"/>
            <w:hideMark/>
          </w:tcPr>
          <w:p w14:paraId="1EB74754" w14:textId="77777777" w:rsidR="001A24C3" w:rsidRPr="00452956" w:rsidRDefault="001A24C3" w:rsidP="00300963">
            <w:pPr>
              <w:rPr>
                <w:rFonts w:ascii="Times New Roman" w:eastAsia="Times New Roman" w:hAnsi="Times New Roman" w:cs="Times New Roman"/>
                <w:sz w:val="12"/>
                <w:szCs w:val="12"/>
                <w:lang w:eastAsia="sk-SK"/>
              </w:rPr>
            </w:pPr>
          </w:p>
        </w:tc>
        <w:tc>
          <w:tcPr>
            <w:tcW w:w="709" w:type="dxa"/>
            <w:tcBorders>
              <w:top w:val="nil"/>
              <w:left w:val="nil"/>
              <w:bottom w:val="nil"/>
              <w:right w:val="nil"/>
            </w:tcBorders>
            <w:shd w:val="clear" w:color="auto" w:fill="auto"/>
            <w:noWrap/>
            <w:vAlign w:val="bottom"/>
            <w:hideMark/>
          </w:tcPr>
          <w:p w14:paraId="7838233A" w14:textId="77777777" w:rsidR="001A24C3" w:rsidRPr="00452956" w:rsidRDefault="001A24C3" w:rsidP="00300963">
            <w:pPr>
              <w:rPr>
                <w:rFonts w:ascii="Times New Roman" w:eastAsia="Times New Roman" w:hAnsi="Times New Roman" w:cs="Times New Roman"/>
                <w:sz w:val="12"/>
                <w:szCs w:val="12"/>
                <w:lang w:eastAsia="sk-SK"/>
              </w:rPr>
            </w:pPr>
          </w:p>
        </w:tc>
        <w:tc>
          <w:tcPr>
            <w:tcW w:w="708" w:type="dxa"/>
            <w:tcBorders>
              <w:top w:val="nil"/>
              <w:left w:val="nil"/>
              <w:bottom w:val="nil"/>
              <w:right w:val="single" w:sz="4" w:space="0" w:color="auto"/>
            </w:tcBorders>
            <w:shd w:val="clear" w:color="auto" w:fill="auto"/>
            <w:noWrap/>
            <w:vAlign w:val="bottom"/>
            <w:hideMark/>
          </w:tcPr>
          <w:p w14:paraId="1CAC4D60" w14:textId="77777777" w:rsidR="001A24C3" w:rsidRPr="00452956" w:rsidRDefault="001A24C3" w:rsidP="00300963">
            <w:pPr>
              <w:rPr>
                <w:rFonts w:ascii="Times New Roman" w:eastAsia="Times New Roman" w:hAnsi="Times New Roman" w:cs="Times New Roman"/>
                <w:sz w:val="12"/>
                <w:szCs w:val="12"/>
                <w:lang w:eastAsia="sk-SK"/>
              </w:rPr>
            </w:pPr>
          </w:p>
        </w:tc>
        <w:tc>
          <w:tcPr>
            <w:tcW w:w="1124" w:type="dxa"/>
            <w:tcBorders>
              <w:top w:val="single" w:sz="8" w:space="0" w:color="auto"/>
              <w:left w:val="single" w:sz="4" w:space="0" w:color="auto"/>
              <w:bottom w:val="nil"/>
              <w:right w:val="single" w:sz="8" w:space="0" w:color="auto"/>
            </w:tcBorders>
            <w:shd w:val="clear" w:color="auto" w:fill="auto"/>
            <w:noWrap/>
            <w:vAlign w:val="bottom"/>
            <w:hideMark/>
          </w:tcPr>
          <w:p w14:paraId="19212588" w14:textId="77777777" w:rsidR="001A24C3" w:rsidRPr="00452956" w:rsidRDefault="001A24C3" w:rsidP="00300963">
            <w:pPr>
              <w:jc w:val="cente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ekonomická</w:t>
            </w:r>
          </w:p>
        </w:tc>
      </w:tr>
      <w:tr w:rsidR="001A24C3" w:rsidRPr="00452956" w14:paraId="40E2B06B" w14:textId="77777777" w:rsidTr="00300963">
        <w:trPr>
          <w:trHeight w:val="1020"/>
        </w:trPr>
        <w:tc>
          <w:tcPr>
            <w:tcW w:w="3935" w:type="dxa"/>
            <w:tcBorders>
              <w:top w:val="single" w:sz="4" w:space="0" w:color="auto"/>
              <w:left w:val="single" w:sz="4" w:space="0" w:color="auto"/>
              <w:bottom w:val="single" w:sz="4" w:space="0" w:color="auto"/>
              <w:right w:val="single" w:sz="4" w:space="0" w:color="auto"/>
            </w:tcBorders>
            <w:shd w:val="clear" w:color="000000" w:fill="D9D9D9"/>
            <w:noWrap/>
            <w:vAlign w:val="bottom"/>
            <w:hideMark/>
          </w:tcPr>
          <w:p w14:paraId="30AF7C2D" w14:textId="77777777" w:rsidR="001A24C3" w:rsidRPr="00452956" w:rsidRDefault="001A24C3" w:rsidP="00300963">
            <w:pP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Infraštrukturálny prvok</w:t>
            </w:r>
          </w:p>
        </w:tc>
        <w:tc>
          <w:tcPr>
            <w:tcW w:w="885" w:type="dxa"/>
            <w:tcBorders>
              <w:top w:val="single" w:sz="4" w:space="0" w:color="auto"/>
              <w:left w:val="nil"/>
              <w:bottom w:val="single" w:sz="4" w:space="0" w:color="auto"/>
              <w:right w:val="single" w:sz="4" w:space="0" w:color="auto"/>
            </w:tcBorders>
            <w:shd w:val="clear" w:color="000000" w:fill="D9D9D9"/>
            <w:vAlign w:val="bottom"/>
            <w:hideMark/>
          </w:tcPr>
          <w:p w14:paraId="573B9460" w14:textId="77777777" w:rsidR="001A24C3" w:rsidRPr="00452956" w:rsidRDefault="001A24C3" w:rsidP="00300963">
            <w:pPr>
              <w:jc w:val="cente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Životnosť v rokoch</w:t>
            </w:r>
          </w:p>
        </w:tc>
        <w:tc>
          <w:tcPr>
            <w:tcW w:w="850" w:type="dxa"/>
            <w:tcBorders>
              <w:top w:val="single" w:sz="4" w:space="0" w:color="auto"/>
              <w:left w:val="nil"/>
              <w:bottom w:val="single" w:sz="4" w:space="0" w:color="auto"/>
              <w:right w:val="single" w:sz="4" w:space="0" w:color="auto"/>
            </w:tcBorders>
            <w:shd w:val="clear" w:color="000000" w:fill="D9D9D9"/>
            <w:vAlign w:val="bottom"/>
            <w:hideMark/>
          </w:tcPr>
          <w:p w14:paraId="23B81266" w14:textId="77777777" w:rsidR="001A24C3" w:rsidRPr="00452956" w:rsidRDefault="001A24C3" w:rsidP="00300963">
            <w:pPr>
              <w:jc w:val="cente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Obdobie prevádzky v rámci referenčného obdobia</w:t>
            </w:r>
          </w:p>
        </w:tc>
        <w:tc>
          <w:tcPr>
            <w:tcW w:w="851" w:type="dxa"/>
            <w:tcBorders>
              <w:top w:val="single" w:sz="4" w:space="0" w:color="auto"/>
              <w:left w:val="nil"/>
              <w:bottom w:val="single" w:sz="4" w:space="0" w:color="auto"/>
              <w:right w:val="single" w:sz="4" w:space="0" w:color="auto"/>
            </w:tcBorders>
            <w:shd w:val="clear" w:color="000000" w:fill="D9D9D9"/>
            <w:vAlign w:val="bottom"/>
            <w:hideMark/>
          </w:tcPr>
          <w:p w14:paraId="67A69FA1" w14:textId="77777777" w:rsidR="001A24C3" w:rsidRPr="00452956" w:rsidRDefault="001A24C3" w:rsidP="00300963">
            <w:pPr>
              <w:jc w:val="cente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Nevyhnutnosť výmeny</w:t>
            </w:r>
          </w:p>
        </w:tc>
        <w:tc>
          <w:tcPr>
            <w:tcW w:w="709" w:type="dxa"/>
            <w:tcBorders>
              <w:top w:val="single" w:sz="4" w:space="0" w:color="auto"/>
              <w:left w:val="nil"/>
              <w:bottom w:val="single" w:sz="4" w:space="0" w:color="auto"/>
              <w:right w:val="single" w:sz="4" w:space="0" w:color="auto"/>
            </w:tcBorders>
            <w:shd w:val="clear" w:color="000000" w:fill="D9D9D9"/>
            <w:vAlign w:val="bottom"/>
            <w:hideMark/>
          </w:tcPr>
          <w:p w14:paraId="7E46D5C0" w14:textId="77777777" w:rsidR="001A24C3" w:rsidRPr="00452956" w:rsidRDefault="001A24C3" w:rsidP="00300963">
            <w:pPr>
              <w:jc w:val="cente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Životnosť (vrátane výmeny)</w:t>
            </w:r>
          </w:p>
        </w:tc>
        <w:tc>
          <w:tcPr>
            <w:tcW w:w="708" w:type="dxa"/>
            <w:tcBorders>
              <w:top w:val="single" w:sz="4" w:space="0" w:color="auto"/>
              <w:left w:val="nil"/>
              <w:bottom w:val="single" w:sz="4" w:space="0" w:color="auto"/>
              <w:right w:val="single" w:sz="4" w:space="0" w:color="auto"/>
            </w:tcBorders>
            <w:shd w:val="clear" w:color="000000" w:fill="D9D9D9"/>
            <w:vAlign w:val="bottom"/>
            <w:hideMark/>
          </w:tcPr>
          <w:p w14:paraId="7E832706" w14:textId="77777777" w:rsidR="001A24C3" w:rsidRPr="00452956" w:rsidRDefault="001A24C3" w:rsidP="00300963">
            <w:pPr>
              <w:jc w:val="cente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Zostávajúca životnosť v %*</w:t>
            </w:r>
          </w:p>
        </w:tc>
        <w:tc>
          <w:tcPr>
            <w:tcW w:w="1124" w:type="dxa"/>
            <w:tcBorders>
              <w:top w:val="single" w:sz="4" w:space="0" w:color="auto"/>
              <w:left w:val="single" w:sz="4" w:space="0" w:color="auto"/>
              <w:bottom w:val="single" w:sz="4" w:space="0" w:color="auto"/>
              <w:right w:val="single" w:sz="8" w:space="0" w:color="auto"/>
            </w:tcBorders>
            <w:shd w:val="clear" w:color="000000" w:fill="D9D9D9"/>
            <w:vAlign w:val="bottom"/>
            <w:hideMark/>
          </w:tcPr>
          <w:p w14:paraId="087D1030" w14:textId="77777777" w:rsidR="001A24C3" w:rsidRPr="00452956" w:rsidRDefault="001A24C3" w:rsidP="00300963">
            <w:pPr>
              <w:jc w:val="cente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Zostatková hodnota</w:t>
            </w:r>
          </w:p>
        </w:tc>
      </w:tr>
      <w:tr w:rsidR="001A24C3" w:rsidRPr="00452956" w14:paraId="0AD81FB9"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5396CE70"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Pozemky</w:t>
            </w:r>
          </w:p>
        </w:tc>
        <w:tc>
          <w:tcPr>
            <w:tcW w:w="885" w:type="dxa"/>
            <w:tcBorders>
              <w:top w:val="nil"/>
              <w:left w:val="nil"/>
              <w:bottom w:val="single" w:sz="4" w:space="0" w:color="auto"/>
              <w:right w:val="single" w:sz="4" w:space="0" w:color="auto"/>
            </w:tcBorders>
            <w:shd w:val="clear" w:color="auto" w:fill="auto"/>
            <w:vAlign w:val="bottom"/>
            <w:hideMark/>
          </w:tcPr>
          <w:p w14:paraId="5B7A892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nekonečná</w:t>
            </w:r>
          </w:p>
        </w:tc>
        <w:tc>
          <w:tcPr>
            <w:tcW w:w="850" w:type="dxa"/>
            <w:tcBorders>
              <w:top w:val="nil"/>
              <w:left w:val="nil"/>
              <w:bottom w:val="single" w:sz="4" w:space="0" w:color="auto"/>
              <w:right w:val="single" w:sz="4" w:space="0" w:color="auto"/>
            </w:tcBorders>
            <w:shd w:val="clear" w:color="auto" w:fill="auto"/>
            <w:vAlign w:val="center"/>
            <w:hideMark/>
          </w:tcPr>
          <w:p w14:paraId="06ECC80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44C1AD9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vAlign w:val="bottom"/>
            <w:hideMark/>
          </w:tcPr>
          <w:p w14:paraId="552D9B40"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nekonečná</w:t>
            </w:r>
          </w:p>
        </w:tc>
        <w:tc>
          <w:tcPr>
            <w:tcW w:w="708" w:type="dxa"/>
            <w:tcBorders>
              <w:top w:val="nil"/>
              <w:left w:val="nil"/>
              <w:bottom w:val="single" w:sz="4" w:space="0" w:color="auto"/>
              <w:right w:val="single" w:sz="4" w:space="0" w:color="auto"/>
            </w:tcBorders>
            <w:shd w:val="clear" w:color="auto" w:fill="auto"/>
            <w:noWrap/>
            <w:vAlign w:val="bottom"/>
            <w:hideMark/>
          </w:tcPr>
          <w:p w14:paraId="51A9C9D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nekonečná</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79B0B336"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1 590 900,00</w:t>
            </w:r>
          </w:p>
        </w:tc>
      </w:tr>
      <w:tr w:rsidR="001A24C3" w:rsidRPr="00452956" w14:paraId="2E63C8FE"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2045AE7C"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Mosty železobetónové</w:t>
            </w:r>
          </w:p>
        </w:tc>
        <w:tc>
          <w:tcPr>
            <w:tcW w:w="885" w:type="dxa"/>
            <w:tcBorders>
              <w:top w:val="nil"/>
              <w:left w:val="nil"/>
              <w:bottom w:val="single" w:sz="4" w:space="0" w:color="auto"/>
              <w:right w:val="single" w:sz="4" w:space="0" w:color="auto"/>
            </w:tcBorders>
            <w:shd w:val="clear" w:color="auto" w:fill="auto"/>
            <w:noWrap/>
            <w:vAlign w:val="bottom"/>
            <w:hideMark/>
          </w:tcPr>
          <w:p w14:paraId="2C43A051"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100</w:t>
            </w:r>
          </w:p>
        </w:tc>
        <w:tc>
          <w:tcPr>
            <w:tcW w:w="850" w:type="dxa"/>
            <w:tcBorders>
              <w:top w:val="nil"/>
              <w:left w:val="nil"/>
              <w:bottom w:val="single" w:sz="4" w:space="0" w:color="auto"/>
              <w:right w:val="single" w:sz="4" w:space="0" w:color="auto"/>
            </w:tcBorders>
            <w:shd w:val="clear" w:color="auto" w:fill="auto"/>
            <w:vAlign w:val="center"/>
            <w:hideMark/>
          </w:tcPr>
          <w:p w14:paraId="396A1207"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35425EC6"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4E3AAFAA"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100</w:t>
            </w:r>
          </w:p>
        </w:tc>
        <w:tc>
          <w:tcPr>
            <w:tcW w:w="708" w:type="dxa"/>
            <w:tcBorders>
              <w:top w:val="nil"/>
              <w:left w:val="nil"/>
              <w:bottom w:val="single" w:sz="4" w:space="0" w:color="auto"/>
              <w:right w:val="single" w:sz="4" w:space="0" w:color="auto"/>
            </w:tcBorders>
            <w:shd w:val="clear" w:color="auto" w:fill="auto"/>
            <w:noWrap/>
            <w:vAlign w:val="bottom"/>
            <w:hideMark/>
          </w:tcPr>
          <w:p w14:paraId="3C71EF8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73%</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79FE5DDC"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47F47A52"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45228CB8"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lastRenderedPageBreak/>
              <w:t>Mosty oceľové a priepusty</w:t>
            </w:r>
          </w:p>
        </w:tc>
        <w:tc>
          <w:tcPr>
            <w:tcW w:w="885" w:type="dxa"/>
            <w:tcBorders>
              <w:top w:val="nil"/>
              <w:left w:val="nil"/>
              <w:bottom w:val="single" w:sz="4" w:space="0" w:color="auto"/>
              <w:right w:val="single" w:sz="4" w:space="0" w:color="auto"/>
            </w:tcBorders>
            <w:shd w:val="clear" w:color="auto" w:fill="auto"/>
            <w:noWrap/>
            <w:vAlign w:val="bottom"/>
            <w:hideMark/>
          </w:tcPr>
          <w:p w14:paraId="597D3D8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80</w:t>
            </w:r>
          </w:p>
        </w:tc>
        <w:tc>
          <w:tcPr>
            <w:tcW w:w="850" w:type="dxa"/>
            <w:tcBorders>
              <w:top w:val="nil"/>
              <w:left w:val="nil"/>
              <w:bottom w:val="single" w:sz="4" w:space="0" w:color="auto"/>
              <w:right w:val="single" w:sz="4" w:space="0" w:color="auto"/>
            </w:tcBorders>
            <w:shd w:val="clear" w:color="auto" w:fill="auto"/>
            <w:vAlign w:val="center"/>
            <w:hideMark/>
          </w:tcPr>
          <w:p w14:paraId="34ADE68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0E712F9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273AB0CF"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80</w:t>
            </w:r>
          </w:p>
        </w:tc>
        <w:tc>
          <w:tcPr>
            <w:tcW w:w="708" w:type="dxa"/>
            <w:tcBorders>
              <w:top w:val="nil"/>
              <w:left w:val="nil"/>
              <w:bottom w:val="single" w:sz="4" w:space="0" w:color="auto"/>
              <w:right w:val="single" w:sz="4" w:space="0" w:color="auto"/>
            </w:tcBorders>
            <w:shd w:val="clear" w:color="auto" w:fill="auto"/>
            <w:noWrap/>
            <w:vAlign w:val="bottom"/>
            <w:hideMark/>
          </w:tcPr>
          <w:p w14:paraId="119DB497"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66%</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6A25D1F4"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18 777 226,44</w:t>
            </w:r>
          </w:p>
        </w:tc>
      </w:tr>
      <w:tr w:rsidR="001A24C3" w:rsidRPr="00452956" w14:paraId="564C62A9"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09057F39"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Tunely</w:t>
            </w:r>
          </w:p>
        </w:tc>
        <w:tc>
          <w:tcPr>
            <w:tcW w:w="885" w:type="dxa"/>
            <w:tcBorders>
              <w:top w:val="nil"/>
              <w:left w:val="nil"/>
              <w:bottom w:val="single" w:sz="4" w:space="0" w:color="auto"/>
              <w:right w:val="single" w:sz="4" w:space="0" w:color="auto"/>
            </w:tcBorders>
            <w:shd w:val="clear" w:color="auto" w:fill="auto"/>
            <w:noWrap/>
            <w:vAlign w:val="bottom"/>
            <w:hideMark/>
          </w:tcPr>
          <w:p w14:paraId="32EE629C"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80</w:t>
            </w:r>
          </w:p>
        </w:tc>
        <w:tc>
          <w:tcPr>
            <w:tcW w:w="850" w:type="dxa"/>
            <w:tcBorders>
              <w:top w:val="nil"/>
              <w:left w:val="nil"/>
              <w:bottom w:val="single" w:sz="4" w:space="0" w:color="auto"/>
              <w:right w:val="single" w:sz="4" w:space="0" w:color="auto"/>
            </w:tcBorders>
            <w:shd w:val="clear" w:color="auto" w:fill="auto"/>
            <w:vAlign w:val="center"/>
            <w:hideMark/>
          </w:tcPr>
          <w:p w14:paraId="7E49B74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6D0969B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1D28CD60"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80</w:t>
            </w:r>
          </w:p>
        </w:tc>
        <w:tc>
          <w:tcPr>
            <w:tcW w:w="708" w:type="dxa"/>
            <w:tcBorders>
              <w:top w:val="nil"/>
              <w:left w:val="nil"/>
              <w:bottom w:val="single" w:sz="4" w:space="0" w:color="auto"/>
              <w:right w:val="single" w:sz="4" w:space="0" w:color="auto"/>
            </w:tcBorders>
            <w:shd w:val="clear" w:color="auto" w:fill="auto"/>
            <w:noWrap/>
            <w:vAlign w:val="bottom"/>
            <w:hideMark/>
          </w:tcPr>
          <w:p w14:paraId="415B8B28"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66%</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6FF6489B"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462059CF"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4B71CD14"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Budovy</w:t>
            </w:r>
          </w:p>
        </w:tc>
        <w:tc>
          <w:tcPr>
            <w:tcW w:w="885" w:type="dxa"/>
            <w:tcBorders>
              <w:top w:val="nil"/>
              <w:left w:val="nil"/>
              <w:bottom w:val="single" w:sz="4" w:space="0" w:color="auto"/>
              <w:right w:val="single" w:sz="4" w:space="0" w:color="auto"/>
            </w:tcBorders>
            <w:shd w:val="clear" w:color="auto" w:fill="auto"/>
            <w:noWrap/>
            <w:vAlign w:val="bottom"/>
            <w:hideMark/>
          </w:tcPr>
          <w:p w14:paraId="67D55061"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60</w:t>
            </w:r>
          </w:p>
        </w:tc>
        <w:tc>
          <w:tcPr>
            <w:tcW w:w="850" w:type="dxa"/>
            <w:tcBorders>
              <w:top w:val="nil"/>
              <w:left w:val="nil"/>
              <w:bottom w:val="single" w:sz="4" w:space="0" w:color="auto"/>
              <w:right w:val="single" w:sz="4" w:space="0" w:color="auto"/>
            </w:tcBorders>
            <w:shd w:val="clear" w:color="auto" w:fill="auto"/>
            <w:vAlign w:val="center"/>
            <w:hideMark/>
          </w:tcPr>
          <w:p w14:paraId="7D798A7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3AC16F97"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29E2B99E"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60</w:t>
            </w:r>
          </w:p>
        </w:tc>
        <w:tc>
          <w:tcPr>
            <w:tcW w:w="708" w:type="dxa"/>
            <w:tcBorders>
              <w:top w:val="nil"/>
              <w:left w:val="nil"/>
              <w:bottom w:val="single" w:sz="4" w:space="0" w:color="auto"/>
              <w:right w:val="single" w:sz="4" w:space="0" w:color="auto"/>
            </w:tcBorders>
            <w:shd w:val="clear" w:color="auto" w:fill="auto"/>
            <w:noWrap/>
            <w:vAlign w:val="bottom"/>
            <w:hideMark/>
          </w:tcPr>
          <w:p w14:paraId="79F799FE"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55%</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2ADB9CEF"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9 400,22</w:t>
            </w:r>
          </w:p>
        </w:tc>
      </w:tr>
      <w:tr w:rsidR="001A24C3" w:rsidRPr="00452956" w14:paraId="07DB48CC"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622243FF"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Nástupištia</w:t>
            </w:r>
          </w:p>
        </w:tc>
        <w:tc>
          <w:tcPr>
            <w:tcW w:w="885" w:type="dxa"/>
            <w:tcBorders>
              <w:top w:val="nil"/>
              <w:left w:val="nil"/>
              <w:bottom w:val="single" w:sz="4" w:space="0" w:color="auto"/>
              <w:right w:val="single" w:sz="4" w:space="0" w:color="auto"/>
            </w:tcBorders>
            <w:shd w:val="clear" w:color="auto" w:fill="auto"/>
            <w:noWrap/>
            <w:vAlign w:val="bottom"/>
            <w:hideMark/>
          </w:tcPr>
          <w:p w14:paraId="579779C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40</w:t>
            </w:r>
          </w:p>
        </w:tc>
        <w:tc>
          <w:tcPr>
            <w:tcW w:w="850" w:type="dxa"/>
            <w:tcBorders>
              <w:top w:val="nil"/>
              <w:left w:val="nil"/>
              <w:bottom w:val="single" w:sz="4" w:space="0" w:color="auto"/>
              <w:right w:val="single" w:sz="4" w:space="0" w:color="auto"/>
            </w:tcBorders>
            <w:shd w:val="clear" w:color="auto" w:fill="auto"/>
            <w:vAlign w:val="center"/>
            <w:hideMark/>
          </w:tcPr>
          <w:p w14:paraId="6926E56F"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143CCAFD"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7B44027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40</w:t>
            </w:r>
          </w:p>
        </w:tc>
        <w:tc>
          <w:tcPr>
            <w:tcW w:w="708" w:type="dxa"/>
            <w:tcBorders>
              <w:top w:val="nil"/>
              <w:left w:val="nil"/>
              <w:bottom w:val="single" w:sz="4" w:space="0" w:color="auto"/>
              <w:right w:val="single" w:sz="4" w:space="0" w:color="auto"/>
            </w:tcBorders>
            <w:shd w:val="clear" w:color="auto" w:fill="auto"/>
            <w:noWrap/>
            <w:vAlign w:val="bottom"/>
            <w:hideMark/>
          </w:tcPr>
          <w:p w14:paraId="7B1F2555"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33%</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74E81E32"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889 676,76</w:t>
            </w:r>
          </w:p>
        </w:tc>
      </w:tr>
      <w:tr w:rsidR="001A24C3" w:rsidRPr="00452956" w14:paraId="7AC9D124"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02846B7E"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Cestné komunikácie</w:t>
            </w:r>
          </w:p>
        </w:tc>
        <w:tc>
          <w:tcPr>
            <w:tcW w:w="885" w:type="dxa"/>
            <w:tcBorders>
              <w:top w:val="nil"/>
              <w:left w:val="nil"/>
              <w:bottom w:val="single" w:sz="4" w:space="0" w:color="auto"/>
              <w:right w:val="single" w:sz="4" w:space="0" w:color="auto"/>
            </w:tcBorders>
            <w:shd w:val="clear" w:color="auto" w:fill="auto"/>
            <w:noWrap/>
            <w:vAlign w:val="bottom"/>
            <w:hideMark/>
          </w:tcPr>
          <w:p w14:paraId="2D1C68C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50</w:t>
            </w:r>
          </w:p>
        </w:tc>
        <w:tc>
          <w:tcPr>
            <w:tcW w:w="850" w:type="dxa"/>
            <w:tcBorders>
              <w:top w:val="nil"/>
              <w:left w:val="nil"/>
              <w:bottom w:val="single" w:sz="4" w:space="0" w:color="auto"/>
              <w:right w:val="single" w:sz="4" w:space="0" w:color="auto"/>
            </w:tcBorders>
            <w:shd w:val="clear" w:color="auto" w:fill="auto"/>
            <w:vAlign w:val="center"/>
            <w:hideMark/>
          </w:tcPr>
          <w:p w14:paraId="35ECC0B6"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56A9E0DB"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4E240A20"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50</w:t>
            </w:r>
          </w:p>
        </w:tc>
        <w:tc>
          <w:tcPr>
            <w:tcW w:w="708" w:type="dxa"/>
            <w:tcBorders>
              <w:top w:val="nil"/>
              <w:left w:val="nil"/>
              <w:bottom w:val="single" w:sz="4" w:space="0" w:color="auto"/>
              <w:right w:val="single" w:sz="4" w:space="0" w:color="auto"/>
            </w:tcBorders>
            <w:shd w:val="clear" w:color="auto" w:fill="auto"/>
            <w:noWrap/>
            <w:vAlign w:val="bottom"/>
            <w:hideMark/>
          </w:tcPr>
          <w:p w14:paraId="57A53BED"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46%</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78F8C5D1"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701 479,56</w:t>
            </w:r>
          </w:p>
        </w:tc>
      </w:tr>
      <w:tr w:rsidR="001A24C3" w:rsidRPr="00452956" w14:paraId="632C71C6"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2B6959C6"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xml:space="preserve">Trať – železničný spodok </w:t>
            </w:r>
          </w:p>
        </w:tc>
        <w:tc>
          <w:tcPr>
            <w:tcW w:w="885" w:type="dxa"/>
            <w:tcBorders>
              <w:top w:val="nil"/>
              <w:left w:val="nil"/>
              <w:bottom w:val="single" w:sz="4" w:space="0" w:color="auto"/>
              <w:right w:val="single" w:sz="4" w:space="0" w:color="auto"/>
            </w:tcBorders>
            <w:shd w:val="clear" w:color="auto" w:fill="auto"/>
            <w:noWrap/>
            <w:vAlign w:val="bottom"/>
            <w:hideMark/>
          </w:tcPr>
          <w:p w14:paraId="03A5D8F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50</w:t>
            </w:r>
          </w:p>
        </w:tc>
        <w:tc>
          <w:tcPr>
            <w:tcW w:w="850" w:type="dxa"/>
            <w:tcBorders>
              <w:top w:val="nil"/>
              <w:left w:val="nil"/>
              <w:bottom w:val="single" w:sz="4" w:space="0" w:color="auto"/>
              <w:right w:val="single" w:sz="4" w:space="0" w:color="auto"/>
            </w:tcBorders>
            <w:shd w:val="clear" w:color="auto" w:fill="auto"/>
            <w:vAlign w:val="center"/>
            <w:hideMark/>
          </w:tcPr>
          <w:p w14:paraId="0C818C58"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60F1D52C"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388BE495"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50</w:t>
            </w:r>
          </w:p>
        </w:tc>
        <w:tc>
          <w:tcPr>
            <w:tcW w:w="708" w:type="dxa"/>
            <w:tcBorders>
              <w:top w:val="nil"/>
              <w:left w:val="nil"/>
              <w:bottom w:val="single" w:sz="4" w:space="0" w:color="auto"/>
              <w:right w:val="single" w:sz="4" w:space="0" w:color="auto"/>
            </w:tcBorders>
            <w:shd w:val="clear" w:color="auto" w:fill="auto"/>
            <w:noWrap/>
            <w:vAlign w:val="bottom"/>
            <w:hideMark/>
          </w:tcPr>
          <w:p w14:paraId="69CCFBAC"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46%</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77DFE3A0"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6 353 246,06</w:t>
            </w:r>
          </w:p>
        </w:tc>
      </w:tr>
      <w:tr w:rsidR="001A24C3" w:rsidRPr="00452956" w14:paraId="3C0DFA0A"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3B15B47D"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xml:space="preserve">Trať – železničný zvršok </w:t>
            </w:r>
          </w:p>
        </w:tc>
        <w:tc>
          <w:tcPr>
            <w:tcW w:w="885" w:type="dxa"/>
            <w:tcBorders>
              <w:top w:val="nil"/>
              <w:left w:val="nil"/>
              <w:bottom w:val="single" w:sz="4" w:space="0" w:color="auto"/>
              <w:right w:val="single" w:sz="4" w:space="0" w:color="auto"/>
            </w:tcBorders>
            <w:shd w:val="clear" w:color="auto" w:fill="auto"/>
            <w:noWrap/>
            <w:vAlign w:val="bottom"/>
            <w:hideMark/>
          </w:tcPr>
          <w:p w14:paraId="4AB9E70B"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850" w:type="dxa"/>
            <w:tcBorders>
              <w:top w:val="nil"/>
              <w:left w:val="nil"/>
              <w:bottom w:val="single" w:sz="4" w:space="0" w:color="auto"/>
              <w:right w:val="single" w:sz="4" w:space="0" w:color="auto"/>
            </w:tcBorders>
            <w:shd w:val="clear" w:color="auto" w:fill="auto"/>
            <w:vAlign w:val="center"/>
            <w:hideMark/>
          </w:tcPr>
          <w:p w14:paraId="58E15D5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58C6FCB1"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64D8F893"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708" w:type="dxa"/>
            <w:tcBorders>
              <w:top w:val="nil"/>
              <w:left w:val="nil"/>
              <w:bottom w:val="single" w:sz="4" w:space="0" w:color="auto"/>
              <w:right w:val="single" w:sz="4" w:space="0" w:color="auto"/>
            </w:tcBorders>
            <w:shd w:val="clear" w:color="auto" w:fill="auto"/>
            <w:noWrap/>
            <w:vAlign w:val="bottom"/>
            <w:hideMark/>
          </w:tcPr>
          <w:p w14:paraId="72C51D47"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10%</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0F0132FE"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2 753 736,83</w:t>
            </w:r>
          </w:p>
        </w:tc>
      </w:tr>
      <w:tr w:rsidR="001A24C3" w:rsidRPr="00452956" w14:paraId="3F10C3ED"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7F3E1B35"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Podporné a oporné múry, spevnenie svahu</w:t>
            </w:r>
          </w:p>
        </w:tc>
        <w:tc>
          <w:tcPr>
            <w:tcW w:w="885" w:type="dxa"/>
            <w:tcBorders>
              <w:top w:val="nil"/>
              <w:left w:val="nil"/>
              <w:bottom w:val="single" w:sz="4" w:space="0" w:color="auto"/>
              <w:right w:val="single" w:sz="4" w:space="0" w:color="auto"/>
            </w:tcBorders>
            <w:shd w:val="clear" w:color="auto" w:fill="auto"/>
            <w:noWrap/>
            <w:vAlign w:val="bottom"/>
            <w:hideMark/>
          </w:tcPr>
          <w:p w14:paraId="0CA6CEB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50</w:t>
            </w:r>
          </w:p>
        </w:tc>
        <w:tc>
          <w:tcPr>
            <w:tcW w:w="850" w:type="dxa"/>
            <w:tcBorders>
              <w:top w:val="nil"/>
              <w:left w:val="nil"/>
              <w:bottom w:val="single" w:sz="4" w:space="0" w:color="auto"/>
              <w:right w:val="single" w:sz="4" w:space="0" w:color="auto"/>
            </w:tcBorders>
            <w:shd w:val="clear" w:color="auto" w:fill="auto"/>
            <w:vAlign w:val="center"/>
            <w:hideMark/>
          </w:tcPr>
          <w:p w14:paraId="765441AD"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196880D6"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5923564D"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50</w:t>
            </w:r>
          </w:p>
        </w:tc>
        <w:tc>
          <w:tcPr>
            <w:tcW w:w="708" w:type="dxa"/>
            <w:tcBorders>
              <w:top w:val="nil"/>
              <w:left w:val="nil"/>
              <w:bottom w:val="single" w:sz="4" w:space="0" w:color="auto"/>
              <w:right w:val="single" w:sz="4" w:space="0" w:color="auto"/>
            </w:tcBorders>
            <w:shd w:val="clear" w:color="auto" w:fill="auto"/>
            <w:noWrap/>
            <w:vAlign w:val="bottom"/>
            <w:hideMark/>
          </w:tcPr>
          <w:p w14:paraId="3BB2A988"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46%</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501E8CEA"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10 646 486,61</w:t>
            </w:r>
          </w:p>
        </w:tc>
      </w:tr>
      <w:tr w:rsidR="001A24C3" w:rsidRPr="00452956" w14:paraId="0600B79B"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0139298D"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Elektrifikácia – trakčné napájacie stanice, trakčné vedenia</w:t>
            </w:r>
          </w:p>
        </w:tc>
        <w:tc>
          <w:tcPr>
            <w:tcW w:w="885" w:type="dxa"/>
            <w:tcBorders>
              <w:top w:val="nil"/>
              <w:left w:val="nil"/>
              <w:bottom w:val="single" w:sz="4" w:space="0" w:color="auto"/>
              <w:right w:val="single" w:sz="4" w:space="0" w:color="auto"/>
            </w:tcBorders>
            <w:shd w:val="clear" w:color="auto" w:fill="auto"/>
            <w:noWrap/>
            <w:vAlign w:val="bottom"/>
            <w:hideMark/>
          </w:tcPr>
          <w:p w14:paraId="08FBC085"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850" w:type="dxa"/>
            <w:tcBorders>
              <w:top w:val="nil"/>
              <w:left w:val="nil"/>
              <w:bottom w:val="single" w:sz="4" w:space="0" w:color="auto"/>
              <w:right w:val="single" w:sz="4" w:space="0" w:color="auto"/>
            </w:tcBorders>
            <w:shd w:val="clear" w:color="auto" w:fill="auto"/>
            <w:vAlign w:val="center"/>
            <w:hideMark/>
          </w:tcPr>
          <w:p w14:paraId="3D156DEF"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7A2730F7"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4C8E72A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708" w:type="dxa"/>
            <w:tcBorders>
              <w:top w:val="nil"/>
              <w:left w:val="nil"/>
              <w:bottom w:val="single" w:sz="4" w:space="0" w:color="auto"/>
              <w:right w:val="single" w:sz="4" w:space="0" w:color="auto"/>
            </w:tcBorders>
            <w:shd w:val="clear" w:color="auto" w:fill="auto"/>
            <w:noWrap/>
            <w:vAlign w:val="bottom"/>
            <w:hideMark/>
          </w:tcPr>
          <w:p w14:paraId="0FD18BD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10%</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74EEBE20"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2 323 770,65</w:t>
            </w:r>
          </w:p>
        </w:tc>
      </w:tr>
      <w:tr w:rsidR="001A24C3" w:rsidRPr="00452956" w14:paraId="005B3171"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64907106"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Oznamovacie a telekomunikačné zariadenia</w:t>
            </w:r>
          </w:p>
        </w:tc>
        <w:tc>
          <w:tcPr>
            <w:tcW w:w="885" w:type="dxa"/>
            <w:tcBorders>
              <w:top w:val="nil"/>
              <w:left w:val="nil"/>
              <w:bottom w:val="single" w:sz="4" w:space="0" w:color="auto"/>
              <w:right w:val="single" w:sz="4" w:space="0" w:color="auto"/>
            </w:tcBorders>
            <w:shd w:val="clear" w:color="auto" w:fill="auto"/>
            <w:noWrap/>
            <w:vAlign w:val="bottom"/>
            <w:hideMark/>
          </w:tcPr>
          <w:p w14:paraId="144CEA78"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20</w:t>
            </w:r>
          </w:p>
        </w:tc>
        <w:tc>
          <w:tcPr>
            <w:tcW w:w="850" w:type="dxa"/>
            <w:tcBorders>
              <w:top w:val="nil"/>
              <w:left w:val="nil"/>
              <w:bottom w:val="single" w:sz="4" w:space="0" w:color="auto"/>
              <w:right w:val="single" w:sz="4" w:space="0" w:color="auto"/>
            </w:tcBorders>
            <w:shd w:val="clear" w:color="auto" w:fill="auto"/>
            <w:vAlign w:val="center"/>
            <w:hideMark/>
          </w:tcPr>
          <w:p w14:paraId="65CBB7A9"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5351C5D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w:t>
            </w:r>
          </w:p>
        </w:tc>
        <w:tc>
          <w:tcPr>
            <w:tcW w:w="709" w:type="dxa"/>
            <w:tcBorders>
              <w:top w:val="nil"/>
              <w:left w:val="nil"/>
              <w:bottom w:val="single" w:sz="4" w:space="0" w:color="auto"/>
              <w:right w:val="single" w:sz="4" w:space="0" w:color="auto"/>
            </w:tcBorders>
            <w:shd w:val="clear" w:color="auto" w:fill="auto"/>
            <w:noWrap/>
            <w:vAlign w:val="bottom"/>
            <w:hideMark/>
          </w:tcPr>
          <w:p w14:paraId="031F446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40</w:t>
            </w:r>
          </w:p>
        </w:tc>
        <w:tc>
          <w:tcPr>
            <w:tcW w:w="708" w:type="dxa"/>
            <w:tcBorders>
              <w:top w:val="nil"/>
              <w:left w:val="nil"/>
              <w:bottom w:val="single" w:sz="4" w:space="0" w:color="auto"/>
              <w:right w:val="single" w:sz="4" w:space="0" w:color="auto"/>
            </w:tcBorders>
            <w:shd w:val="clear" w:color="auto" w:fill="auto"/>
            <w:noWrap/>
            <w:vAlign w:val="bottom"/>
            <w:hideMark/>
          </w:tcPr>
          <w:p w14:paraId="618F52CB"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65%</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526824DE"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728 322,39</w:t>
            </w:r>
          </w:p>
        </w:tc>
      </w:tr>
      <w:tr w:rsidR="001A24C3" w:rsidRPr="00452956" w14:paraId="421479C7"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458478E4"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Signalizačné a zabezpečovacie zariadenia</w:t>
            </w:r>
          </w:p>
        </w:tc>
        <w:tc>
          <w:tcPr>
            <w:tcW w:w="885" w:type="dxa"/>
            <w:tcBorders>
              <w:top w:val="nil"/>
              <w:left w:val="nil"/>
              <w:bottom w:val="single" w:sz="4" w:space="0" w:color="auto"/>
              <w:right w:val="single" w:sz="4" w:space="0" w:color="auto"/>
            </w:tcBorders>
            <w:shd w:val="clear" w:color="auto" w:fill="auto"/>
            <w:noWrap/>
            <w:vAlign w:val="bottom"/>
            <w:hideMark/>
          </w:tcPr>
          <w:p w14:paraId="061EAF8E"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20</w:t>
            </w:r>
          </w:p>
        </w:tc>
        <w:tc>
          <w:tcPr>
            <w:tcW w:w="850" w:type="dxa"/>
            <w:tcBorders>
              <w:top w:val="nil"/>
              <w:left w:val="nil"/>
              <w:bottom w:val="single" w:sz="4" w:space="0" w:color="auto"/>
              <w:right w:val="single" w:sz="4" w:space="0" w:color="auto"/>
            </w:tcBorders>
            <w:shd w:val="clear" w:color="auto" w:fill="auto"/>
            <w:vAlign w:val="center"/>
            <w:hideMark/>
          </w:tcPr>
          <w:p w14:paraId="62418B96"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0794F1C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w:t>
            </w:r>
          </w:p>
        </w:tc>
        <w:tc>
          <w:tcPr>
            <w:tcW w:w="709" w:type="dxa"/>
            <w:tcBorders>
              <w:top w:val="nil"/>
              <w:left w:val="nil"/>
              <w:bottom w:val="single" w:sz="4" w:space="0" w:color="auto"/>
              <w:right w:val="single" w:sz="4" w:space="0" w:color="auto"/>
            </w:tcBorders>
            <w:shd w:val="clear" w:color="auto" w:fill="auto"/>
            <w:noWrap/>
            <w:vAlign w:val="bottom"/>
            <w:hideMark/>
          </w:tcPr>
          <w:p w14:paraId="780B410B"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40</w:t>
            </w:r>
          </w:p>
        </w:tc>
        <w:tc>
          <w:tcPr>
            <w:tcW w:w="708" w:type="dxa"/>
            <w:tcBorders>
              <w:top w:val="nil"/>
              <w:left w:val="nil"/>
              <w:bottom w:val="single" w:sz="4" w:space="0" w:color="auto"/>
              <w:right w:val="single" w:sz="4" w:space="0" w:color="auto"/>
            </w:tcBorders>
            <w:shd w:val="clear" w:color="auto" w:fill="auto"/>
            <w:noWrap/>
            <w:vAlign w:val="bottom"/>
            <w:hideMark/>
          </w:tcPr>
          <w:p w14:paraId="62CB2B38"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65%</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2745F6A9"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470 160,58</w:t>
            </w:r>
          </w:p>
        </w:tc>
      </w:tr>
      <w:tr w:rsidR="001A24C3" w:rsidRPr="00452956" w14:paraId="40063828"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26908C9B"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Zariadenia energetiky a elektrotechniky</w:t>
            </w:r>
          </w:p>
        </w:tc>
        <w:tc>
          <w:tcPr>
            <w:tcW w:w="885" w:type="dxa"/>
            <w:tcBorders>
              <w:top w:val="nil"/>
              <w:left w:val="nil"/>
              <w:bottom w:val="single" w:sz="4" w:space="0" w:color="auto"/>
              <w:right w:val="single" w:sz="4" w:space="0" w:color="auto"/>
            </w:tcBorders>
            <w:shd w:val="clear" w:color="auto" w:fill="auto"/>
            <w:noWrap/>
            <w:vAlign w:val="bottom"/>
            <w:hideMark/>
          </w:tcPr>
          <w:p w14:paraId="126ECA76"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850" w:type="dxa"/>
            <w:tcBorders>
              <w:top w:val="nil"/>
              <w:left w:val="nil"/>
              <w:bottom w:val="single" w:sz="4" w:space="0" w:color="auto"/>
              <w:right w:val="single" w:sz="4" w:space="0" w:color="auto"/>
            </w:tcBorders>
            <w:shd w:val="clear" w:color="auto" w:fill="auto"/>
            <w:vAlign w:val="center"/>
            <w:hideMark/>
          </w:tcPr>
          <w:p w14:paraId="3F59D487"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743B19B4"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1A56065A"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708" w:type="dxa"/>
            <w:tcBorders>
              <w:top w:val="nil"/>
              <w:left w:val="nil"/>
              <w:bottom w:val="single" w:sz="4" w:space="0" w:color="auto"/>
              <w:right w:val="single" w:sz="4" w:space="0" w:color="auto"/>
            </w:tcBorders>
            <w:shd w:val="clear" w:color="auto" w:fill="auto"/>
            <w:noWrap/>
            <w:vAlign w:val="bottom"/>
            <w:hideMark/>
          </w:tcPr>
          <w:p w14:paraId="713E7D30"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10%</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05559A1F"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22527336" w14:textId="77777777" w:rsidTr="00300963">
        <w:trPr>
          <w:trHeight w:val="204"/>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49A52668"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xml:space="preserve">Stroje a zariadenia </w:t>
            </w:r>
          </w:p>
        </w:tc>
        <w:tc>
          <w:tcPr>
            <w:tcW w:w="885" w:type="dxa"/>
            <w:tcBorders>
              <w:top w:val="nil"/>
              <w:left w:val="nil"/>
              <w:bottom w:val="single" w:sz="4" w:space="0" w:color="auto"/>
              <w:right w:val="single" w:sz="4" w:space="0" w:color="auto"/>
            </w:tcBorders>
            <w:shd w:val="clear" w:color="auto" w:fill="auto"/>
            <w:noWrap/>
            <w:vAlign w:val="bottom"/>
            <w:hideMark/>
          </w:tcPr>
          <w:p w14:paraId="5FBF2F6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850" w:type="dxa"/>
            <w:tcBorders>
              <w:top w:val="nil"/>
              <w:left w:val="nil"/>
              <w:bottom w:val="single" w:sz="4" w:space="0" w:color="auto"/>
              <w:right w:val="single" w:sz="4" w:space="0" w:color="auto"/>
            </w:tcBorders>
            <w:shd w:val="clear" w:color="auto" w:fill="auto"/>
            <w:vAlign w:val="center"/>
            <w:hideMark/>
          </w:tcPr>
          <w:p w14:paraId="4489A701"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6FD8BA7C"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6877212E"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708" w:type="dxa"/>
            <w:tcBorders>
              <w:top w:val="nil"/>
              <w:left w:val="nil"/>
              <w:bottom w:val="single" w:sz="4" w:space="0" w:color="auto"/>
              <w:right w:val="single" w:sz="4" w:space="0" w:color="auto"/>
            </w:tcBorders>
            <w:shd w:val="clear" w:color="auto" w:fill="auto"/>
            <w:noWrap/>
            <w:vAlign w:val="bottom"/>
            <w:hideMark/>
          </w:tcPr>
          <w:p w14:paraId="3D40BE8C"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10%</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77DADCB8"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0,00</w:t>
            </w:r>
          </w:p>
        </w:tc>
      </w:tr>
      <w:tr w:rsidR="001A24C3" w:rsidRPr="00452956" w14:paraId="0004A3EB" w14:textId="77777777" w:rsidTr="00300963">
        <w:trPr>
          <w:trHeight w:val="216"/>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501A958A"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Protihlukové a iné prvky ochrany životného prostredia</w:t>
            </w:r>
          </w:p>
        </w:tc>
        <w:tc>
          <w:tcPr>
            <w:tcW w:w="885" w:type="dxa"/>
            <w:tcBorders>
              <w:top w:val="nil"/>
              <w:left w:val="nil"/>
              <w:bottom w:val="single" w:sz="4" w:space="0" w:color="auto"/>
              <w:right w:val="single" w:sz="4" w:space="0" w:color="auto"/>
            </w:tcBorders>
            <w:shd w:val="clear" w:color="auto" w:fill="auto"/>
            <w:noWrap/>
            <w:vAlign w:val="bottom"/>
            <w:hideMark/>
          </w:tcPr>
          <w:p w14:paraId="26E7AE72"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850" w:type="dxa"/>
            <w:tcBorders>
              <w:top w:val="nil"/>
              <w:left w:val="nil"/>
              <w:bottom w:val="single" w:sz="4" w:space="0" w:color="auto"/>
              <w:right w:val="single" w:sz="4" w:space="0" w:color="auto"/>
            </w:tcBorders>
            <w:shd w:val="clear" w:color="auto" w:fill="auto"/>
            <w:vAlign w:val="center"/>
            <w:hideMark/>
          </w:tcPr>
          <w:p w14:paraId="211C00B1"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27</w:t>
            </w:r>
          </w:p>
        </w:tc>
        <w:tc>
          <w:tcPr>
            <w:tcW w:w="851" w:type="dxa"/>
            <w:tcBorders>
              <w:top w:val="nil"/>
              <w:left w:val="nil"/>
              <w:bottom w:val="single" w:sz="4" w:space="0" w:color="auto"/>
              <w:right w:val="single" w:sz="4" w:space="0" w:color="auto"/>
            </w:tcBorders>
            <w:shd w:val="clear" w:color="auto" w:fill="auto"/>
            <w:vAlign w:val="bottom"/>
            <w:hideMark/>
          </w:tcPr>
          <w:p w14:paraId="4A533F65"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0</w:t>
            </w:r>
          </w:p>
        </w:tc>
        <w:tc>
          <w:tcPr>
            <w:tcW w:w="709" w:type="dxa"/>
            <w:tcBorders>
              <w:top w:val="nil"/>
              <w:left w:val="nil"/>
              <w:bottom w:val="single" w:sz="4" w:space="0" w:color="auto"/>
              <w:right w:val="single" w:sz="4" w:space="0" w:color="auto"/>
            </w:tcBorders>
            <w:shd w:val="clear" w:color="auto" w:fill="auto"/>
            <w:noWrap/>
            <w:vAlign w:val="bottom"/>
            <w:hideMark/>
          </w:tcPr>
          <w:p w14:paraId="76B3EF43"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30</w:t>
            </w:r>
          </w:p>
        </w:tc>
        <w:tc>
          <w:tcPr>
            <w:tcW w:w="708" w:type="dxa"/>
            <w:tcBorders>
              <w:top w:val="nil"/>
              <w:left w:val="nil"/>
              <w:bottom w:val="single" w:sz="4" w:space="0" w:color="auto"/>
              <w:right w:val="single" w:sz="4" w:space="0" w:color="auto"/>
            </w:tcBorders>
            <w:shd w:val="clear" w:color="auto" w:fill="auto"/>
            <w:noWrap/>
            <w:vAlign w:val="bottom"/>
            <w:hideMark/>
          </w:tcPr>
          <w:p w14:paraId="6FEEDAEB" w14:textId="77777777" w:rsidR="001A24C3" w:rsidRPr="00452956" w:rsidRDefault="001A24C3" w:rsidP="00300963">
            <w:pPr>
              <w:jc w:val="center"/>
              <w:rPr>
                <w:rFonts w:ascii="Arial" w:eastAsia="Times New Roman" w:hAnsi="Arial" w:cs="Arial"/>
                <w:sz w:val="12"/>
                <w:szCs w:val="12"/>
                <w:lang w:eastAsia="sk-SK"/>
              </w:rPr>
            </w:pPr>
            <w:r w:rsidRPr="00452956">
              <w:rPr>
                <w:rFonts w:ascii="Arial" w:eastAsia="Times New Roman" w:hAnsi="Arial" w:cs="Arial"/>
                <w:sz w:val="12"/>
                <w:szCs w:val="12"/>
                <w:lang w:eastAsia="sk-SK"/>
              </w:rPr>
              <w:t>10%</w:t>
            </w:r>
          </w:p>
        </w:tc>
        <w:tc>
          <w:tcPr>
            <w:tcW w:w="1124" w:type="dxa"/>
            <w:tcBorders>
              <w:top w:val="nil"/>
              <w:left w:val="single" w:sz="4" w:space="0" w:color="auto"/>
              <w:bottom w:val="single" w:sz="4" w:space="0" w:color="auto"/>
              <w:right w:val="single" w:sz="8" w:space="0" w:color="auto"/>
            </w:tcBorders>
            <w:shd w:val="clear" w:color="000000" w:fill="FFFF66"/>
            <w:noWrap/>
            <w:vAlign w:val="bottom"/>
            <w:hideMark/>
          </w:tcPr>
          <w:p w14:paraId="395153B2" w14:textId="77777777" w:rsidR="001A24C3" w:rsidRPr="00452956" w:rsidRDefault="001A24C3" w:rsidP="00300963">
            <w:pPr>
              <w:jc w:val="right"/>
              <w:rPr>
                <w:rFonts w:ascii="Arial" w:eastAsia="Times New Roman" w:hAnsi="Arial" w:cs="Arial"/>
                <w:sz w:val="12"/>
                <w:szCs w:val="12"/>
                <w:lang w:eastAsia="sk-SK"/>
              </w:rPr>
            </w:pPr>
            <w:r w:rsidRPr="00452956">
              <w:rPr>
                <w:rFonts w:ascii="Arial" w:eastAsia="Times New Roman" w:hAnsi="Arial" w:cs="Arial"/>
                <w:sz w:val="12"/>
                <w:szCs w:val="12"/>
                <w:lang w:eastAsia="sk-SK"/>
              </w:rPr>
              <w:t>525 737,95</w:t>
            </w:r>
          </w:p>
        </w:tc>
      </w:tr>
      <w:tr w:rsidR="001A24C3" w:rsidRPr="00452956" w14:paraId="77B2EDDC" w14:textId="77777777" w:rsidTr="00300963">
        <w:trPr>
          <w:trHeight w:val="216"/>
        </w:trPr>
        <w:tc>
          <w:tcPr>
            <w:tcW w:w="3935" w:type="dxa"/>
            <w:tcBorders>
              <w:top w:val="nil"/>
              <w:left w:val="single" w:sz="4" w:space="0" w:color="auto"/>
              <w:bottom w:val="single" w:sz="4" w:space="0" w:color="auto"/>
              <w:right w:val="single" w:sz="4" w:space="0" w:color="auto"/>
            </w:tcBorders>
            <w:shd w:val="clear" w:color="auto" w:fill="auto"/>
            <w:noWrap/>
            <w:vAlign w:val="bottom"/>
            <w:hideMark/>
          </w:tcPr>
          <w:p w14:paraId="4D111017" w14:textId="77777777" w:rsidR="001A24C3" w:rsidRPr="00452956" w:rsidRDefault="001A24C3" w:rsidP="00300963">
            <w:pPr>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Zostatková hodnota</w:t>
            </w:r>
          </w:p>
        </w:tc>
        <w:tc>
          <w:tcPr>
            <w:tcW w:w="885" w:type="dxa"/>
            <w:tcBorders>
              <w:top w:val="nil"/>
              <w:left w:val="nil"/>
              <w:bottom w:val="single" w:sz="4" w:space="0" w:color="auto"/>
              <w:right w:val="single" w:sz="4" w:space="0" w:color="auto"/>
            </w:tcBorders>
            <w:shd w:val="clear" w:color="auto" w:fill="auto"/>
            <w:noWrap/>
            <w:vAlign w:val="bottom"/>
            <w:hideMark/>
          </w:tcPr>
          <w:p w14:paraId="22A31228"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w:t>
            </w:r>
          </w:p>
        </w:tc>
        <w:tc>
          <w:tcPr>
            <w:tcW w:w="850" w:type="dxa"/>
            <w:tcBorders>
              <w:top w:val="nil"/>
              <w:left w:val="nil"/>
              <w:bottom w:val="single" w:sz="4" w:space="0" w:color="auto"/>
              <w:right w:val="single" w:sz="4" w:space="0" w:color="auto"/>
            </w:tcBorders>
            <w:shd w:val="clear" w:color="auto" w:fill="auto"/>
            <w:noWrap/>
            <w:vAlign w:val="bottom"/>
            <w:hideMark/>
          </w:tcPr>
          <w:p w14:paraId="64FC5B06"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w:t>
            </w:r>
          </w:p>
        </w:tc>
        <w:tc>
          <w:tcPr>
            <w:tcW w:w="851" w:type="dxa"/>
            <w:tcBorders>
              <w:top w:val="nil"/>
              <w:left w:val="nil"/>
              <w:bottom w:val="single" w:sz="4" w:space="0" w:color="auto"/>
              <w:right w:val="single" w:sz="4" w:space="0" w:color="auto"/>
            </w:tcBorders>
            <w:shd w:val="clear" w:color="auto" w:fill="auto"/>
            <w:noWrap/>
            <w:vAlign w:val="bottom"/>
            <w:hideMark/>
          </w:tcPr>
          <w:p w14:paraId="403CF4DC"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w:t>
            </w:r>
          </w:p>
        </w:tc>
        <w:tc>
          <w:tcPr>
            <w:tcW w:w="709" w:type="dxa"/>
            <w:tcBorders>
              <w:top w:val="nil"/>
              <w:left w:val="nil"/>
              <w:bottom w:val="single" w:sz="4" w:space="0" w:color="auto"/>
              <w:right w:val="single" w:sz="4" w:space="0" w:color="auto"/>
            </w:tcBorders>
            <w:shd w:val="clear" w:color="auto" w:fill="auto"/>
            <w:noWrap/>
            <w:vAlign w:val="bottom"/>
            <w:hideMark/>
          </w:tcPr>
          <w:p w14:paraId="7D8A632D"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w:t>
            </w:r>
          </w:p>
        </w:tc>
        <w:tc>
          <w:tcPr>
            <w:tcW w:w="708" w:type="dxa"/>
            <w:tcBorders>
              <w:top w:val="nil"/>
              <w:left w:val="nil"/>
              <w:bottom w:val="single" w:sz="4" w:space="0" w:color="auto"/>
              <w:right w:val="single" w:sz="4" w:space="0" w:color="auto"/>
            </w:tcBorders>
            <w:shd w:val="clear" w:color="auto" w:fill="auto"/>
            <w:noWrap/>
            <w:vAlign w:val="bottom"/>
            <w:hideMark/>
          </w:tcPr>
          <w:p w14:paraId="410BAB96" w14:textId="77777777" w:rsidR="001A24C3" w:rsidRPr="00452956" w:rsidRDefault="001A24C3" w:rsidP="00300963">
            <w:pPr>
              <w:rPr>
                <w:rFonts w:ascii="Arial" w:eastAsia="Times New Roman" w:hAnsi="Arial" w:cs="Arial"/>
                <w:sz w:val="12"/>
                <w:szCs w:val="12"/>
                <w:lang w:eastAsia="sk-SK"/>
              </w:rPr>
            </w:pPr>
            <w:r w:rsidRPr="00452956">
              <w:rPr>
                <w:rFonts w:ascii="Arial" w:eastAsia="Times New Roman" w:hAnsi="Arial" w:cs="Arial"/>
                <w:sz w:val="12"/>
                <w:szCs w:val="12"/>
                <w:lang w:eastAsia="sk-SK"/>
              </w:rPr>
              <w:t> </w:t>
            </w:r>
          </w:p>
        </w:tc>
        <w:tc>
          <w:tcPr>
            <w:tcW w:w="1124" w:type="dxa"/>
            <w:tcBorders>
              <w:top w:val="single" w:sz="8" w:space="0" w:color="auto"/>
              <w:left w:val="single" w:sz="4" w:space="0" w:color="auto"/>
              <w:bottom w:val="single" w:sz="8" w:space="0" w:color="auto"/>
              <w:right w:val="single" w:sz="8" w:space="0" w:color="auto"/>
            </w:tcBorders>
            <w:shd w:val="clear" w:color="000000" w:fill="FFFF66"/>
            <w:noWrap/>
            <w:vAlign w:val="bottom"/>
            <w:hideMark/>
          </w:tcPr>
          <w:p w14:paraId="77C2653E" w14:textId="77777777" w:rsidR="001A24C3" w:rsidRPr="00452956" w:rsidRDefault="001A24C3" w:rsidP="00300963">
            <w:pPr>
              <w:jc w:val="right"/>
              <w:rPr>
                <w:rFonts w:ascii="Arial" w:eastAsia="Times New Roman" w:hAnsi="Arial" w:cs="Arial"/>
                <w:b/>
                <w:bCs/>
                <w:sz w:val="12"/>
                <w:szCs w:val="12"/>
                <w:lang w:eastAsia="sk-SK"/>
              </w:rPr>
            </w:pPr>
            <w:r w:rsidRPr="00452956">
              <w:rPr>
                <w:rFonts w:ascii="Arial" w:eastAsia="Times New Roman" w:hAnsi="Arial" w:cs="Arial"/>
                <w:b/>
                <w:bCs/>
                <w:sz w:val="12"/>
                <w:szCs w:val="12"/>
                <w:lang w:eastAsia="sk-SK"/>
              </w:rPr>
              <w:t>45 770 144,05</w:t>
            </w:r>
          </w:p>
        </w:tc>
      </w:tr>
    </w:tbl>
    <w:p w14:paraId="265C1852" w14:textId="77777777" w:rsidR="001A24C3" w:rsidRDefault="001A24C3" w:rsidP="001A24C3"/>
    <w:p w14:paraId="361DBDF5" w14:textId="77777777" w:rsidR="001A24C3" w:rsidRPr="00FC4139" w:rsidRDefault="001A24C3" w:rsidP="00FC4139">
      <w:pPr>
        <w:pStyle w:val="Nadpis41"/>
        <w:ind w:left="851" w:hanging="851"/>
        <w:rPr>
          <w:color w:val="auto"/>
          <w:sz w:val="24"/>
          <w:szCs w:val="24"/>
        </w:rPr>
      </w:pPr>
      <w:bookmarkStart w:id="406" w:name="_Toc88653041"/>
      <w:r w:rsidRPr="00FC4139">
        <w:rPr>
          <w:color w:val="auto"/>
          <w:sz w:val="24"/>
          <w:szCs w:val="24"/>
        </w:rPr>
        <w:t>Výstupy ekonomickej analýzy</w:t>
      </w:r>
      <w:bookmarkEnd w:id="406"/>
    </w:p>
    <w:p w14:paraId="2E0D3460" w14:textId="77777777" w:rsidR="001A24C3" w:rsidRPr="00FC4139" w:rsidRDefault="001A24C3" w:rsidP="001A24C3">
      <w:pPr>
        <w:pStyle w:val="Koice4"/>
        <w:ind w:left="0"/>
        <w:rPr>
          <w:rFonts w:asciiTheme="minorHAnsi" w:eastAsiaTheme="majorEastAsia" w:hAnsiTheme="minorHAnsi" w:cstheme="majorBidi"/>
          <w:i/>
          <w:iCs/>
          <w:color w:val="0070C0"/>
        </w:rPr>
      </w:pPr>
      <w:bookmarkStart w:id="407" w:name="_Toc88653042"/>
      <w:r w:rsidRPr="00FC4139">
        <w:rPr>
          <w:rFonts w:asciiTheme="minorHAnsi" w:eastAsiaTheme="majorEastAsia" w:hAnsiTheme="minorHAnsi" w:cstheme="majorBidi"/>
          <w:i/>
          <w:iCs/>
          <w:color w:val="0070C0"/>
        </w:rPr>
        <w:t>Vnútorné výnosové percento</w:t>
      </w:r>
      <w:bookmarkEnd w:id="407"/>
    </w:p>
    <w:p w14:paraId="4B9F0E95" w14:textId="77777777" w:rsidR="001A24C3" w:rsidRDefault="001A24C3" w:rsidP="001A24C3">
      <w:pPr>
        <w:pStyle w:val="TEXTkOICE"/>
        <w:ind w:left="0"/>
      </w:pPr>
      <w:bookmarkStart w:id="408" w:name="_Toc83677963"/>
      <w:r>
        <w:t>Na začiatku kapitoly o CBA sm</w:t>
      </w:r>
      <w:r w:rsidRPr="000E1FFA">
        <w:t>e spomínali, že finančná analýza sa vykonáva v stálych cenách bez zarátania inflácie</w:t>
      </w:r>
      <w:r>
        <w:t xml:space="preserve"> a prípadne zvyšovanie nákladov alebo príjmov (počas referenčného obdobia) je spôsobené nárastom výkonov z hľadiska objemu prác a nie dopytom ťahanou infláciou</w:t>
      </w:r>
      <w:r w:rsidRPr="000E1FFA">
        <w:t xml:space="preserve">. </w:t>
      </w:r>
    </w:p>
    <w:p w14:paraId="2FFF3D73" w14:textId="77777777" w:rsidR="001A24C3" w:rsidRDefault="001A24C3" w:rsidP="001A24C3">
      <w:pPr>
        <w:pStyle w:val="TEXTkOICE"/>
        <w:ind w:left="0"/>
      </w:pPr>
    </w:p>
    <w:p w14:paraId="6DE53E04" w14:textId="77777777" w:rsidR="001A24C3" w:rsidRDefault="001A24C3" w:rsidP="001A24C3">
      <w:pPr>
        <w:pStyle w:val="TEXTkOICE"/>
        <w:ind w:left="0"/>
      </w:pPr>
      <w:r w:rsidRPr="000E1FFA">
        <w:t xml:space="preserve">Napriek tomu je potrebné posúdiť výnosnosť alternatívnej investície, do ktorej by sme mohli prostriedky na realizáciu projektu investovať, ak by sme ich neinvestovali do projektu. </w:t>
      </w:r>
    </w:p>
    <w:p w14:paraId="0E89061C" w14:textId="77777777" w:rsidR="001A24C3" w:rsidRDefault="001A24C3" w:rsidP="001A24C3">
      <w:pPr>
        <w:pStyle w:val="TEXTkOICE"/>
        <w:ind w:left="0"/>
      </w:pPr>
    </w:p>
    <w:p w14:paraId="39BC0DF4" w14:textId="77777777" w:rsidR="001A24C3" w:rsidRDefault="001A24C3" w:rsidP="001A24C3">
      <w:pPr>
        <w:pStyle w:val="TEXTkOICE"/>
        <w:ind w:left="0"/>
      </w:pPr>
      <w:r w:rsidRPr="000E1FFA">
        <w:t>Na tento účel</w:t>
      </w:r>
      <w:r>
        <w:t>,</w:t>
      </w:r>
      <w:r w:rsidRPr="000E1FFA">
        <w:t xml:space="preserve"> resp. vyjadrenie hodnoty alternatívneho výnosu, ktorý je zároveň aj nákladom obetovaných príležitostí, je</w:t>
      </w:r>
      <w:r>
        <w:t xml:space="preserve"> využívaná</w:t>
      </w:r>
      <w:r w:rsidRPr="000E1FFA">
        <w:t xml:space="preserve"> diskontná sadzba.</w:t>
      </w:r>
    </w:p>
    <w:p w14:paraId="7E7022CD" w14:textId="77777777" w:rsidR="001A24C3" w:rsidRDefault="001A24C3" w:rsidP="001A24C3">
      <w:pPr>
        <w:pStyle w:val="TEXTkOICE"/>
        <w:ind w:left="0"/>
      </w:pPr>
    </w:p>
    <w:p w14:paraId="655D7E81" w14:textId="102E3AB7" w:rsidR="001A24C3" w:rsidRDefault="001A24C3" w:rsidP="001A24C3">
      <w:pPr>
        <w:pStyle w:val="TEXTkOICE"/>
        <w:ind w:left="0"/>
      </w:pPr>
      <w:r w:rsidRPr="000E1FFA">
        <w:t xml:space="preserve">V prípade, že chceme projekt považovať za vhodný, musí pri zohľadnení časovej hodnoty peňazí projekt vygenerovať väčšie výnosové </w:t>
      </w:r>
      <w:r>
        <w:t>percento</w:t>
      </w:r>
      <w:r w:rsidRPr="000E1FFA">
        <w:t xml:space="preserve"> ako je diskontná sadzba</w:t>
      </w:r>
      <w:r>
        <w:t>, ktorá je stanovená na hodnotu 5 %.</w:t>
      </w:r>
    </w:p>
    <w:p w14:paraId="4ECB130C" w14:textId="4A208F2E" w:rsidR="001A24C3" w:rsidRDefault="001A24C3" w:rsidP="00FC4139">
      <w:pPr>
        <w:pStyle w:val="Popis"/>
        <w:keepNext/>
        <w:jc w:val="both"/>
      </w:pPr>
      <w:r>
        <w:t xml:space="preserve">Tabuľka </w:t>
      </w:r>
      <w:r w:rsidR="00091EB3">
        <w:rPr>
          <w:noProof/>
        </w:rPr>
        <w:t>92</w:t>
      </w:r>
      <w:r>
        <w:tab/>
        <w:t>Výstup z ekonomickej analýzy (ERR)</w:t>
      </w:r>
      <w:bookmarkEnd w:id="408"/>
    </w:p>
    <w:tbl>
      <w:tblPr>
        <w:tblW w:w="6600" w:type="dxa"/>
        <w:tblCellMar>
          <w:left w:w="70" w:type="dxa"/>
          <w:right w:w="70" w:type="dxa"/>
        </w:tblCellMar>
        <w:tblLook w:val="04A0" w:firstRow="1" w:lastRow="0" w:firstColumn="1" w:lastColumn="0" w:noHBand="0" w:noVBand="1"/>
      </w:tblPr>
      <w:tblGrid>
        <w:gridCol w:w="5060"/>
        <w:gridCol w:w="1540"/>
      </w:tblGrid>
      <w:tr w:rsidR="001A24C3" w:rsidRPr="00885FFC" w14:paraId="4767853C" w14:textId="77777777" w:rsidTr="00300963">
        <w:trPr>
          <w:trHeight w:val="204"/>
        </w:trPr>
        <w:tc>
          <w:tcPr>
            <w:tcW w:w="5060" w:type="dxa"/>
            <w:tcBorders>
              <w:top w:val="single" w:sz="4" w:space="0" w:color="auto"/>
              <w:left w:val="single" w:sz="4" w:space="0" w:color="auto"/>
              <w:bottom w:val="single" w:sz="4" w:space="0" w:color="auto"/>
              <w:right w:val="nil"/>
            </w:tcBorders>
            <w:shd w:val="clear" w:color="auto" w:fill="auto"/>
            <w:noWrap/>
            <w:vAlign w:val="bottom"/>
            <w:hideMark/>
          </w:tcPr>
          <w:p w14:paraId="5FA69AAF"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Ekonomická vnútorná miera návratnosti (EIRR)</w:t>
            </w:r>
          </w:p>
        </w:tc>
        <w:tc>
          <w:tcPr>
            <w:tcW w:w="154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158917EC"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6,93%</w:t>
            </w:r>
          </w:p>
        </w:tc>
      </w:tr>
    </w:tbl>
    <w:p w14:paraId="696F3A18" w14:textId="77777777" w:rsidR="001A24C3" w:rsidRDefault="001A24C3" w:rsidP="001A24C3">
      <w:pPr>
        <w:pStyle w:val="TEXTkOICE"/>
        <w:ind w:left="0"/>
      </w:pPr>
    </w:p>
    <w:p w14:paraId="6B1488C0" w14:textId="77777777" w:rsidR="001A24C3" w:rsidRPr="00FC4139" w:rsidRDefault="001A24C3" w:rsidP="001A24C3">
      <w:pPr>
        <w:pStyle w:val="Koice4"/>
        <w:ind w:left="0"/>
        <w:rPr>
          <w:rFonts w:asciiTheme="minorHAnsi" w:eastAsiaTheme="majorEastAsia" w:hAnsiTheme="minorHAnsi" w:cstheme="majorBidi"/>
          <w:i/>
          <w:iCs/>
          <w:color w:val="0070C0"/>
        </w:rPr>
      </w:pPr>
      <w:bookmarkStart w:id="409" w:name="_Toc88653043"/>
      <w:r w:rsidRPr="00FC4139">
        <w:rPr>
          <w:rFonts w:asciiTheme="minorHAnsi" w:eastAsiaTheme="majorEastAsia" w:hAnsiTheme="minorHAnsi" w:cstheme="majorBidi"/>
          <w:i/>
          <w:iCs/>
          <w:color w:val="0070C0"/>
        </w:rPr>
        <w:t>Čistá súčasná hodnota</w:t>
      </w:r>
      <w:bookmarkEnd w:id="409"/>
    </w:p>
    <w:p w14:paraId="0DCF2C62" w14:textId="77777777" w:rsidR="001A24C3" w:rsidRDefault="001A24C3" w:rsidP="001A24C3">
      <w:pPr>
        <w:pStyle w:val="TEXTkOICE"/>
        <w:spacing w:after="240"/>
        <w:ind w:left="0"/>
      </w:pPr>
      <w:r w:rsidRPr="00B33106">
        <w:t>Čistá súčasná hodnota je iným vyjadrením výsledku finančnej analýzy. Kým vnútorné výnosové % vyjadruje vhodnosť projektu v %, čistá súčasná hodnota ho vyjadruje v EUR. Platí súvzťažnosť, že ak je ERR = diskontnej sadzbe, tak čistá súčasná hodnota ENPV je rovná 0. Ak je vnútorné výnosové % menšie ako diskontná sadzba, tak aj čistá súčasná hodnota je záporná a ak je vnútorné výnosové % väčšie ako diskontná sadzba, tak čistá súčasná hodnota je kladná.</w:t>
      </w:r>
    </w:p>
    <w:p w14:paraId="5FE65E2D" w14:textId="00F72036" w:rsidR="001A24C3" w:rsidRDefault="001A24C3" w:rsidP="00FC4139">
      <w:pPr>
        <w:pStyle w:val="Popis"/>
        <w:keepNext/>
        <w:jc w:val="both"/>
      </w:pPr>
      <w:bookmarkStart w:id="410" w:name="_Toc83677964"/>
      <w:r>
        <w:t xml:space="preserve">Tabuľka </w:t>
      </w:r>
      <w:r w:rsidR="00091EB3">
        <w:rPr>
          <w:noProof/>
        </w:rPr>
        <w:t>93</w:t>
      </w:r>
      <w:r>
        <w:tab/>
        <w:t>Výstup z ekonomickej analýzy (ENPV)</w:t>
      </w:r>
      <w:bookmarkEnd w:id="410"/>
    </w:p>
    <w:tbl>
      <w:tblPr>
        <w:tblW w:w="6600" w:type="dxa"/>
        <w:tblCellMar>
          <w:left w:w="70" w:type="dxa"/>
          <w:right w:w="70" w:type="dxa"/>
        </w:tblCellMar>
        <w:tblLook w:val="04A0" w:firstRow="1" w:lastRow="0" w:firstColumn="1" w:lastColumn="0" w:noHBand="0" w:noVBand="1"/>
      </w:tblPr>
      <w:tblGrid>
        <w:gridCol w:w="5060"/>
        <w:gridCol w:w="1540"/>
      </w:tblGrid>
      <w:tr w:rsidR="001A24C3" w:rsidRPr="00885FFC" w14:paraId="55DCF48E" w14:textId="77777777" w:rsidTr="00300963">
        <w:trPr>
          <w:trHeight w:val="204"/>
        </w:trPr>
        <w:tc>
          <w:tcPr>
            <w:tcW w:w="5060" w:type="dxa"/>
            <w:tcBorders>
              <w:top w:val="single" w:sz="4" w:space="0" w:color="auto"/>
              <w:left w:val="single" w:sz="4" w:space="0" w:color="auto"/>
              <w:bottom w:val="single" w:sz="4" w:space="0" w:color="auto"/>
              <w:right w:val="nil"/>
            </w:tcBorders>
            <w:shd w:val="clear" w:color="auto" w:fill="auto"/>
            <w:noWrap/>
            <w:vAlign w:val="bottom"/>
            <w:hideMark/>
          </w:tcPr>
          <w:p w14:paraId="23B7D57E" w14:textId="77777777" w:rsidR="001A24C3" w:rsidRPr="00885FFC" w:rsidRDefault="001A24C3" w:rsidP="00300963">
            <w:pPr>
              <w:rPr>
                <w:rFonts w:ascii="Arial" w:eastAsia="Times New Roman" w:hAnsi="Arial" w:cs="Arial"/>
                <w:sz w:val="16"/>
                <w:szCs w:val="16"/>
                <w:lang w:eastAsia="sk-SK"/>
              </w:rPr>
            </w:pPr>
            <w:r w:rsidRPr="00885FFC">
              <w:rPr>
                <w:rFonts w:ascii="Arial" w:eastAsia="Times New Roman" w:hAnsi="Arial" w:cs="Arial"/>
                <w:sz w:val="16"/>
                <w:szCs w:val="16"/>
                <w:lang w:eastAsia="sk-SK"/>
              </w:rPr>
              <w:t>Ekonomická čistá súčasná hodnota investície (ENPV)</w:t>
            </w:r>
          </w:p>
        </w:tc>
        <w:tc>
          <w:tcPr>
            <w:tcW w:w="1540" w:type="dxa"/>
            <w:tcBorders>
              <w:top w:val="single" w:sz="4" w:space="0" w:color="auto"/>
              <w:left w:val="single" w:sz="4" w:space="0" w:color="auto"/>
              <w:bottom w:val="single" w:sz="4" w:space="0" w:color="auto"/>
              <w:right w:val="single" w:sz="4" w:space="0" w:color="auto"/>
            </w:tcBorders>
            <w:shd w:val="clear" w:color="000000" w:fill="FFFFCC"/>
            <w:noWrap/>
            <w:vAlign w:val="bottom"/>
            <w:hideMark/>
          </w:tcPr>
          <w:p w14:paraId="5E8600E3" w14:textId="77777777" w:rsidR="001A24C3" w:rsidRPr="00885FFC" w:rsidRDefault="001A24C3" w:rsidP="00300963">
            <w:pPr>
              <w:jc w:val="right"/>
              <w:rPr>
                <w:rFonts w:ascii="Arial" w:eastAsia="Times New Roman" w:hAnsi="Arial" w:cs="Arial"/>
                <w:sz w:val="16"/>
                <w:szCs w:val="16"/>
                <w:lang w:eastAsia="sk-SK"/>
              </w:rPr>
            </w:pPr>
            <w:r w:rsidRPr="00885FFC">
              <w:rPr>
                <w:rFonts w:ascii="Arial" w:eastAsia="Times New Roman" w:hAnsi="Arial" w:cs="Arial"/>
                <w:sz w:val="16"/>
                <w:szCs w:val="16"/>
                <w:lang w:eastAsia="sk-SK"/>
              </w:rPr>
              <w:t xml:space="preserve">28 430 472 </w:t>
            </w:r>
          </w:p>
        </w:tc>
      </w:tr>
    </w:tbl>
    <w:p w14:paraId="189EE19A" w14:textId="77777777" w:rsidR="001A24C3" w:rsidRDefault="001A24C3" w:rsidP="001A24C3">
      <w:pPr>
        <w:rPr>
          <w:b/>
          <w:iCs/>
          <w:color w:val="C00000"/>
          <w:sz w:val="20"/>
          <w:szCs w:val="18"/>
        </w:rPr>
      </w:pPr>
    </w:p>
    <w:p w14:paraId="224187A5" w14:textId="77777777" w:rsidR="001A24C3" w:rsidRDefault="001A24C3" w:rsidP="001A24C3">
      <w:pPr>
        <w:suppressAutoHyphens/>
        <w:rPr>
          <w:b/>
          <w:iCs/>
          <w:color w:val="C00000"/>
          <w:sz w:val="20"/>
          <w:szCs w:val="18"/>
        </w:rPr>
      </w:pPr>
      <w:r>
        <w:rPr>
          <w:b/>
          <w:iCs/>
          <w:color w:val="C00000"/>
          <w:sz w:val="20"/>
          <w:szCs w:val="18"/>
        </w:rPr>
        <w:br w:type="page"/>
      </w:r>
    </w:p>
    <w:p w14:paraId="46FD8F58" w14:textId="77777777" w:rsidR="001A24C3" w:rsidRPr="00FC4139" w:rsidRDefault="001A24C3" w:rsidP="00FC4139">
      <w:pPr>
        <w:pStyle w:val="Nadpis21"/>
        <w:ind w:left="851" w:hanging="851"/>
        <w:rPr>
          <w:color w:val="00B050"/>
        </w:rPr>
      </w:pPr>
      <w:bookmarkStart w:id="411" w:name="_Toc83677879"/>
      <w:bookmarkStart w:id="412" w:name="_Toc88653044"/>
      <w:r w:rsidRPr="00FC4139">
        <w:rPr>
          <w:color w:val="00B050"/>
        </w:rPr>
        <w:lastRenderedPageBreak/>
        <w:t>Citlivostná riziková analýza</w:t>
      </w:r>
      <w:bookmarkEnd w:id="411"/>
      <w:bookmarkEnd w:id="412"/>
    </w:p>
    <w:p w14:paraId="08710AF9" w14:textId="15890C1E" w:rsidR="001A24C3" w:rsidRPr="00FC4139" w:rsidRDefault="001A24C3" w:rsidP="00FC4139">
      <w:pPr>
        <w:pStyle w:val="Nadpis31"/>
        <w:ind w:hanging="862"/>
        <w:rPr>
          <w:color w:val="auto"/>
        </w:rPr>
      </w:pPr>
      <w:bookmarkStart w:id="413" w:name="_Toc88653045"/>
      <w:r w:rsidRPr="00FC4139">
        <w:rPr>
          <w:color w:val="auto"/>
        </w:rPr>
        <w:t xml:space="preserve">Variant </w:t>
      </w:r>
      <w:r w:rsidR="00FC4139">
        <w:rPr>
          <w:color w:val="auto"/>
        </w:rPr>
        <w:t xml:space="preserve">A </w:t>
      </w:r>
      <w:r w:rsidRPr="00FC4139">
        <w:rPr>
          <w:color w:val="auto"/>
        </w:rPr>
        <w:t>„</w:t>
      </w:r>
      <w:r w:rsidR="00FC4139">
        <w:rPr>
          <w:color w:val="auto"/>
        </w:rPr>
        <w:t>ZÁKLADNÁ MODERNIZÁCIA</w:t>
      </w:r>
      <w:r w:rsidRPr="00FC4139">
        <w:rPr>
          <w:color w:val="auto"/>
        </w:rPr>
        <w:t>“</w:t>
      </w:r>
      <w:bookmarkEnd w:id="413"/>
    </w:p>
    <w:p w14:paraId="73BEAA6D" w14:textId="77777777" w:rsidR="001A24C3" w:rsidRPr="00FC4139" w:rsidRDefault="001A24C3" w:rsidP="00FC4139">
      <w:pPr>
        <w:pStyle w:val="Nadpis41"/>
        <w:ind w:left="851" w:hanging="851"/>
        <w:rPr>
          <w:color w:val="auto"/>
          <w:sz w:val="24"/>
          <w:szCs w:val="24"/>
        </w:rPr>
      </w:pPr>
      <w:bookmarkStart w:id="414" w:name="_Toc88653046"/>
      <w:r w:rsidRPr="00FC4139">
        <w:rPr>
          <w:color w:val="auto"/>
          <w:sz w:val="24"/>
          <w:szCs w:val="24"/>
        </w:rPr>
        <w:t>Citlivostná analýza</w:t>
      </w:r>
      <w:bookmarkEnd w:id="414"/>
    </w:p>
    <w:p w14:paraId="749D0BBC" w14:textId="77777777" w:rsidR="001A24C3" w:rsidRPr="000A41CE" w:rsidRDefault="001A24C3" w:rsidP="001A24C3">
      <w:pPr>
        <w:pStyle w:val="TextKoice0"/>
        <w:ind w:left="0"/>
      </w:pPr>
      <w:r w:rsidRPr="000A41CE">
        <w:t>V rámci citlivostnej analýzy sa sleduje citlivosť výstupných ukazovateľov CBA analýzy ako:</w:t>
      </w:r>
    </w:p>
    <w:p w14:paraId="47D81A1E" w14:textId="77777777" w:rsidR="001A24C3" w:rsidRPr="000A41CE" w:rsidRDefault="001A24C3" w:rsidP="001A24C3">
      <w:pPr>
        <w:pStyle w:val="ODRKY"/>
      </w:pPr>
      <w:r w:rsidRPr="000A41CE">
        <w:t>FNPV/C</w:t>
      </w:r>
    </w:p>
    <w:p w14:paraId="486EBD40" w14:textId="77777777" w:rsidR="001A24C3" w:rsidRPr="000A41CE" w:rsidRDefault="001A24C3" w:rsidP="001A24C3">
      <w:pPr>
        <w:pStyle w:val="ODRKY"/>
      </w:pPr>
      <w:r w:rsidRPr="000A41CE">
        <w:t>ENPV</w:t>
      </w:r>
    </w:p>
    <w:p w14:paraId="5B5F1D9C" w14:textId="77777777" w:rsidR="001A24C3" w:rsidRPr="000A41CE" w:rsidRDefault="001A24C3" w:rsidP="001A24C3">
      <w:pPr>
        <w:pStyle w:val="Odsekzoznamu"/>
        <w:spacing w:after="0" w:line="240" w:lineRule="auto"/>
        <w:jc w:val="both"/>
        <w:rPr>
          <w:rFonts w:ascii="Times New Roman" w:hAnsi="Times New Roman"/>
          <w:szCs w:val="24"/>
        </w:rPr>
      </w:pPr>
    </w:p>
    <w:p w14:paraId="72D974CA" w14:textId="52391B23" w:rsidR="001A24C3" w:rsidRPr="000A41CE" w:rsidRDefault="001A24C3" w:rsidP="001A24C3">
      <w:pPr>
        <w:pStyle w:val="TextKoice0"/>
        <w:ind w:left="0"/>
      </w:pPr>
      <w:r w:rsidRPr="000A41CE">
        <w:t>na zmenu vstupných premenných. Sledované vstupné premenné pre posúdenie citlivosti výstupných premenných v CBA analýze projektu sú:</w:t>
      </w:r>
    </w:p>
    <w:p w14:paraId="1B626F95" w14:textId="77777777" w:rsidR="001A24C3" w:rsidRPr="000A41CE" w:rsidRDefault="001A24C3" w:rsidP="001A24C3">
      <w:pPr>
        <w:pStyle w:val="ODRKY"/>
      </w:pPr>
      <w:r>
        <w:t>i</w:t>
      </w:r>
      <w:r w:rsidRPr="000A41CE">
        <w:t>nvestičné</w:t>
      </w:r>
      <w:r>
        <w:t xml:space="preserve"> výdavky</w:t>
      </w:r>
      <w:r w:rsidRPr="000A41CE">
        <w:t xml:space="preserve"> </w:t>
      </w:r>
      <w:r>
        <w:rPr>
          <w:lang w:val="en-US"/>
        </w:rPr>
        <w:t>(</w:t>
      </w:r>
      <w:r>
        <w:t>náklady)</w:t>
      </w:r>
      <w:r w:rsidRPr="000A41CE">
        <w:t>,</w:t>
      </w:r>
    </w:p>
    <w:p w14:paraId="2A5F66E5" w14:textId="77777777" w:rsidR="001A24C3" w:rsidRDefault="001A24C3" w:rsidP="001A24C3">
      <w:pPr>
        <w:pStyle w:val="ODRKY"/>
      </w:pPr>
      <w:r>
        <w:t>p</w:t>
      </w:r>
      <w:r w:rsidRPr="000A41CE">
        <w:t>revádzkové</w:t>
      </w:r>
      <w:r>
        <w:rPr>
          <w:lang w:val="cs-CZ"/>
        </w:rPr>
        <w:t xml:space="preserve"> výdavky</w:t>
      </w:r>
      <w:r w:rsidRPr="000A41CE">
        <w:t xml:space="preserve"> </w:t>
      </w:r>
      <w:r>
        <w:t>(náklady)</w:t>
      </w:r>
      <w:r w:rsidRPr="000A41CE">
        <w:t>,</w:t>
      </w:r>
    </w:p>
    <w:p w14:paraId="28FB28C6" w14:textId="77777777" w:rsidR="001A24C3" w:rsidRDefault="001A24C3" w:rsidP="001A24C3">
      <w:pPr>
        <w:pStyle w:val="ODRKY"/>
      </w:pPr>
      <w:r>
        <w:t>úspora času - osobná doprava,</w:t>
      </w:r>
    </w:p>
    <w:p w14:paraId="4657F5A4" w14:textId="77777777" w:rsidR="001A24C3" w:rsidRDefault="001A24C3" w:rsidP="001A24C3">
      <w:pPr>
        <w:pStyle w:val="ODRKY"/>
      </w:pPr>
      <w:r>
        <w:t>vlkm – osobná doprava,</w:t>
      </w:r>
    </w:p>
    <w:p w14:paraId="377779E2" w14:textId="77777777" w:rsidR="001A24C3" w:rsidRPr="000A41CE" w:rsidRDefault="001A24C3" w:rsidP="001A24C3">
      <w:pPr>
        <w:pStyle w:val="ODRKY"/>
      </w:pPr>
      <w:r>
        <w:t>vzkm – prevedená doprava,</w:t>
      </w:r>
    </w:p>
    <w:p w14:paraId="7D8B9CC1" w14:textId="77777777" w:rsidR="001A24C3" w:rsidRDefault="001A24C3" w:rsidP="001A24C3">
      <w:pPr>
        <w:pStyle w:val="ODRKY"/>
      </w:pPr>
      <w:r>
        <w:t>úspora času - nákladná doprava,</w:t>
      </w:r>
    </w:p>
    <w:p w14:paraId="70098728" w14:textId="77777777" w:rsidR="001A24C3" w:rsidRDefault="001A24C3" w:rsidP="001A24C3">
      <w:pPr>
        <w:pStyle w:val="ODRKY"/>
      </w:pPr>
      <w:r>
        <w:t>vlkm – nákladná doprava,</w:t>
      </w:r>
    </w:p>
    <w:p w14:paraId="3892EADD" w14:textId="77777777" w:rsidR="001A24C3" w:rsidRDefault="001A24C3" w:rsidP="001A24C3">
      <w:pPr>
        <w:pStyle w:val="ODRKY"/>
      </w:pPr>
      <w:r>
        <w:t>množstvo prepraveného tovaru – nákladná doprava,</w:t>
      </w:r>
    </w:p>
    <w:p w14:paraId="7748F853" w14:textId="77777777" w:rsidR="001A24C3" w:rsidRPr="000A41CE" w:rsidRDefault="001A24C3" w:rsidP="001A24C3">
      <w:pPr>
        <w:pStyle w:val="ODRKY"/>
      </w:pPr>
      <w:r>
        <w:t>zostatková hodnota.</w:t>
      </w:r>
    </w:p>
    <w:p w14:paraId="456B7267" w14:textId="77777777" w:rsidR="001A24C3" w:rsidRPr="000A41CE" w:rsidRDefault="001A24C3" w:rsidP="001A24C3">
      <w:pPr>
        <w:rPr>
          <w:rFonts w:ascii="Times New Roman" w:hAnsi="Times New Roman"/>
          <w:szCs w:val="24"/>
        </w:rPr>
      </w:pPr>
    </w:p>
    <w:p w14:paraId="4610A2C6" w14:textId="77777777" w:rsidR="001A24C3" w:rsidRPr="00FC4139" w:rsidRDefault="001A24C3" w:rsidP="001A24C3">
      <w:pPr>
        <w:pStyle w:val="TextKoice0"/>
        <w:spacing w:after="240"/>
        <w:ind w:left="0"/>
        <w:rPr>
          <w:sz w:val="24"/>
          <w:szCs w:val="24"/>
        </w:rPr>
      </w:pPr>
      <w:r w:rsidRPr="00FC4139">
        <w:rPr>
          <w:sz w:val="24"/>
          <w:szCs w:val="24"/>
        </w:rPr>
        <w:t>V rámci spracovaného modelu boli vypočítané hodnoty o koľko % sa zmenia výstupné ukazovatele, ak dôjde k zmene vstupnej hodnoty o 1%, 5% a 10% smerom nahor alebo o 1%, 5% a 10% smerom nadol, pričom sa sledujú zmeny iba u jednej vstupnej premennej, kým ostatné v čase testovania ostávajú nezmenené.</w:t>
      </w:r>
    </w:p>
    <w:p w14:paraId="0741591B" w14:textId="73D2F27E" w:rsidR="001A24C3" w:rsidRPr="00FC4139" w:rsidRDefault="001A24C3" w:rsidP="001A24C3">
      <w:pPr>
        <w:pStyle w:val="TextKoice0"/>
        <w:spacing w:after="240"/>
        <w:ind w:left="0"/>
        <w:rPr>
          <w:sz w:val="24"/>
          <w:szCs w:val="24"/>
        </w:rPr>
      </w:pPr>
      <w:r w:rsidRPr="00FC4139">
        <w:rPr>
          <w:sz w:val="24"/>
          <w:szCs w:val="24"/>
        </w:rPr>
        <w:t>V prípade, že 1%, 5% a 10%</w:t>
      </w:r>
      <w:r w:rsidR="00FC4139" w:rsidRPr="00FC4139">
        <w:rPr>
          <w:sz w:val="24"/>
          <w:szCs w:val="24"/>
        </w:rPr>
        <w:t xml:space="preserve"> </w:t>
      </w:r>
      <w:r w:rsidRPr="00FC4139">
        <w:rPr>
          <w:sz w:val="24"/>
          <w:szCs w:val="24"/>
        </w:rPr>
        <w:t>zmena vstupnej premennej smerom nahor alebo smerom nadol spôsobí väčšiu zmenu výstupného ukazovateľa, považujeme premennú za kritickú. V takom prípade je potrebné vstupnú premennú ďalej testovať prostredníctvom rizikovej analýzy a určiť hodnotu, pod ktorú nesmie klesnúť, respektíve nad ktorú nesmie stúpnuť, aby sa projekt podľa stanovených pravidiel nestal nerealizovateľným/nefinancovateľným.</w:t>
      </w:r>
    </w:p>
    <w:p w14:paraId="710405BF" w14:textId="77777777" w:rsidR="001A24C3" w:rsidRPr="00FC4139" w:rsidRDefault="001A24C3" w:rsidP="001A24C3">
      <w:pPr>
        <w:pStyle w:val="TextKoice0"/>
        <w:spacing w:after="240"/>
        <w:ind w:left="0"/>
        <w:rPr>
          <w:sz w:val="24"/>
          <w:szCs w:val="24"/>
        </w:rPr>
      </w:pPr>
      <w:r w:rsidRPr="00FC4139">
        <w:rPr>
          <w:sz w:val="24"/>
          <w:szCs w:val="24"/>
        </w:rPr>
        <w:t>Na základe vykonaného testovania je možné konštatovať, že vo vzťahu k výstupnému ukazovateľu FNPV/C sú citlivé investičné výdavky. Vo vzťahu k výstupnému ukazovateľu ENPV  sú citlivé investičné náklady, prevádzkové náklady, úspora času – nákladná doprava, vlkm – nákladná doprava a množstvo prepraveného tovaru – nákladná doprava.</w:t>
      </w:r>
    </w:p>
    <w:p w14:paraId="425D5F48" w14:textId="77777777" w:rsidR="001A24C3" w:rsidRPr="000A41CE" w:rsidRDefault="001A24C3" w:rsidP="001A24C3">
      <w:r w:rsidRPr="000A41CE">
        <w:t>V nasledujúcich kapitolách sme pre ilustráciu uviedli len 1% zmenu vstupnej premennej. Kompletná citlivostná a riziková analýza so zmenami vstupných premenných 1%, 5% a 10% je v excelovskej časti.</w:t>
      </w:r>
    </w:p>
    <w:p w14:paraId="131D2068" w14:textId="77777777" w:rsidR="001A24C3" w:rsidRPr="000A41CE" w:rsidRDefault="001A24C3" w:rsidP="001A24C3"/>
    <w:p w14:paraId="5F70E1B0" w14:textId="77777777" w:rsidR="001A24C3" w:rsidRPr="00FC4139" w:rsidRDefault="001A24C3" w:rsidP="00FC4139">
      <w:pPr>
        <w:pStyle w:val="Nadpis51"/>
        <w:spacing w:after="240"/>
        <w:ind w:left="993" w:hanging="993"/>
        <w:rPr>
          <w:color w:val="auto"/>
          <w:sz w:val="24"/>
          <w:szCs w:val="24"/>
        </w:rPr>
      </w:pPr>
      <w:r w:rsidRPr="00FC4139">
        <w:rPr>
          <w:color w:val="auto"/>
          <w:sz w:val="24"/>
          <w:szCs w:val="24"/>
        </w:rPr>
        <w:lastRenderedPageBreak/>
        <w:t>Citlivosť na zmenu FNPV/C</w:t>
      </w:r>
    </w:p>
    <w:p w14:paraId="088F07B7" w14:textId="77777777" w:rsidR="001A24C3" w:rsidRPr="000A41CE" w:rsidRDefault="001A24C3" w:rsidP="001A24C3">
      <w:bookmarkStart w:id="415" w:name="_Hlk83672883"/>
      <w:r w:rsidRPr="000A41CE">
        <w:t>Za kritické (citlivé) premenné, ktoré majú vplyv na FNPV/C sú investičné náklady</w:t>
      </w:r>
      <w:r>
        <w:t>.</w:t>
      </w:r>
      <w:r w:rsidRPr="000A41CE">
        <w:t xml:space="preserve"> Tak ako je možné vidieť v nasledujúcich tabuľkách a grafe. V prípade, že by investičné náklady klesli o</w:t>
      </w:r>
      <w:r>
        <w:t> 58,58</w:t>
      </w:r>
      <w:r w:rsidRPr="000A41CE">
        <w:t xml:space="preserve"> %</w:t>
      </w:r>
      <w:r>
        <w:t xml:space="preserve"> </w:t>
      </w:r>
      <w:r w:rsidRPr="000A41CE">
        <w:t>došlo by k situácií, že by sa projekt stal samofinancovateľným a nebolo by potrebné jeho financovanie z fondov Európskej únie.</w:t>
      </w:r>
    </w:p>
    <w:p w14:paraId="7227A4BC" w14:textId="7230A649" w:rsidR="001A24C3" w:rsidRPr="000A41CE" w:rsidRDefault="001A24C3" w:rsidP="007C0141">
      <w:pPr>
        <w:pStyle w:val="Popis"/>
        <w:keepNext/>
        <w:jc w:val="both"/>
      </w:pPr>
      <w:bookmarkStart w:id="416" w:name="_Toc83677965"/>
      <w:bookmarkEnd w:id="415"/>
      <w:r w:rsidRPr="000A41CE">
        <w:t xml:space="preserve">Tabuľka </w:t>
      </w:r>
      <w:r w:rsidR="00091EB3">
        <w:rPr>
          <w:noProof/>
        </w:rPr>
        <w:t>94</w:t>
      </w:r>
      <w:r w:rsidRPr="000A41CE">
        <w:tab/>
        <w:t>Citlivosť vstupných premenných na FNPV/C</w:t>
      </w:r>
      <w:bookmarkEnd w:id="416"/>
    </w:p>
    <w:tbl>
      <w:tblPr>
        <w:tblW w:w="0" w:type="auto"/>
        <w:tblCellMar>
          <w:left w:w="70" w:type="dxa"/>
          <w:right w:w="70" w:type="dxa"/>
        </w:tblCellMar>
        <w:tblLook w:val="04A0" w:firstRow="1" w:lastRow="0" w:firstColumn="1" w:lastColumn="0" w:noHBand="0" w:noVBand="1"/>
      </w:tblPr>
      <w:tblGrid>
        <w:gridCol w:w="2314"/>
        <w:gridCol w:w="885"/>
        <w:gridCol w:w="819"/>
        <w:gridCol w:w="885"/>
      </w:tblGrid>
      <w:tr w:rsidR="001A24C3" w:rsidRPr="007557F1" w14:paraId="0D922EAF" w14:textId="77777777" w:rsidTr="00300963">
        <w:trPr>
          <w:trHeight w:val="600"/>
        </w:trPr>
        <w:tc>
          <w:tcPr>
            <w:tcW w:w="0" w:type="auto"/>
            <w:tcBorders>
              <w:top w:val="single" w:sz="8" w:space="0" w:color="auto"/>
              <w:left w:val="single" w:sz="8" w:space="0" w:color="auto"/>
              <w:bottom w:val="single" w:sz="8" w:space="0" w:color="auto"/>
              <w:right w:val="single" w:sz="8" w:space="0" w:color="auto"/>
            </w:tcBorders>
            <w:shd w:val="clear" w:color="000000" w:fill="B1A0C7"/>
            <w:noWrap/>
            <w:vAlign w:val="center"/>
            <w:hideMark/>
          </w:tcPr>
          <w:p w14:paraId="75E7B568" w14:textId="77777777" w:rsidR="001A24C3" w:rsidRPr="007557F1" w:rsidRDefault="001A24C3" w:rsidP="00300963">
            <w:pP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Zmena FNPV_C (% zmena)</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55275363" w14:textId="77777777" w:rsidR="001A24C3" w:rsidRPr="007557F1" w:rsidRDefault="001A24C3" w:rsidP="00300963">
            <w:pPr>
              <w:jc w:val="cente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-1%</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60B6D980" w14:textId="77777777" w:rsidR="001A24C3" w:rsidRPr="007557F1" w:rsidRDefault="001A24C3" w:rsidP="00300963">
            <w:pPr>
              <w:jc w:val="cente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0%</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61C2E9DA" w14:textId="77777777" w:rsidR="001A24C3" w:rsidRPr="007557F1" w:rsidRDefault="001A24C3" w:rsidP="00300963">
            <w:pPr>
              <w:jc w:val="cente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1%</w:t>
            </w:r>
          </w:p>
        </w:tc>
      </w:tr>
      <w:tr w:rsidR="001A24C3" w:rsidRPr="007557F1" w14:paraId="286DAF8A" w14:textId="77777777" w:rsidTr="00300963">
        <w:trPr>
          <w:trHeight w:val="363"/>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3C15A4EC"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Investičné výdavky</w:t>
            </w:r>
          </w:p>
        </w:tc>
        <w:tc>
          <w:tcPr>
            <w:tcW w:w="0" w:type="auto"/>
            <w:tcBorders>
              <w:top w:val="nil"/>
              <w:left w:val="nil"/>
              <w:bottom w:val="single" w:sz="4" w:space="0" w:color="auto"/>
              <w:right w:val="single" w:sz="4" w:space="0" w:color="auto"/>
            </w:tcBorders>
            <w:shd w:val="clear" w:color="auto" w:fill="auto"/>
            <w:noWrap/>
            <w:vAlign w:val="center"/>
            <w:hideMark/>
          </w:tcPr>
          <w:p w14:paraId="2564D82A"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1,714%</w:t>
            </w:r>
          </w:p>
        </w:tc>
        <w:tc>
          <w:tcPr>
            <w:tcW w:w="0" w:type="auto"/>
            <w:tcBorders>
              <w:top w:val="nil"/>
              <w:left w:val="nil"/>
              <w:bottom w:val="single" w:sz="4" w:space="0" w:color="auto"/>
              <w:right w:val="single" w:sz="4" w:space="0" w:color="auto"/>
            </w:tcBorders>
            <w:shd w:val="clear" w:color="auto" w:fill="auto"/>
            <w:noWrap/>
            <w:vAlign w:val="center"/>
            <w:hideMark/>
          </w:tcPr>
          <w:p w14:paraId="28C58259"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3C2667EC"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-1,714%</w:t>
            </w:r>
          </w:p>
        </w:tc>
      </w:tr>
      <w:tr w:rsidR="001A24C3" w:rsidRPr="007557F1" w14:paraId="0E44A1E9" w14:textId="77777777" w:rsidTr="00300963">
        <w:trPr>
          <w:trHeight w:val="26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12F3FCB4"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Prevádzkové výdavky</w:t>
            </w:r>
          </w:p>
        </w:tc>
        <w:tc>
          <w:tcPr>
            <w:tcW w:w="0" w:type="auto"/>
            <w:tcBorders>
              <w:top w:val="nil"/>
              <w:left w:val="nil"/>
              <w:bottom w:val="single" w:sz="4" w:space="0" w:color="auto"/>
              <w:right w:val="single" w:sz="4" w:space="0" w:color="auto"/>
            </w:tcBorders>
            <w:shd w:val="clear" w:color="auto" w:fill="auto"/>
            <w:noWrap/>
            <w:vAlign w:val="center"/>
            <w:hideMark/>
          </w:tcPr>
          <w:p w14:paraId="35324861"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-0,679%</w:t>
            </w:r>
          </w:p>
        </w:tc>
        <w:tc>
          <w:tcPr>
            <w:tcW w:w="0" w:type="auto"/>
            <w:tcBorders>
              <w:top w:val="nil"/>
              <w:left w:val="nil"/>
              <w:bottom w:val="single" w:sz="4" w:space="0" w:color="auto"/>
              <w:right w:val="single" w:sz="4" w:space="0" w:color="auto"/>
            </w:tcBorders>
            <w:shd w:val="clear" w:color="auto" w:fill="auto"/>
            <w:noWrap/>
            <w:vAlign w:val="center"/>
            <w:hideMark/>
          </w:tcPr>
          <w:p w14:paraId="650F738C"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CD0B88C"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0,679%</w:t>
            </w:r>
          </w:p>
        </w:tc>
      </w:tr>
      <w:tr w:rsidR="001A24C3" w:rsidRPr="007557F1" w14:paraId="0B2E1216" w14:textId="77777777" w:rsidTr="00300963">
        <w:trPr>
          <w:trHeight w:val="15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7A043352"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Prevádzkové príjmy</w:t>
            </w:r>
          </w:p>
        </w:tc>
        <w:tc>
          <w:tcPr>
            <w:tcW w:w="0" w:type="auto"/>
            <w:tcBorders>
              <w:top w:val="nil"/>
              <w:left w:val="nil"/>
              <w:bottom w:val="single" w:sz="4" w:space="0" w:color="auto"/>
              <w:right w:val="single" w:sz="4" w:space="0" w:color="auto"/>
            </w:tcBorders>
            <w:shd w:val="clear" w:color="auto" w:fill="auto"/>
            <w:noWrap/>
            <w:vAlign w:val="center"/>
            <w:hideMark/>
          </w:tcPr>
          <w:p w14:paraId="0E31BC2A"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-0,023%</w:t>
            </w:r>
          </w:p>
        </w:tc>
        <w:tc>
          <w:tcPr>
            <w:tcW w:w="0" w:type="auto"/>
            <w:tcBorders>
              <w:top w:val="nil"/>
              <w:left w:val="nil"/>
              <w:bottom w:val="single" w:sz="4" w:space="0" w:color="auto"/>
              <w:right w:val="single" w:sz="4" w:space="0" w:color="auto"/>
            </w:tcBorders>
            <w:shd w:val="clear" w:color="auto" w:fill="auto"/>
            <w:noWrap/>
            <w:vAlign w:val="center"/>
            <w:hideMark/>
          </w:tcPr>
          <w:p w14:paraId="250C55FA"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54B0C91"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0,023%</w:t>
            </w:r>
          </w:p>
        </w:tc>
      </w:tr>
      <w:tr w:rsidR="001A24C3" w:rsidRPr="007557F1" w14:paraId="25EAE172" w14:textId="77777777" w:rsidTr="00300963">
        <w:trPr>
          <w:trHeight w:val="31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1788FB1"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Zostatková hodnota</w:t>
            </w:r>
          </w:p>
        </w:tc>
        <w:tc>
          <w:tcPr>
            <w:tcW w:w="0" w:type="auto"/>
            <w:tcBorders>
              <w:top w:val="nil"/>
              <w:left w:val="nil"/>
              <w:bottom w:val="single" w:sz="8" w:space="0" w:color="auto"/>
              <w:right w:val="single" w:sz="4" w:space="0" w:color="auto"/>
            </w:tcBorders>
            <w:shd w:val="clear" w:color="auto" w:fill="auto"/>
            <w:noWrap/>
            <w:vAlign w:val="center"/>
            <w:hideMark/>
          </w:tcPr>
          <w:p w14:paraId="092D2789"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-0,011%</w:t>
            </w:r>
          </w:p>
        </w:tc>
        <w:tc>
          <w:tcPr>
            <w:tcW w:w="0" w:type="auto"/>
            <w:tcBorders>
              <w:top w:val="nil"/>
              <w:left w:val="nil"/>
              <w:bottom w:val="single" w:sz="8" w:space="0" w:color="auto"/>
              <w:right w:val="single" w:sz="4" w:space="0" w:color="auto"/>
            </w:tcBorders>
            <w:shd w:val="clear" w:color="auto" w:fill="auto"/>
            <w:noWrap/>
            <w:vAlign w:val="center"/>
            <w:hideMark/>
          </w:tcPr>
          <w:p w14:paraId="24526905"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0,000%</w:t>
            </w:r>
          </w:p>
        </w:tc>
        <w:tc>
          <w:tcPr>
            <w:tcW w:w="0" w:type="auto"/>
            <w:tcBorders>
              <w:top w:val="nil"/>
              <w:left w:val="nil"/>
              <w:bottom w:val="single" w:sz="8" w:space="0" w:color="auto"/>
              <w:right w:val="single" w:sz="4" w:space="0" w:color="auto"/>
            </w:tcBorders>
            <w:shd w:val="clear" w:color="auto" w:fill="auto"/>
            <w:noWrap/>
            <w:vAlign w:val="center"/>
            <w:hideMark/>
          </w:tcPr>
          <w:p w14:paraId="0893B747" w14:textId="77777777" w:rsidR="001A24C3" w:rsidRPr="007557F1" w:rsidRDefault="001A24C3" w:rsidP="00300963">
            <w:pPr>
              <w:jc w:val="center"/>
              <w:rPr>
                <w:rFonts w:ascii="Arial" w:eastAsia="Times New Roman" w:hAnsi="Arial" w:cs="Arial"/>
                <w:color w:val="000000"/>
                <w:sz w:val="20"/>
                <w:szCs w:val="20"/>
                <w:lang w:eastAsia="sk-SK"/>
              </w:rPr>
            </w:pPr>
            <w:r w:rsidRPr="007557F1">
              <w:rPr>
                <w:rFonts w:ascii="Arial" w:eastAsia="Times New Roman" w:hAnsi="Arial" w:cs="Arial"/>
                <w:color w:val="000000"/>
                <w:sz w:val="20"/>
                <w:szCs w:val="20"/>
                <w:lang w:eastAsia="sk-SK"/>
              </w:rPr>
              <w:t>0,011%</w:t>
            </w:r>
          </w:p>
        </w:tc>
      </w:tr>
    </w:tbl>
    <w:p w14:paraId="3ED7888D" w14:textId="77777777" w:rsidR="001A24C3" w:rsidRPr="000A41CE" w:rsidRDefault="001A24C3" w:rsidP="001A24C3"/>
    <w:p w14:paraId="6D9E58E8" w14:textId="4DA041E2" w:rsidR="001A24C3" w:rsidRPr="000A41CE" w:rsidRDefault="001A24C3" w:rsidP="007C0141">
      <w:pPr>
        <w:pStyle w:val="Popis"/>
        <w:keepNext/>
        <w:jc w:val="both"/>
      </w:pPr>
      <w:bookmarkStart w:id="417" w:name="_Toc83677966"/>
      <w:r w:rsidRPr="000A41CE">
        <w:t xml:space="preserve">Tabuľka </w:t>
      </w:r>
      <w:r w:rsidR="00091EB3">
        <w:rPr>
          <w:noProof/>
        </w:rPr>
        <w:t>95</w:t>
      </w:r>
      <w:r w:rsidRPr="000A41CE">
        <w:tab/>
        <w:t>Prepínacie hodnoty pri FNPV/C</w:t>
      </w:r>
      <w:bookmarkEnd w:id="417"/>
    </w:p>
    <w:tbl>
      <w:tblPr>
        <w:tblW w:w="0" w:type="auto"/>
        <w:tblCellMar>
          <w:left w:w="70" w:type="dxa"/>
          <w:right w:w="70" w:type="dxa"/>
        </w:tblCellMar>
        <w:tblLook w:val="04A0" w:firstRow="1" w:lastRow="0" w:firstColumn="1" w:lastColumn="0" w:noHBand="0" w:noVBand="1"/>
      </w:tblPr>
      <w:tblGrid>
        <w:gridCol w:w="2297"/>
        <w:gridCol w:w="1027"/>
        <w:gridCol w:w="956"/>
        <w:gridCol w:w="4772"/>
      </w:tblGrid>
      <w:tr w:rsidR="001A24C3" w:rsidRPr="007557F1" w14:paraId="2772FF34" w14:textId="77777777" w:rsidTr="00300963">
        <w:trPr>
          <w:trHeight w:val="600"/>
        </w:trPr>
        <w:tc>
          <w:tcPr>
            <w:tcW w:w="0" w:type="auto"/>
            <w:tcBorders>
              <w:top w:val="single" w:sz="8" w:space="0" w:color="auto"/>
              <w:left w:val="single" w:sz="8" w:space="0" w:color="auto"/>
              <w:bottom w:val="single" w:sz="8" w:space="0" w:color="auto"/>
              <w:right w:val="single" w:sz="8" w:space="0" w:color="auto"/>
            </w:tcBorders>
            <w:shd w:val="clear" w:color="000000" w:fill="B1A0C7"/>
            <w:noWrap/>
            <w:vAlign w:val="center"/>
            <w:hideMark/>
          </w:tcPr>
          <w:p w14:paraId="6EC5AFF8" w14:textId="77777777" w:rsidR="001A24C3" w:rsidRPr="007557F1" w:rsidRDefault="001A24C3" w:rsidP="00300963">
            <w:pP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Zmena FNPV_C (% zmena)</w:t>
            </w:r>
          </w:p>
        </w:tc>
        <w:tc>
          <w:tcPr>
            <w:tcW w:w="1034" w:type="dxa"/>
            <w:tcBorders>
              <w:top w:val="single" w:sz="8" w:space="0" w:color="auto"/>
              <w:left w:val="single" w:sz="8" w:space="0" w:color="auto"/>
              <w:bottom w:val="single" w:sz="8" w:space="0" w:color="auto"/>
              <w:right w:val="single" w:sz="4" w:space="0" w:color="auto"/>
            </w:tcBorders>
            <w:shd w:val="clear" w:color="000000" w:fill="B1A0C7"/>
            <w:vAlign w:val="center"/>
            <w:hideMark/>
          </w:tcPr>
          <w:p w14:paraId="30FCA851" w14:textId="77777777" w:rsidR="001A24C3" w:rsidRPr="007557F1" w:rsidRDefault="001A24C3" w:rsidP="00300963">
            <w:pPr>
              <w:jc w:val="cente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Kritická premenná</w:t>
            </w:r>
          </w:p>
        </w:tc>
        <w:tc>
          <w:tcPr>
            <w:tcW w:w="962" w:type="dxa"/>
            <w:tcBorders>
              <w:top w:val="single" w:sz="8" w:space="0" w:color="auto"/>
              <w:left w:val="nil"/>
              <w:bottom w:val="single" w:sz="8" w:space="0" w:color="auto"/>
              <w:right w:val="single" w:sz="8" w:space="0" w:color="auto"/>
            </w:tcBorders>
            <w:shd w:val="clear" w:color="000000" w:fill="B1A0C7"/>
            <w:noWrap/>
            <w:vAlign w:val="center"/>
            <w:hideMark/>
          </w:tcPr>
          <w:p w14:paraId="67D20291" w14:textId="77777777" w:rsidR="001A24C3" w:rsidRPr="007557F1" w:rsidRDefault="001A24C3" w:rsidP="00300963">
            <w:pPr>
              <w:jc w:val="cente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FNPV_C &gt;= 0</w:t>
            </w:r>
          </w:p>
        </w:tc>
        <w:tc>
          <w:tcPr>
            <w:tcW w:w="4809" w:type="dxa"/>
            <w:tcBorders>
              <w:top w:val="single" w:sz="8" w:space="0" w:color="auto"/>
              <w:left w:val="nil"/>
              <w:bottom w:val="single" w:sz="8" w:space="0" w:color="auto"/>
              <w:right w:val="single" w:sz="8" w:space="0" w:color="000000"/>
            </w:tcBorders>
            <w:shd w:val="clear" w:color="000000" w:fill="B1A0C7"/>
            <w:noWrap/>
            <w:vAlign w:val="center"/>
            <w:hideMark/>
          </w:tcPr>
          <w:p w14:paraId="7EB95807" w14:textId="77777777" w:rsidR="001A24C3" w:rsidRPr="007557F1" w:rsidRDefault="001A24C3" w:rsidP="00300963">
            <w:pPr>
              <w:jc w:val="center"/>
              <w:rPr>
                <w:rFonts w:ascii="Calibri" w:eastAsia="Times New Roman" w:hAnsi="Calibri" w:cs="Calibri"/>
                <w:b/>
                <w:bCs/>
                <w:sz w:val="20"/>
                <w:szCs w:val="20"/>
                <w:lang w:eastAsia="sk-SK"/>
              </w:rPr>
            </w:pPr>
            <w:r w:rsidRPr="007557F1">
              <w:rPr>
                <w:rFonts w:ascii="Calibri" w:eastAsia="Times New Roman" w:hAnsi="Calibri" w:cs="Calibri"/>
                <w:b/>
                <w:bCs/>
                <w:sz w:val="20"/>
                <w:szCs w:val="20"/>
                <w:lang w:eastAsia="sk-SK"/>
              </w:rPr>
              <w:t>Poznámka</w:t>
            </w:r>
          </w:p>
        </w:tc>
      </w:tr>
      <w:tr w:rsidR="001A24C3" w:rsidRPr="007557F1" w14:paraId="2FA9966B"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01B52EB5"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Investičné výdavky</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1ECD8DCD" w14:textId="77777777" w:rsidR="001A24C3" w:rsidRPr="007557F1" w:rsidRDefault="001A24C3" w:rsidP="00300963">
            <w:pPr>
              <w:jc w:val="center"/>
              <w:rPr>
                <w:rFonts w:ascii="Arial" w:eastAsia="Times New Roman" w:hAnsi="Arial" w:cs="Arial"/>
                <w:b/>
                <w:bCs/>
                <w:sz w:val="20"/>
                <w:szCs w:val="20"/>
                <w:lang w:eastAsia="sk-SK"/>
              </w:rPr>
            </w:pPr>
            <w:r w:rsidRPr="007557F1">
              <w:rPr>
                <w:rFonts w:ascii="Arial" w:eastAsia="Times New Roman" w:hAnsi="Arial" w:cs="Arial"/>
                <w:b/>
                <w:bCs/>
                <w:sz w:val="20"/>
                <w:szCs w:val="20"/>
                <w:lang w:eastAsia="sk-SK"/>
              </w:rPr>
              <w:t>Áno</w:t>
            </w:r>
          </w:p>
        </w:tc>
        <w:tc>
          <w:tcPr>
            <w:tcW w:w="962" w:type="dxa"/>
            <w:tcBorders>
              <w:top w:val="nil"/>
              <w:left w:val="nil"/>
              <w:bottom w:val="single" w:sz="4" w:space="0" w:color="auto"/>
              <w:right w:val="single" w:sz="8" w:space="0" w:color="auto"/>
            </w:tcBorders>
            <w:shd w:val="clear" w:color="auto" w:fill="auto"/>
            <w:noWrap/>
            <w:vAlign w:val="center"/>
            <w:hideMark/>
          </w:tcPr>
          <w:p w14:paraId="4EC5C638" w14:textId="77777777" w:rsidR="001A24C3" w:rsidRPr="007557F1" w:rsidRDefault="001A24C3" w:rsidP="00300963">
            <w:pPr>
              <w:jc w:val="center"/>
              <w:rPr>
                <w:rFonts w:ascii="Arial" w:eastAsia="Times New Roman" w:hAnsi="Arial" w:cs="Arial"/>
                <w:b/>
                <w:bCs/>
                <w:sz w:val="20"/>
                <w:szCs w:val="20"/>
                <w:lang w:eastAsia="sk-SK"/>
              </w:rPr>
            </w:pPr>
            <w:r w:rsidRPr="007557F1">
              <w:rPr>
                <w:rFonts w:ascii="Arial" w:eastAsia="Times New Roman" w:hAnsi="Arial" w:cs="Arial"/>
                <w:b/>
                <w:bCs/>
                <w:sz w:val="20"/>
                <w:szCs w:val="20"/>
                <w:lang w:eastAsia="sk-SK"/>
              </w:rPr>
              <w:t>-58,58%</w:t>
            </w:r>
          </w:p>
        </w:tc>
        <w:tc>
          <w:tcPr>
            <w:tcW w:w="4809" w:type="dxa"/>
            <w:tcBorders>
              <w:top w:val="nil"/>
              <w:left w:val="nil"/>
              <w:bottom w:val="single" w:sz="4" w:space="0" w:color="auto"/>
              <w:right w:val="single" w:sz="8" w:space="0" w:color="000000"/>
            </w:tcBorders>
            <w:shd w:val="clear" w:color="auto" w:fill="auto"/>
            <w:noWrap/>
            <w:vAlign w:val="center"/>
            <w:hideMark/>
          </w:tcPr>
          <w:p w14:paraId="14522D89" w14:textId="77777777" w:rsidR="001A24C3" w:rsidRPr="007557F1" w:rsidRDefault="001A24C3" w:rsidP="00300963">
            <w:pPr>
              <w:rPr>
                <w:rFonts w:ascii="Arial" w:eastAsia="Times New Roman" w:hAnsi="Arial" w:cs="Arial"/>
                <w:sz w:val="20"/>
                <w:szCs w:val="20"/>
                <w:lang w:eastAsia="sk-SK"/>
              </w:rPr>
            </w:pPr>
            <w:r w:rsidRPr="007557F1">
              <w:rPr>
                <w:rFonts w:ascii="Arial" w:eastAsia="Times New Roman" w:hAnsi="Arial" w:cs="Arial"/>
                <w:sz w:val="20"/>
                <w:szCs w:val="20"/>
                <w:lang w:eastAsia="sk-SK"/>
              </w:rPr>
              <w:t>Investičné výdavky by museli klesnúť o 58,58% aby  hodnota FNPV_C bola 0 alebo viac. Ide o nereálny scenár.</w:t>
            </w:r>
          </w:p>
        </w:tc>
      </w:tr>
      <w:tr w:rsidR="001A24C3" w:rsidRPr="007557F1" w14:paraId="7BA00B9D"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17FC62D0"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Prevádzkové výdavky</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867742B" w14:textId="77777777" w:rsidR="001A24C3" w:rsidRPr="007557F1" w:rsidRDefault="001A24C3" w:rsidP="00300963">
            <w:pPr>
              <w:jc w:val="center"/>
              <w:rPr>
                <w:rFonts w:ascii="Arial" w:eastAsia="Times New Roman" w:hAnsi="Arial" w:cs="Arial"/>
                <w:sz w:val="20"/>
                <w:szCs w:val="20"/>
                <w:lang w:eastAsia="sk-SK"/>
              </w:rPr>
            </w:pPr>
            <w:r w:rsidRPr="007557F1">
              <w:rPr>
                <w:rFonts w:ascii="Arial" w:eastAsia="Times New Roman" w:hAnsi="Arial" w:cs="Arial"/>
                <w:sz w:val="20"/>
                <w:szCs w:val="20"/>
                <w:lang w:eastAsia="sk-SK"/>
              </w:rPr>
              <w:t>Nie</w:t>
            </w:r>
          </w:p>
        </w:tc>
        <w:tc>
          <w:tcPr>
            <w:tcW w:w="962" w:type="dxa"/>
            <w:tcBorders>
              <w:top w:val="nil"/>
              <w:left w:val="nil"/>
              <w:bottom w:val="single" w:sz="4" w:space="0" w:color="auto"/>
              <w:right w:val="single" w:sz="8" w:space="0" w:color="auto"/>
            </w:tcBorders>
            <w:shd w:val="clear" w:color="auto" w:fill="auto"/>
            <w:noWrap/>
            <w:vAlign w:val="center"/>
            <w:hideMark/>
          </w:tcPr>
          <w:p w14:paraId="43E06EB6" w14:textId="77777777" w:rsidR="001A24C3" w:rsidRPr="007557F1" w:rsidRDefault="001A24C3" w:rsidP="00300963">
            <w:pPr>
              <w:jc w:val="center"/>
              <w:rPr>
                <w:rFonts w:ascii="Arial" w:eastAsia="Times New Roman" w:hAnsi="Arial" w:cs="Arial"/>
                <w:sz w:val="20"/>
                <w:szCs w:val="20"/>
                <w:lang w:eastAsia="sk-SK"/>
              </w:rPr>
            </w:pPr>
            <w:r w:rsidRPr="007557F1">
              <w:rPr>
                <w:rFonts w:ascii="Arial" w:eastAsia="Times New Roman" w:hAnsi="Arial" w:cs="Arial"/>
                <w:sz w:val="20"/>
                <w:szCs w:val="20"/>
                <w:lang w:eastAsia="sk-SK"/>
              </w:rPr>
              <w:t>----</w:t>
            </w:r>
          </w:p>
        </w:tc>
        <w:tc>
          <w:tcPr>
            <w:tcW w:w="4809" w:type="dxa"/>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noWrap/>
            <w:vAlign w:val="center"/>
            <w:hideMark/>
          </w:tcPr>
          <w:p w14:paraId="140414D6" w14:textId="77777777" w:rsidR="001A24C3" w:rsidRPr="007557F1" w:rsidRDefault="001A24C3" w:rsidP="00300963">
            <w:pPr>
              <w:rPr>
                <w:rFonts w:ascii="Arial" w:eastAsia="Times New Roman" w:hAnsi="Arial" w:cs="Arial"/>
                <w:sz w:val="20"/>
                <w:szCs w:val="20"/>
                <w:lang w:eastAsia="sk-SK"/>
              </w:rPr>
            </w:pPr>
            <w:r w:rsidRPr="007557F1">
              <w:rPr>
                <w:rFonts w:ascii="Arial" w:eastAsia="Times New Roman" w:hAnsi="Arial" w:cs="Arial"/>
                <w:sz w:val="20"/>
                <w:szCs w:val="20"/>
                <w:lang w:eastAsia="sk-SK"/>
              </w:rPr>
              <w:t> </w:t>
            </w:r>
          </w:p>
        </w:tc>
      </w:tr>
      <w:tr w:rsidR="001A24C3" w:rsidRPr="007557F1" w14:paraId="66BA9B42"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45EA76E1"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Prevádzkové príjmy</w:t>
            </w:r>
          </w:p>
        </w:tc>
        <w:tc>
          <w:tcPr>
            <w:tcW w:w="1034" w:type="dxa"/>
            <w:tcBorders>
              <w:top w:val="nil"/>
              <w:left w:val="single" w:sz="8" w:space="0" w:color="auto"/>
              <w:bottom w:val="single" w:sz="4" w:space="0" w:color="auto"/>
              <w:right w:val="single" w:sz="4" w:space="0" w:color="auto"/>
            </w:tcBorders>
            <w:shd w:val="clear" w:color="auto" w:fill="auto"/>
            <w:noWrap/>
            <w:vAlign w:val="center"/>
            <w:hideMark/>
          </w:tcPr>
          <w:p w14:paraId="4EDF5E7E" w14:textId="77777777" w:rsidR="001A24C3" w:rsidRPr="007557F1" w:rsidRDefault="001A24C3" w:rsidP="00300963">
            <w:pPr>
              <w:jc w:val="center"/>
              <w:rPr>
                <w:rFonts w:ascii="Arial" w:eastAsia="Times New Roman" w:hAnsi="Arial" w:cs="Arial"/>
                <w:sz w:val="20"/>
                <w:szCs w:val="20"/>
                <w:lang w:eastAsia="sk-SK"/>
              </w:rPr>
            </w:pPr>
            <w:r w:rsidRPr="007557F1">
              <w:rPr>
                <w:rFonts w:ascii="Arial" w:eastAsia="Times New Roman" w:hAnsi="Arial" w:cs="Arial"/>
                <w:sz w:val="20"/>
                <w:szCs w:val="20"/>
                <w:lang w:eastAsia="sk-SK"/>
              </w:rPr>
              <w:t>Nie</w:t>
            </w:r>
          </w:p>
        </w:tc>
        <w:tc>
          <w:tcPr>
            <w:tcW w:w="962" w:type="dxa"/>
            <w:tcBorders>
              <w:top w:val="nil"/>
              <w:left w:val="nil"/>
              <w:bottom w:val="single" w:sz="4" w:space="0" w:color="auto"/>
              <w:right w:val="single" w:sz="8" w:space="0" w:color="auto"/>
            </w:tcBorders>
            <w:shd w:val="clear" w:color="auto" w:fill="auto"/>
            <w:noWrap/>
            <w:vAlign w:val="center"/>
            <w:hideMark/>
          </w:tcPr>
          <w:p w14:paraId="6A38EFEC" w14:textId="77777777" w:rsidR="001A24C3" w:rsidRPr="007557F1" w:rsidRDefault="001A24C3" w:rsidP="00300963">
            <w:pPr>
              <w:jc w:val="center"/>
              <w:rPr>
                <w:rFonts w:ascii="Arial" w:eastAsia="Times New Roman" w:hAnsi="Arial" w:cs="Arial"/>
                <w:sz w:val="20"/>
                <w:szCs w:val="20"/>
                <w:lang w:eastAsia="sk-SK"/>
              </w:rPr>
            </w:pPr>
            <w:r w:rsidRPr="007557F1">
              <w:rPr>
                <w:rFonts w:ascii="Arial" w:eastAsia="Times New Roman" w:hAnsi="Arial" w:cs="Arial"/>
                <w:sz w:val="20"/>
                <w:szCs w:val="20"/>
                <w:lang w:eastAsia="sk-SK"/>
              </w:rPr>
              <w:t>----</w:t>
            </w:r>
          </w:p>
        </w:tc>
        <w:tc>
          <w:tcPr>
            <w:tcW w:w="4809" w:type="dxa"/>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noWrap/>
            <w:vAlign w:val="center"/>
            <w:hideMark/>
          </w:tcPr>
          <w:p w14:paraId="25591D02" w14:textId="77777777" w:rsidR="001A24C3" w:rsidRPr="007557F1" w:rsidRDefault="001A24C3" w:rsidP="00300963">
            <w:pPr>
              <w:rPr>
                <w:rFonts w:ascii="Arial" w:eastAsia="Times New Roman" w:hAnsi="Arial" w:cs="Arial"/>
                <w:sz w:val="20"/>
                <w:szCs w:val="20"/>
                <w:lang w:eastAsia="sk-SK"/>
              </w:rPr>
            </w:pPr>
            <w:r w:rsidRPr="007557F1">
              <w:rPr>
                <w:rFonts w:ascii="Arial" w:eastAsia="Times New Roman" w:hAnsi="Arial" w:cs="Arial"/>
                <w:sz w:val="20"/>
                <w:szCs w:val="20"/>
                <w:lang w:eastAsia="sk-SK"/>
              </w:rPr>
              <w:t> </w:t>
            </w:r>
          </w:p>
        </w:tc>
      </w:tr>
      <w:tr w:rsidR="001A24C3" w:rsidRPr="007557F1" w14:paraId="126C269A" w14:textId="77777777" w:rsidTr="00300963">
        <w:trPr>
          <w:trHeight w:val="67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FE32266" w14:textId="77777777" w:rsidR="001A24C3" w:rsidRPr="007557F1" w:rsidRDefault="001A24C3" w:rsidP="00300963">
            <w:pPr>
              <w:rPr>
                <w:rFonts w:ascii="Calibri" w:eastAsia="Times New Roman" w:hAnsi="Calibri" w:cs="Calibri"/>
                <w:sz w:val="20"/>
                <w:szCs w:val="20"/>
                <w:lang w:eastAsia="sk-SK"/>
              </w:rPr>
            </w:pPr>
            <w:r w:rsidRPr="007557F1">
              <w:rPr>
                <w:rFonts w:ascii="Calibri" w:eastAsia="Times New Roman" w:hAnsi="Calibri" w:cs="Calibri"/>
                <w:sz w:val="20"/>
                <w:szCs w:val="20"/>
                <w:lang w:eastAsia="sk-SK"/>
              </w:rPr>
              <w:t>Zostatková hodnota</w:t>
            </w:r>
          </w:p>
        </w:tc>
        <w:tc>
          <w:tcPr>
            <w:tcW w:w="1034" w:type="dxa"/>
            <w:tcBorders>
              <w:top w:val="nil"/>
              <w:left w:val="single" w:sz="8" w:space="0" w:color="auto"/>
              <w:bottom w:val="single" w:sz="8" w:space="0" w:color="auto"/>
              <w:right w:val="single" w:sz="4" w:space="0" w:color="auto"/>
            </w:tcBorders>
            <w:shd w:val="clear" w:color="auto" w:fill="auto"/>
            <w:noWrap/>
            <w:vAlign w:val="center"/>
            <w:hideMark/>
          </w:tcPr>
          <w:p w14:paraId="67AB5A5A" w14:textId="77777777" w:rsidR="001A24C3" w:rsidRPr="007557F1" w:rsidRDefault="001A24C3" w:rsidP="00300963">
            <w:pPr>
              <w:jc w:val="center"/>
              <w:rPr>
                <w:rFonts w:ascii="Arial" w:eastAsia="Times New Roman" w:hAnsi="Arial" w:cs="Arial"/>
                <w:sz w:val="20"/>
                <w:szCs w:val="20"/>
                <w:lang w:eastAsia="sk-SK"/>
              </w:rPr>
            </w:pPr>
            <w:r w:rsidRPr="007557F1">
              <w:rPr>
                <w:rFonts w:ascii="Arial" w:eastAsia="Times New Roman" w:hAnsi="Arial" w:cs="Arial"/>
                <w:sz w:val="20"/>
                <w:szCs w:val="20"/>
                <w:lang w:eastAsia="sk-SK"/>
              </w:rPr>
              <w:t>Nie</w:t>
            </w:r>
          </w:p>
        </w:tc>
        <w:tc>
          <w:tcPr>
            <w:tcW w:w="962" w:type="dxa"/>
            <w:tcBorders>
              <w:top w:val="nil"/>
              <w:left w:val="nil"/>
              <w:bottom w:val="single" w:sz="8" w:space="0" w:color="auto"/>
              <w:right w:val="single" w:sz="8" w:space="0" w:color="auto"/>
            </w:tcBorders>
            <w:shd w:val="clear" w:color="auto" w:fill="auto"/>
            <w:noWrap/>
            <w:vAlign w:val="center"/>
            <w:hideMark/>
          </w:tcPr>
          <w:p w14:paraId="33B60A7C" w14:textId="77777777" w:rsidR="001A24C3" w:rsidRPr="007557F1" w:rsidRDefault="001A24C3" w:rsidP="00300963">
            <w:pPr>
              <w:jc w:val="center"/>
              <w:rPr>
                <w:rFonts w:ascii="Arial" w:eastAsia="Times New Roman" w:hAnsi="Arial" w:cs="Arial"/>
                <w:sz w:val="20"/>
                <w:szCs w:val="20"/>
                <w:lang w:eastAsia="sk-SK"/>
              </w:rPr>
            </w:pPr>
            <w:r w:rsidRPr="007557F1">
              <w:rPr>
                <w:rFonts w:ascii="Arial" w:eastAsia="Times New Roman" w:hAnsi="Arial" w:cs="Arial"/>
                <w:sz w:val="20"/>
                <w:szCs w:val="20"/>
                <w:lang w:eastAsia="sk-SK"/>
              </w:rPr>
              <w:t>----</w:t>
            </w:r>
          </w:p>
        </w:tc>
        <w:tc>
          <w:tcPr>
            <w:tcW w:w="4809" w:type="dxa"/>
            <w:tcBorders>
              <w:top w:val="single" w:sz="4" w:space="0" w:color="auto"/>
              <w:left w:val="nil"/>
              <w:bottom w:val="single" w:sz="8" w:space="0" w:color="auto"/>
              <w:right w:val="single" w:sz="8" w:space="0" w:color="000000"/>
              <w:tl2br w:val="single" w:sz="4" w:space="0" w:color="auto"/>
              <w:tr2bl w:val="single" w:sz="4" w:space="0" w:color="auto"/>
            </w:tcBorders>
            <w:shd w:val="clear" w:color="auto" w:fill="auto"/>
            <w:noWrap/>
            <w:vAlign w:val="center"/>
            <w:hideMark/>
          </w:tcPr>
          <w:p w14:paraId="69BCFE14" w14:textId="77777777" w:rsidR="001A24C3" w:rsidRPr="007557F1" w:rsidRDefault="001A24C3" w:rsidP="00300963">
            <w:pPr>
              <w:rPr>
                <w:rFonts w:ascii="Arial" w:eastAsia="Times New Roman" w:hAnsi="Arial" w:cs="Arial"/>
                <w:sz w:val="20"/>
                <w:szCs w:val="20"/>
                <w:lang w:eastAsia="sk-SK"/>
              </w:rPr>
            </w:pPr>
            <w:r w:rsidRPr="007557F1">
              <w:rPr>
                <w:rFonts w:ascii="Arial" w:eastAsia="Times New Roman" w:hAnsi="Arial" w:cs="Arial"/>
                <w:sz w:val="20"/>
                <w:szCs w:val="20"/>
                <w:lang w:eastAsia="sk-SK"/>
              </w:rPr>
              <w:t> </w:t>
            </w:r>
          </w:p>
        </w:tc>
      </w:tr>
    </w:tbl>
    <w:p w14:paraId="1BDB983E" w14:textId="13600C35" w:rsidR="007C0141" w:rsidRDefault="007C0141" w:rsidP="001A24C3">
      <w:pPr>
        <w:suppressAutoHyphens/>
        <w:rPr>
          <w:b/>
          <w:iCs/>
          <w:color w:val="C00000"/>
          <w:sz w:val="20"/>
          <w:szCs w:val="18"/>
        </w:rPr>
      </w:pPr>
    </w:p>
    <w:p w14:paraId="66C0FD5B" w14:textId="77777777" w:rsidR="007C0141" w:rsidRDefault="007C0141">
      <w:pPr>
        <w:spacing w:after="200" w:line="276" w:lineRule="auto"/>
        <w:jc w:val="left"/>
        <w:rPr>
          <w:b/>
          <w:iCs/>
          <w:color w:val="C00000"/>
          <w:sz w:val="20"/>
          <w:szCs w:val="18"/>
        </w:rPr>
      </w:pPr>
      <w:r>
        <w:rPr>
          <w:b/>
          <w:iCs/>
          <w:color w:val="C00000"/>
          <w:sz w:val="20"/>
          <w:szCs w:val="18"/>
        </w:rPr>
        <w:br w:type="page"/>
      </w:r>
    </w:p>
    <w:p w14:paraId="526C34A6" w14:textId="6C918174" w:rsidR="001A24C3" w:rsidRPr="000A41CE" w:rsidRDefault="001A24C3" w:rsidP="007C0141">
      <w:pPr>
        <w:pStyle w:val="Popis"/>
        <w:jc w:val="both"/>
      </w:pPr>
      <w:bookmarkStart w:id="418" w:name="_Toc83677998"/>
      <w:r w:rsidRPr="000A41CE">
        <w:lastRenderedPageBreak/>
        <w:t xml:space="preserve">Graf </w:t>
      </w:r>
      <w:r w:rsidRPr="000A41CE">
        <w:rPr>
          <w:noProof/>
        </w:rPr>
        <w:fldChar w:fldCharType="begin"/>
      </w:r>
      <w:r w:rsidRPr="000A41CE">
        <w:rPr>
          <w:noProof/>
        </w:rPr>
        <w:instrText xml:space="preserve"> SEQ Graf \* ARABIC </w:instrText>
      </w:r>
      <w:r w:rsidRPr="000A41CE">
        <w:rPr>
          <w:noProof/>
        </w:rPr>
        <w:fldChar w:fldCharType="separate"/>
      </w:r>
      <w:r w:rsidR="008208F3">
        <w:rPr>
          <w:noProof/>
        </w:rPr>
        <w:t>1</w:t>
      </w:r>
      <w:r w:rsidRPr="000A41CE">
        <w:rPr>
          <w:noProof/>
        </w:rPr>
        <w:fldChar w:fldCharType="end"/>
      </w:r>
      <w:r w:rsidRPr="000A41CE">
        <w:tab/>
        <w:t>Citlivosť vstupných premenných na FNPV/C</w:t>
      </w:r>
      <w:bookmarkEnd w:id="418"/>
    </w:p>
    <w:p w14:paraId="1C2CB201" w14:textId="77777777" w:rsidR="001A24C3" w:rsidRDefault="001A24C3" w:rsidP="001A24C3">
      <w:r>
        <w:rPr>
          <w:noProof/>
          <w:lang w:eastAsia="sk-SK"/>
        </w:rPr>
        <w:drawing>
          <wp:inline distT="0" distB="0" distL="0" distR="0" wp14:anchorId="2C0482A3" wp14:editId="441466AE">
            <wp:extent cx="5760720" cy="3036570"/>
            <wp:effectExtent l="0" t="0" r="11430" b="11430"/>
            <wp:docPr id="39" name="Graf 39">
              <a:extLst xmlns:a="http://schemas.openxmlformats.org/drawingml/2006/main">
                <a:ext uri="{FF2B5EF4-FFF2-40B4-BE49-F238E27FC236}">
                  <a16:creationId xmlns:a16="http://schemas.microsoft.com/office/drawing/2014/main" id="{E2282DAD-B686-4F9B-A926-4F6ACA166D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79B580D7" w14:textId="77777777" w:rsidR="001A24C3" w:rsidRDefault="001A24C3" w:rsidP="001A24C3"/>
    <w:p w14:paraId="431CA5F3" w14:textId="77777777" w:rsidR="001A24C3" w:rsidRPr="007C0141" w:rsidRDefault="001A24C3" w:rsidP="007C0141">
      <w:pPr>
        <w:pStyle w:val="Nadpis51"/>
        <w:spacing w:after="240"/>
        <w:ind w:left="993" w:hanging="993"/>
        <w:rPr>
          <w:color w:val="auto"/>
        </w:rPr>
      </w:pPr>
      <w:r w:rsidRPr="007C0141">
        <w:rPr>
          <w:color w:val="auto"/>
        </w:rPr>
        <w:t>Citlivosť na zmenu ENPV</w:t>
      </w:r>
    </w:p>
    <w:p w14:paraId="3D174035" w14:textId="77777777" w:rsidR="001A24C3" w:rsidRDefault="001A24C3" w:rsidP="001A24C3">
      <w:pPr>
        <w:pStyle w:val="TextKoice0"/>
        <w:spacing w:after="240"/>
        <w:ind w:left="-142"/>
      </w:pPr>
      <w:r w:rsidRPr="000A41CE">
        <w:t>V prípade ekonomickej analýzy a teda vplyvu na ENPV existuj</w:t>
      </w:r>
      <w:r>
        <w:t>e v tomto variante 5 premenných</w:t>
      </w:r>
      <w:r w:rsidRPr="000A41CE">
        <w:t>, ktoré by mohli spôsobiť, že by projekt nebol prínosný z celospoločenského hľadiska a nebolo by ho možné vôbec realizovať. Ide investičné náklady, prevádzko</w:t>
      </w:r>
      <w:r>
        <w:t xml:space="preserve">vé náklady, úsporu času nákladnej dopravy, vlkm nákladnej dopravy a množstvo prepraveného tovaru v nákladnej doprave. </w:t>
      </w:r>
      <w:r w:rsidRPr="000A41CE">
        <w:t>Aby sa projekt sa ekonomicky nevhodným, museli byť jeho investičné náklady stúpnuť o</w:t>
      </w:r>
      <w:r>
        <w:t> 19,36</w:t>
      </w:r>
      <w:r w:rsidRPr="000A41CE">
        <w:t xml:space="preserve"> %, alebo prevádzkové výdavky klesnúť o</w:t>
      </w:r>
      <w:r>
        <w:t> 45,37</w:t>
      </w:r>
      <w:r w:rsidRPr="000A41CE">
        <w:t xml:space="preserve"> %, alebo úspora času </w:t>
      </w:r>
      <w:r>
        <w:t>v nákladnej doprave klesnúť o 18,01 %, alebo vlkm v nákladnej doprave klesnúť 20,50 %, alebo množstvo prepraveného tovaru klesnúť o 20,90 %</w:t>
      </w:r>
      <w:r w:rsidRPr="000A41CE">
        <w:t xml:space="preserve">. </w:t>
      </w:r>
    </w:p>
    <w:p w14:paraId="4006FE6E" w14:textId="4394FEE1" w:rsidR="001A24C3" w:rsidRPr="000A41CE" w:rsidRDefault="001A24C3" w:rsidP="007C0141">
      <w:pPr>
        <w:pStyle w:val="Popis"/>
        <w:keepNext/>
        <w:jc w:val="both"/>
      </w:pPr>
      <w:bookmarkStart w:id="419" w:name="_Toc83677967"/>
      <w:r w:rsidRPr="000A41CE">
        <w:t xml:space="preserve">Tabuľka </w:t>
      </w:r>
      <w:r w:rsidR="00091EB3">
        <w:rPr>
          <w:noProof/>
        </w:rPr>
        <w:t>96</w:t>
      </w:r>
      <w:r w:rsidRPr="000A41CE">
        <w:tab/>
        <w:t>Citlivosť vstupných premenných na ENPV</w:t>
      </w:r>
      <w:bookmarkEnd w:id="419"/>
    </w:p>
    <w:tbl>
      <w:tblPr>
        <w:tblW w:w="0" w:type="auto"/>
        <w:tblCellMar>
          <w:left w:w="70" w:type="dxa"/>
          <w:right w:w="70" w:type="dxa"/>
        </w:tblCellMar>
        <w:tblLook w:val="04A0" w:firstRow="1" w:lastRow="0" w:firstColumn="1" w:lastColumn="0" w:noHBand="0" w:noVBand="1"/>
      </w:tblPr>
      <w:tblGrid>
        <w:gridCol w:w="3475"/>
        <w:gridCol w:w="736"/>
        <w:gridCol w:w="594"/>
        <w:gridCol w:w="736"/>
      </w:tblGrid>
      <w:tr w:rsidR="001A24C3" w:rsidRPr="00DF3E8A" w14:paraId="26D4AF09" w14:textId="77777777" w:rsidTr="00300963">
        <w:trPr>
          <w:trHeight w:val="660"/>
        </w:trPr>
        <w:tc>
          <w:tcPr>
            <w:tcW w:w="0" w:type="auto"/>
            <w:tcBorders>
              <w:top w:val="single" w:sz="8" w:space="0" w:color="auto"/>
              <w:left w:val="single" w:sz="8" w:space="0" w:color="auto"/>
              <w:bottom w:val="nil"/>
              <w:right w:val="single" w:sz="8" w:space="0" w:color="auto"/>
            </w:tcBorders>
            <w:shd w:val="clear" w:color="000000" w:fill="B1A0C7"/>
            <w:noWrap/>
            <w:vAlign w:val="center"/>
            <w:hideMark/>
          </w:tcPr>
          <w:p w14:paraId="675B9F3F" w14:textId="77777777" w:rsidR="001A24C3" w:rsidRPr="00DF3E8A" w:rsidRDefault="001A24C3" w:rsidP="00300963">
            <w:pPr>
              <w:rPr>
                <w:rFonts w:ascii="Calibri" w:eastAsia="Times New Roman" w:hAnsi="Calibri" w:cs="Arial"/>
                <w:b/>
                <w:bCs/>
                <w:sz w:val="16"/>
                <w:szCs w:val="16"/>
                <w:lang w:eastAsia="sk-SK"/>
              </w:rPr>
            </w:pPr>
            <w:r w:rsidRPr="00DF3E8A">
              <w:rPr>
                <w:rFonts w:ascii="Calibri" w:eastAsia="Times New Roman" w:hAnsi="Calibri" w:cs="Arial"/>
                <w:b/>
                <w:bCs/>
                <w:sz w:val="16"/>
                <w:szCs w:val="16"/>
                <w:lang w:eastAsia="sk-SK"/>
              </w:rPr>
              <w:t>Zmena ENPV (% zmena)</w:t>
            </w:r>
          </w:p>
        </w:tc>
        <w:tc>
          <w:tcPr>
            <w:tcW w:w="0" w:type="auto"/>
            <w:tcBorders>
              <w:top w:val="single" w:sz="8" w:space="0" w:color="auto"/>
              <w:left w:val="nil"/>
              <w:bottom w:val="nil"/>
              <w:right w:val="single" w:sz="4" w:space="0" w:color="auto"/>
            </w:tcBorders>
            <w:shd w:val="clear" w:color="000000" w:fill="B1A0C7"/>
            <w:noWrap/>
            <w:vAlign w:val="center"/>
            <w:hideMark/>
          </w:tcPr>
          <w:p w14:paraId="40F91332" w14:textId="77777777" w:rsidR="001A24C3" w:rsidRPr="00DF3E8A" w:rsidRDefault="001A24C3" w:rsidP="00300963">
            <w:pPr>
              <w:jc w:val="center"/>
              <w:rPr>
                <w:rFonts w:ascii="Calibri" w:eastAsia="Times New Roman" w:hAnsi="Calibri" w:cs="Arial"/>
                <w:b/>
                <w:bCs/>
                <w:sz w:val="16"/>
                <w:szCs w:val="16"/>
                <w:lang w:eastAsia="sk-SK"/>
              </w:rPr>
            </w:pPr>
            <w:r w:rsidRPr="00DF3E8A">
              <w:rPr>
                <w:rFonts w:ascii="Calibri" w:eastAsia="Times New Roman" w:hAnsi="Calibri" w:cs="Arial"/>
                <w:b/>
                <w:bCs/>
                <w:sz w:val="16"/>
                <w:szCs w:val="16"/>
                <w:lang w:eastAsia="sk-SK"/>
              </w:rPr>
              <w:t>-1%</w:t>
            </w:r>
          </w:p>
        </w:tc>
        <w:tc>
          <w:tcPr>
            <w:tcW w:w="0" w:type="auto"/>
            <w:tcBorders>
              <w:top w:val="single" w:sz="8" w:space="0" w:color="auto"/>
              <w:left w:val="nil"/>
              <w:bottom w:val="nil"/>
              <w:right w:val="single" w:sz="4" w:space="0" w:color="auto"/>
            </w:tcBorders>
            <w:shd w:val="clear" w:color="000000" w:fill="B1A0C7"/>
            <w:noWrap/>
            <w:vAlign w:val="center"/>
            <w:hideMark/>
          </w:tcPr>
          <w:p w14:paraId="2E6240CE" w14:textId="77777777" w:rsidR="001A24C3" w:rsidRPr="00DF3E8A" w:rsidRDefault="001A24C3" w:rsidP="00300963">
            <w:pPr>
              <w:jc w:val="center"/>
              <w:rPr>
                <w:rFonts w:ascii="Calibri" w:eastAsia="Times New Roman" w:hAnsi="Calibri" w:cs="Arial"/>
                <w:b/>
                <w:bCs/>
                <w:sz w:val="16"/>
                <w:szCs w:val="16"/>
                <w:lang w:eastAsia="sk-SK"/>
              </w:rPr>
            </w:pPr>
            <w:r w:rsidRPr="00DF3E8A">
              <w:rPr>
                <w:rFonts w:ascii="Calibri" w:eastAsia="Times New Roman" w:hAnsi="Calibri" w:cs="Arial"/>
                <w:b/>
                <w:bCs/>
                <w:sz w:val="16"/>
                <w:szCs w:val="16"/>
                <w:lang w:eastAsia="sk-SK"/>
              </w:rPr>
              <w:t>0%</w:t>
            </w:r>
          </w:p>
        </w:tc>
        <w:tc>
          <w:tcPr>
            <w:tcW w:w="0" w:type="auto"/>
            <w:tcBorders>
              <w:top w:val="single" w:sz="8" w:space="0" w:color="auto"/>
              <w:left w:val="nil"/>
              <w:bottom w:val="nil"/>
              <w:right w:val="single" w:sz="4" w:space="0" w:color="auto"/>
            </w:tcBorders>
            <w:shd w:val="clear" w:color="000000" w:fill="B1A0C7"/>
            <w:noWrap/>
            <w:vAlign w:val="center"/>
            <w:hideMark/>
          </w:tcPr>
          <w:p w14:paraId="0A5CD7EF" w14:textId="77777777" w:rsidR="001A24C3" w:rsidRPr="00DF3E8A" w:rsidRDefault="001A24C3" w:rsidP="00300963">
            <w:pPr>
              <w:jc w:val="center"/>
              <w:rPr>
                <w:rFonts w:ascii="Calibri" w:eastAsia="Times New Roman" w:hAnsi="Calibri" w:cs="Arial"/>
                <w:b/>
                <w:bCs/>
                <w:sz w:val="16"/>
                <w:szCs w:val="16"/>
                <w:lang w:eastAsia="sk-SK"/>
              </w:rPr>
            </w:pPr>
            <w:r w:rsidRPr="00DF3E8A">
              <w:rPr>
                <w:rFonts w:ascii="Calibri" w:eastAsia="Times New Roman" w:hAnsi="Calibri" w:cs="Arial"/>
                <w:b/>
                <w:bCs/>
                <w:sz w:val="16"/>
                <w:szCs w:val="16"/>
                <w:lang w:eastAsia="sk-SK"/>
              </w:rPr>
              <w:t>1%</w:t>
            </w:r>
          </w:p>
        </w:tc>
      </w:tr>
      <w:tr w:rsidR="001A24C3" w:rsidRPr="00DF3E8A" w14:paraId="2C68DDA5" w14:textId="77777777" w:rsidTr="00300963">
        <w:trPr>
          <w:trHeight w:val="219"/>
        </w:trPr>
        <w:tc>
          <w:tcPr>
            <w:tcW w:w="0" w:type="auto"/>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484BC37C"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Investičné náklady</w:t>
            </w:r>
          </w:p>
        </w:tc>
        <w:tc>
          <w:tcPr>
            <w:tcW w:w="0" w:type="auto"/>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1D97565F"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8,089%</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51D94AAF"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1813030E"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-8,089%</w:t>
            </w:r>
          </w:p>
        </w:tc>
      </w:tr>
      <w:tr w:rsidR="001A24C3" w:rsidRPr="00DF3E8A" w14:paraId="65E5BBB5" w14:textId="77777777" w:rsidTr="00300963">
        <w:trPr>
          <w:trHeight w:val="27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E0BC733"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Prevádzkové náklady</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4E5DB93"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-3,152%</w:t>
            </w:r>
          </w:p>
        </w:tc>
        <w:tc>
          <w:tcPr>
            <w:tcW w:w="0" w:type="auto"/>
            <w:tcBorders>
              <w:top w:val="nil"/>
              <w:left w:val="nil"/>
              <w:bottom w:val="single" w:sz="4" w:space="0" w:color="auto"/>
              <w:right w:val="single" w:sz="4" w:space="0" w:color="auto"/>
            </w:tcBorders>
            <w:shd w:val="clear" w:color="auto" w:fill="auto"/>
            <w:noWrap/>
            <w:vAlign w:val="center"/>
            <w:hideMark/>
          </w:tcPr>
          <w:p w14:paraId="71256D64"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43E2911C"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3,152%</w:t>
            </w:r>
          </w:p>
        </w:tc>
      </w:tr>
      <w:tr w:rsidR="001A24C3" w:rsidRPr="00DF3E8A" w14:paraId="1851D96B" w14:textId="77777777" w:rsidTr="00300963">
        <w:trPr>
          <w:trHeight w:val="279"/>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95EF51B"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Úspora času - osobná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EDEB4C"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-0,195%</w:t>
            </w:r>
          </w:p>
        </w:tc>
        <w:tc>
          <w:tcPr>
            <w:tcW w:w="0" w:type="auto"/>
            <w:tcBorders>
              <w:top w:val="nil"/>
              <w:left w:val="nil"/>
              <w:bottom w:val="single" w:sz="4" w:space="0" w:color="auto"/>
              <w:right w:val="single" w:sz="4" w:space="0" w:color="auto"/>
            </w:tcBorders>
            <w:shd w:val="clear" w:color="auto" w:fill="auto"/>
            <w:noWrap/>
            <w:vAlign w:val="center"/>
            <w:hideMark/>
          </w:tcPr>
          <w:p w14:paraId="646877F5"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16CED86F"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0,195%</w:t>
            </w:r>
          </w:p>
        </w:tc>
      </w:tr>
      <w:tr w:rsidR="001A24C3" w:rsidRPr="00DF3E8A" w14:paraId="387A8A70" w14:textId="77777777" w:rsidTr="00300963">
        <w:trPr>
          <w:trHeight w:val="28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70E8F1A"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vlkm - osobná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49498E3"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-0,069%</w:t>
            </w:r>
          </w:p>
        </w:tc>
        <w:tc>
          <w:tcPr>
            <w:tcW w:w="0" w:type="auto"/>
            <w:tcBorders>
              <w:top w:val="nil"/>
              <w:left w:val="nil"/>
              <w:bottom w:val="single" w:sz="4" w:space="0" w:color="auto"/>
              <w:right w:val="single" w:sz="4" w:space="0" w:color="auto"/>
            </w:tcBorders>
            <w:shd w:val="clear" w:color="auto" w:fill="auto"/>
            <w:noWrap/>
            <w:vAlign w:val="center"/>
            <w:hideMark/>
          </w:tcPr>
          <w:p w14:paraId="73B9F808"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406D3441"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0,069%</w:t>
            </w:r>
          </w:p>
        </w:tc>
      </w:tr>
      <w:tr w:rsidR="001A24C3" w:rsidRPr="00DF3E8A" w14:paraId="0625B4B0" w14:textId="77777777" w:rsidTr="00300963">
        <w:trPr>
          <w:trHeight w:val="259"/>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01DC8F2"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vzkm - prevedená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1B2D916"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-0,215%</w:t>
            </w:r>
          </w:p>
        </w:tc>
        <w:tc>
          <w:tcPr>
            <w:tcW w:w="0" w:type="auto"/>
            <w:tcBorders>
              <w:top w:val="nil"/>
              <w:left w:val="nil"/>
              <w:bottom w:val="single" w:sz="4" w:space="0" w:color="auto"/>
              <w:right w:val="single" w:sz="4" w:space="0" w:color="auto"/>
            </w:tcBorders>
            <w:shd w:val="clear" w:color="auto" w:fill="auto"/>
            <w:noWrap/>
            <w:vAlign w:val="center"/>
            <w:hideMark/>
          </w:tcPr>
          <w:p w14:paraId="653EED6B"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3A270633"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0,215%</w:t>
            </w:r>
          </w:p>
        </w:tc>
      </w:tr>
      <w:tr w:rsidR="001A24C3" w:rsidRPr="00DF3E8A" w14:paraId="230C92A5" w14:textId="77777777" w:rsidTr="00300963">
        <w:trPr>
          <w:trHeight w:val="277"/>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F917576"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Úspora času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A54328B"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-4,811%</w:t>
            </w:r>
          </w:p>
        </w:tc>
        <w:tc>
          <w:tcPr>
            <w:tcW w:w="0" w:type="auto"/>
            <w:tcBorders>
              <w:top w:val="nil"/>
              <w:left w:val="nil"/>
              <w:bottom w:val="single" w:sz="4" w:space="0" w:color="auto"/>
              <w:right w:val="single" w:sz="4" w:space="0" w:color="auto"/>
            </w:tcBorders>
            <w:shd w:val="clear" w:color="auto" w:fill="auto"/>
            <w:noWrap/>
            <w:vAlign w:val="center"/>
            <w:hideMark/>
          </w:tcPr>
          <w:p w14:paraId="4B23CFF1"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37ED3B66"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4,811%</w:t>
            </w:r>
          </w:p>
        </w:tc>
      </w:tr>
      <w:tr w:rsidR="001A24C3" w:rsidRPr="00DF3E8A" w14:paraId="2DC7CF26" w14:textId="77777777" w:rsidTr="00300963">
        <w:trPr>
          <w:trHeight w:val="281"/>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4628E92"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vlkm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4044D95"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-4,887%</w:t>
            </w:r>
          </w:p>
        </w:tc>
        <w:tc>
          <w:tcPr>
            <w:tcW w:w="0" w:type="auto"/>
            <w:tcBorders>
              <w:top w:val="nil"/>
              <w:left w:val="nil"/>
              <w:bottom w:val="single" w:sz="4" w:space="0" w:color="auto"/>
              <w:right w:val="single" w:sz="4" w:space="0" w:color="auto"/>
            </w:tcBorders>
            <w:shd w:val="clear" w:color="auto" w:fill="auto"/>
            <w:noWrap/>
            <w:vAlign w:val="center"/>
            <w:hideMark/>
          </w:tcPr>
          <w:p w14:paraId="74211F19"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35B2F759"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4,887%</w:t>
            </w:r>
          </w:p>
        </w:tc>
      </w:tr>
      <w:tr w:rsidR="001A24C3" w:rsidRPr="00DF3E8A" w14:paraId="4EA73DCE" w14:textId="77777777" w:rsidTr="00300963">
        <w:trPr>
          <w:trHeight w:val="271"/>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562B906"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množstvo prepraveného tovaru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760FB51"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-4,811%</w:t>
            </w:r>
          </w:p>
        </w:tc>
        <w:tc>
          <w:tcPr>
            <w:tcW w:w="0" w:type="auto"/>
            <w:tcBorders>
              <w:top w:val="nil"/>
              <w:left w:val="nil"/>
              <w:bottom w:val="single" w:sz="4" w:space="0" w:color="auto"/>
              <w:right w:val="single" w:sz="4" w:space="0" w:color="auto"/>
            </w:tcBorders>
            <w:shd w:val="clear" w:color="auto" w:fill="auto"/>
            <w:noWrap/>
            <w:vAlign w:val="center"/>
            <w:hideMark/>
          </w:tcPr>
          <w:p w14:paraId="7E96079F"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5CAF5D9D"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4,811%</w:t>
            </w:r>
          </w:p>
        </w:tc>
      </w:tr>
      <w:tr w:rsidR="001A24C3" w:rsidRPr="00DF3E8A" w14:paraId="0318FAAF" w14:textId="77777777" w:rsidTr="00300963">
        <w:trPr>
          <w:trHeight w:val="275"/>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00FAE5A6" w14:textId="77777777" w:rsidR="001A24C3" w:rsidRPr="00DF3E8A" w:rsidRDefault="001A24C3" w:rsidP="00300963">
            <w:pPr>
              <w:rPr>
                <w:rFonts w:ascii="Calibri" w:eastAsia="Times New Roman" w:hAnsi="Calibri" w:cs="Arial"/>
                <w:sz w:val="16"/>
                <w:szCs w:val="16"/>
                <w:lang w:eastAsia="sk-SK"/>
              </w:rPr>
            </w:pPr>
            <w:r w:rsidRPr="00DF3E8A">
              <w:rPr>
                <w:rFonts w:ascii="Calibri" w:eastAsia="Times New Roman" w:hAnsi="Calibri" w:cs="Arial"/>
                <w:sz w:val="16"/>
                <w:szCs w:val="16"/>
                <w:lang w:eastAsia="sk-SK"/>
              </w:rPr>
              <w:t>Zostatková hodnota</w:t>
            </w:r>
          </w:p>
        </w:tc>
        <w:tc>
          <w:tcPr>
            <w:tcW w:w="0" w:type="auto"/>
            <w:tcBorders>
              <w:top w:val="nil"/>
              <w:left w:val="single" w:sz="4" w:space="0" w:color="auto"/>
              <w:bottom w:val="single" w:sz="8" w:space="0" w:color="auto"/>
              <w:right w:val="single" w:sz="4" w:space="0" w:color="auto"/>
            </w:tcBorders>
            <w:shd w:val="clear" w:color="auto" w:fill="auto"/>
            <w:noWrap/>
            <w:vAlign w:val="center"/>
            <w:hideMark/>
          </w:tcPr>
          <w:p w14:paraId="3448D4AB"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-0,516%</w:t>
            </w:r>
          </w:p>
        </w:tc>
        <w:tc>
          <w:tcPr>
            <w:tcW w:w="0" w:type="auto"/>
            <w:tcBorders>
              <w:top w:val="nil"/>
              <w:left w:val="nil"/>
              <w:bottom w:val="single" w:sz="8" w:space="0" w:color="auto"/>
              <w:right w:val="single" w:sz="4" w:space="0" w:color="auto"/>
            </w:tcBorders>
            <w:shd w:val="clear" w:color="auto" w:fill="auto"/>
            <w:noWrap/>
            <w:vAlign w:val="center"/>
            <w:hideMark/>
          </w:tcPr>
          <w:p w14:paraId="691362E9"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0,00%</w:t>
            </w:r>
          </w:p>
        </w:tc>
        <w:tc>
          <w:tcPr>
            <w:tcW w:w="0" w:type="auto"/>
            <w:tcBorders>
              <w:top w:val="nil"/>
              <w:left w:val="nil"/>
              <w:bottom w:val="single" w:sz="8" w:space="0" w:color="auto"/>
              <w:right w:val="single" w:sz="4" w:space="0" w:color="auto"/>
            </w:tcBorders>
            <w:shd w:val="clear" w:color="auto" w:fill="auto"/>
            <w:noWrap/>
            <w:vAlign w:val="center"/>
            <w:hideMark/>
          </w:tcPr>
          <w:p w14:paraId="27C6723B" w14:textId="77777777" w:rsidR="001A24C3" w:rsidRPr="00DF3E8A" w:rsidRDefault="001A24C3" w:rsidP="00300963">
            <w:pPr>
              <w:jc w:val="center"/>
              <w:rPr>
                <w:rFonts w:ascii="Arial" w:eastAsia="Times New Roman" w:hAnsi="Arial" w:cs="Arial"/>
                <w:color w:val="000000"/>
                <w:sz w:val="16"/>
                <w:szCs w:val="16"/>
                <w:lang w:eastAsia="sk-SK"/>
              </w:rPr>
            </w:pPr>
            <w:r w:rsidRPr="00DF3E8A">
              <w:rPr>
                <w:rFonts w:ascii="Arial" w:eastAsia="Times New Roman" w:hAnsi="Arial" w:cs="Arial"/>
                <w:color w:val="000000"/>
                <w:sz w:val="16"/>
                <w:szCs w:val="16"/>
                <w:lang w:eastAsia="sk-SK"/>
              </w:rPr>
              <w:t>0,516%</w:t>
            </w:r>
          </w:p>
        </w:tc>
      </w:tr>
    </w:tbl>
    <w:p w14:paraId="7055B65B" w14:textId="66D6BDD9" w:rsidR="001A24C3" w:rsidRDefault="001A24C3" w:rsidP="001A24C3"/>
    <w:p w14:paraId="573E1382" w14:textId="037F4EBA" w:rsidR="007C0141" w:rsidRDefault="007C0141" w:rsidP="001A24C3"/>
    <w:p w14:paraId="45FBE9A5" w14:textId="77777777" w:rsidR="007C0141" w:rsidRPr="000A41CE" w:rsidRDefault="007C0141" w:rsidP="001A24C3"/>
    <w:p w14:paraId="2341B667" w14:textId="2CC219EF" w:rsidR="001A24C3" w:rsidRPr="000A41CE" w:rsidRDefault="001A24C3" w:rsidP="007C0141">
      <w:pPr>
        <w:pStyle w:val="Popis"/>
        <w:keepNext/>
        <w:jc w:val="both"/>
      </w:pPr>
      <w:bookmarkStart w:id="420" w:name="_Toc83677968"/>
      <w:r w:rsidRPr="000A41CE">
        <w:lastRenderedPageBreak/>
        <w:t xml:space="preserve">Tabuľka </w:t>
      </w:r>
      <w:r w:rsidR="00091EB3">
        <w:rPr>
          <w:noProof/>
        </w:rPr>
        <w:t>97</w:t>
      </w:r>
      <w:r w:rsidRPr="000A41CE">
        <w:tab/>
        <w:t>Prepínacie hodnoty pri ENPV</w:t>
      </w:r>
      <w:bookmarkEnd w:id="420"/>
    </w:p>
    <w:tbl>
      <w:tblPr>
        <w:tblW w:w="0" w:type="auto"/>
        <w:tblCellMar>
          <w:left w:w="70" w:type="dxa"/>
          <w:right w:w="70" w:type="dxa"/>
        </w:tblCellMar>
        <w:tblLook w:val="04A0" w:firstRow="1" w:lastRow="0" w:firstColumn="1" w:lastColumn="0" w:noHBand="0" w:noVBand="1"/>
      </w:tblPr>
      <w:tblGrid>
        <w:gridCol w:w="3475"/>
        <w:gridCol w:w="871"/>
        <w:gridCol w:w="817"/>
        <w:gridCol w:w="3889"/>
      </w:tblGrid>
      <w:tr w:rsidR="001A24C3" w:rsidRPr="00DF31E7" w14:paraId="214A4C40" w14:textId="77777777" w:rsidTr="00300963">
        <w:trPr>
          <w:trHeight w:val="660"/>
        </w:trPr>
        <w:tc>
          <w:tcPr>
            <w:tcW w:w="0" w:type="auto"/>
            <w:tcBorders>
              <w:top w:val="single" w:sz="8" w:space="0" w:color="auto"/>
              <w:left w:val="single" w:sz="8" w:space="0" w:color="auto"/>
              <w:bottom w:val="nil"/>
              <w:right w:val="single" w:sz="8" w:space="0" w:color="auto"/>
            </w:tcBorders>
            <w:shd w:val="clear" w:color="000000" w:fill="B1A0C7"/>
            <w:noWrap/>
            <w:vAlign w:val="center"/>
            <w:hideMark/>
          </w:tcPr>
          <w:p w14:paraId="2AFF42D8" w14:textId="77777777" w:rsidR="001A24C3" w:rsidRPr="00DF31E7" w:rsidRDefault="001A24C3" w:rsidP="00300963">
            <w:pPr>
              <w:rPr>
                <w:rFonts w:ascii="Calibri" w:eastAsia="Times New Roman" w:hAnsi="Calibri" w:cs="Arial"/>
                <w:b/>
                <w:bCs/>
                <w:sz w:val="16"/>
                <w:szCs w:val="16"/>
                <w:lang w:eastAsia="sk-SK"/>
              </w:rPr>
            </w:pPr>
            <w:r w:rsidRPr="00DF31E7">
              <w:rPr>
                <w:rFonts w:ascii="Calibri" w:eastAsia="Times New Roman" w:hAnsi="Calibri" w:cs="Arial"/>
                <w:b/>
                <w:bCs/>
                <w:sz w:val="16"/>
                <w:szCs w:val="16"/>
                <w:lang w:eastAsia="sk-SK"/>
              </w:rPr>
              <w:t>Zmena ENPV (% zmena)</w:t>
            </w:r>
          </w:p>
        </w:tc>
        <w:tc>
          <w:tcPr>
            <w:tcW w:w="0" w:type="auto"/>
            <w:tcBorders>
              <w:top w:val="single" w:sz="8" w:space="0" w:color="auto"/>
              <w:left w:val="nil"/>
              <w:bottom w:val="nil"/>
              <w:right w:val="single" w:sz="4" w:space="0" w:color="auto"/>
            </w:tcBorders>
            <w:shd w:val="clear" w:color="000000" w:fill="B1A0C7"/>
            <w:vAlign w:val="center"/>
            <w:hideMark/>
          </w:tcPr>
          <w:p w14:paraId="1DB41F81" w14:textId="77777777" w:rsidR="001A24C3" w:rsidRPr="00DF31E7" w:rsidRDefault="001A24C3" w:rsidP="00300963">
            <w:pPr>
              <w:jc w:val="center"/>
              <w:rPr>
                <w:rFonts w:ascii="Calibri" w:eastAsia="Times New Roman" w:hAnsi="Calibri" w:cs="Arial"/>
                <w:b/>
                <w:bCs/>
                <w:sz w:val="16"/>
                <w:szCs w:val="16"/>
                <w:lang w:eastAsia="sk-SK"/>
              </w:rPr>
            </w:pPr>
            <w:r w:rsidRPr="00DF31E7">
              <w:rPr>
                <w:rFonts w:ascii="Calibri" w:eastAsia="Times New Roman" w:hAnsi="Calibri" w:cs="Arial"/>
                <w:b/>
                <w:bCs/>
                <w:sz w:val="16"/>
                <w:szCs w:val="16"/>
                <w:lang w:eastAsia="sk-SK"/>
              </w:rPr>
              <w:t>Kritická premenná</w:t>
            </w:r>
          </w:p>
        </w:tc>
        <w:tc>
          <w:tcPr>
            <w:tcW w:w="0" w:type="auto"/>
            <w:tcBorders>
              <w:top w:val="single" w:sz="8" w:space="0" w:color="auto"/>
              <w:left w:val="nil"/>
              <w:bottom w:val="nil"/>
              <w:right w:val="single" w:sz="8" w:space="0" w:color="auto"/>
            </w:tcBorders>
            <w:shd w:val="clear" w:color="000000" w:fill="B1A0C7"/>
            <w:noWrap/>
            <w:vAlign w:val="center"/>
            <w:hideMark/>
          </w:tcPr>
          <w:p w14:paraId="222952D6" w14:textId="77777777" w:rsidR="001A24C3" w:rsidRPr="00DF31E7" w:rsidRDefault="001A24C3" w:rsidP="00300963">
            <w:pPr>
              <w:jc w:val="center"/>
              <w:rPr>
                <w:rFonts w:ascii="Calibri" w:eastAsia="Times New Roman" w:hAnsi="Calibri" w:cs="Arial"/>
                <w:b/>
                <w:bCs/>
                <w:sz w:val="16"/>
                <w:szCs w:val="16"/>
                <w:lang w:eastAsia="sk-SK"/>
              </w:rPr>
            </w:pPr>
            <w:r w:rsidRPr="00DF31E7">
              <w:rPr>
                <w:rFonts w:ascii="Calibri" w:eastAsia="Times New Roman" w:hAnsi="Calibri" w:cs="Arial"/>
                <w:b/>
                <w:bCs/>
                <w:sz w:val="16"/>
                <w:szCs w:val="16"/>
                <w:lang w:eastAsia="sk-SK"/>
              </w:rPr>
              <w:t>ENPV &lt;= 0</w:t>
            </w:r>
          </w:p>
        </w:tc>
        <w:tc>
          <w:tcPr>
            <w:tcW w:w="0" w:type="auto"/>
            <w:tcBorders>
              <w:top w:val="single" w:sz="8" w:space="0" w:color="auto"/>
              <w:left w:val="nil"/>
              <w:bottom w:val="nil"/>
              <w:right w:val="single" w:sz="8" w:space="0" w:color="000000"/>
            </w:tcBorders>
            <w:shd w:val="clear" w:color="000000" w:fill="B1A0C7"/>
            <w:noWrap/>
            <w:vAlign w:val="center"/>
            <w:hideMark/>
          </w:tcPr>
          <w:p w14:paraId="265B8D59" w14:textId="77777777" w:rsidR="001A24C3" w:rsidRPr="00DF31E7" w:rsidRDefault="001A24C3" w:rsidP="00300963">
            <w:pPr>
              <w:jc w:val="center"/>
              <w:rPr>
                <w:rFonts w:ascii="Calibri" w:eastAsia="Times New Roman" w:hAnsi="Calibri" w:cs="Arial"/>
                <w:b/>
                <w:bCs/>
                <w:sz w:val="16"/>
                <w:szCs w:val="16"/>
                <w:lang w:eastAsia="sk-SK"/>
              </w:rPr>
            </w:pPr>
            <w:r w:rsidRPr="00DF31E7">
              <w:rPr>
                <w:rFonts w:ascii="Calibri" w:eastAsia="Times New Roman" w:hAnsi="Calibri" w:cs="Arial"/>
                <w:b/>
                <w:bCs/>
                <w:sz w:val="16"/>
                <w:szCs w:val="16"/>
                <w:lang w:eastAsia="sk-SK"/>
              </w:rPr>
              <w:t>Poznámka</w:t>
            </w:r>
          </w:p>
        </w:tc>
      </w:tr>
      <w:tr w:rsidR="001A24C3" w:rsidRPr="00DF31E7" w14:paraId="52388098" w14:textId="77777777" w:rsidTr="00300963">
        <w:trPr>
          <w:trHeight w:val="945"/>
        </w:trPr>
        <w:tc>
          <w:tcPr>
            <w:tcW w:w="0" w:type="auto"/>
            <w:tcBorders>
              <w:top w:val="single" w:sz="4" w:space="0" w:color="auto"/>
              <w:left w:val="single" w:sz="8" w:space="0" w:color="auto"/>
              <w:bottom w:val="single" w:sz="4" w:space="0" w:color="auto"/>
              <w:right w:val="nil"/>
            </w:tcBorders>
            <w:shd w:val="clear" w:color="auto" w:fill="auto"/>
            <w:noWrap/>
            <w:vAlign w:val="center"/>
            <w:hideMark/>
          </w:tcPr>
          <w:p w14:paraId="3A5C0094"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Investičné náklady</w:t>
            </w:r>
          </w:p>
        </w:tc>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768EF29F"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Áno</w:t>
            </w:r>
          </w:p>
        </w:tc>
        <w:tc>
          <w:tcPr>
            <w:tcW w:w="0" w:type="auto"/>
            <w:tcBorders>
              <w:top w:val="single" w:sz="8" w:space="0" w:color="auto"/>
              <w:left w:val="nil"/>
              <w:bottom w:val="single" w:sz="4" w:space="0" w:color="auto"/>
              <w:right w:val="single" w:sz="8" w:space="0" w:color="auto"/>
            </w:tcBorders>
            <w:shd w:val="clear" w:color="auto" w:fill="auto"/>
            <w:noWrap/>
            <w:vAlign w:val="center"/>
            <w:hideMark/>
          </w:tcPr>
          <w:p w14:paraId="64FEBB31"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19,36%</w:t>
            </w:r>
          </w:p>
        </w:tc>
        <w:tc>
          <w:tcPr>
            <w:tcW w:w="0" w:type="auto"/>
            <w:tcBorders>
              <w:top w:val="single" w:sz="8" w:space="0" w:color="auto"/>
              <w:left w:val="nil"/>
              <w:bottom w:val="single" w:sz="4" w:space="0" w:color="auto"/>
              <w:right w:val="single" w:sz="8" w:space="0" w:color="000000"/>
            </w:tcBorders>
            <w:shd w:val="clear" w:color="auto" w:fill="auto"/>
            <w:vAlign w:val="center"/>
            <w:hideMark/>
          </w:tcPr>
          <w:p w14:paraId="1B602357" w14:textId="77777777" w:rsidR="001A24C3" w:rsidRPr="00DF31E7" w:rsidRDefault="001A24C3" w:rsidP="00300963">
            <w:pPr>
              <w:rPr>
                <w:rFonts w:ascii="Arial" w:eastAsia="Times New Roman" w:hAnsi="Arial" w:cs="Arial"/>
                <w:sz w:val="16"/>
                <w:szCs w:val="16"/>
                <w:lang w:eastAsia="sk-SK"/>
              </w:rPr>
            </w:pPr>
            <w:r w:rsidRPr="00DF31E7">
              <w:rPr>
                <w:rFonts w:ascii="Arial" w:eastAsia="Times New Roman" w:hAnsi="Arial" w:cs="Arial"/>
                <w:sz w:val="16"/>
                <w:szCs w:val="16"/>
                <w:lang w:eastAsia="sk-SK"/>
              </w:rPr>
              <w:t>Nárast investičných nákladov v socio-ekonomickej analýze o 19,36%  by znamenal, že socio-ekonomické prínosy by sa dostali na 0 resp. aj na mínusovú hodnotu. Ide o menej pravdepodobný scenár avšak treba vziať do úvahy rast nákladov stavebných materiálov.</w:t>
            </w:r>
          </w:p>
        </w:tc>
      </w:tr>
      <w:tr w:rsidR="001A24C3" w:rsidRPr="00DF31E7" w14:paraId="66DA7DD2"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5CAA25B4"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Prevádzkové náklady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675461B"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5C0F39DF"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-45,37%</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4F2C0577" w14:textId="77777777" w:rsidR="001A24C3" w:rsidRPr="00DF31E7" w:rsidRDefault="001A24C3" w:rsidP="00300963">
            <w:pPr>
              <w:rPr>
                <w:rFonts w:ascii="Arial" w:eastAsia="Times New Roman" w:hAnsi="Arial" w:cs="Arial"/>
                <w:sz w:val="16"/>
                <w:szCs w:val="16"/>
                <w:lang w:eastAsia="sk-SK"/>
              </w:rPr>
            </w:pPr>
            <w:r w:rsidRPr="00DF31E7">
              <w:rPr>
                <w:rFonts w:ascii="Arial" w:eastAsia="Times New Roman" w:hAnsi="Arial" w:cs="Arial"/>
                <w:sz w:val="16"/>
                <w:szCs w:val="16"/>
                <w:lang w:eastAsia="sk-SK"/>
              </w:rPr>
              <w:t>Pokles úspory prevádzkových nákladov v socio-ekonomickej analýze o 45,37%  by znamenal, že socio-ekonomické prínosy by sa dostali na 0 resp. aj na mínusovú hodnotu. Ide o nereálny  scenár.</w:t>
            </w:r>
          </w:p>
        </w:tc>
      </w:tr>
      <w:tr w:rsidR="001A24C3" w:rsidRPr="00DF31E7" w14:paraId="2DF1E67A"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6719C817"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Úspora času - osobná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31DFC49"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106465DF"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76A4DE52" w14:textId="77777777" w:rsidR="001A24C3" w:rsidRPr="00DF31E7" w:rsidRDefault="001A24C3" w:rsidP="00300963">
            <w:pPr>
              <w:rPr>
                <w:rFonts w:ascii="Arial" w:eastAsia="Times New Roman" w:hAnsi="Arial" w:cs="Arial"/>
                <w:color w:val="FF0000"/>
                <w:sz w:val="16"/>
                <w:szCs w:val="16"/>
                <w:lang w:eastAsia="sk-SK"/>
              </w:rPr>
            </w:pPr>
            <w:r w:rsidRPr="00DF31E7">
              <w:rPr>
                <w:rFonts w:ascii="Arial" w:eastAsia="Times New Roman" w:hAnsi="Arial" w:cs="Arial"/>
                <w:color w:val="FF0000"/>
                <w:sz w:val="16"/>
                <w:szCs w:val="16"/>
                <w:lang w:eastAsia="sk-SK"/>
              </w:rPr>
              <w:t> </w:t>
            </w:r>
          </w:p>
        </w:tc>
      </w:tr>
      <w:tr w:rsidR="001A24C3" w:rsidRPr="00DF31E7" w14:paraId="447E7A09"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3423A55F"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vlkm - osobná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68BF930"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52E391CF"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7F5D9733" w14:textId="77777777" w:rsidR="001A24C3" w:rsidRPr="00DF31E7" w:rsidRDefault="001A24C3" w:rsidP="00300963">
            <w:pPr>
              <w:rPr>
                <w:rFonts w:ascii="Arial" w:eastAsia="Times New Roman" w:hAnsi="Arial" w:cs="Arial"/>
                <w:color w:val="FF0000"/>
                <w:sz w:val="16"/>
                <w:szCs w:val="16"/>
                <w:lang w:eastAsia="sk-SK"/>
              </w:rPr>
            </w:pPr>
            <w:r w:rsidRPr="00DF31E7">
              <w:rPr>
                <w:rFonts w:ascii="Arial" w:eastAsia="Times New Roman" w:hAnsi="Arial" w:cs="Arial"/>
                <w:color w:val="FF0000"/>
                <w:sz w:val="16"/>
                <w:szCs w:val="16"/>
                <w:lang w:eastAsia="sk-SK"/>
              </w:rPr>
              <w:t> </w:t>
            </w:r>
          </w:p>
        </w:tc>
      </w:tr>
      <w:tr w:rsidR="001A24C3" w:rsidRPr="00DF31E7" w14:paraId="00A4839C"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431C8482"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vzkm - prevedená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81455E1"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7F2F6CBB"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vAlign w:val="center"/>
            <w:hideMark/>
          </w:tcPr>
          <w:p w14:paraId="596B3386" w14:textId="77777777" w:rsidR="001A24C3" w:rsidRPr="00DF31E7" w:rsidRDefault="001A24C3" w:rsidP="00300963">
            <w:pPr>
              <w:rPr>
                <w:rFonts w:ascii="Arial" w:eastAsia="Times New Roman" w:hAnsi="Arial" w:cs="Arial"/>
                <w:color w:val="FF0000"/>
                <w:sz w:val="16"/>
                <w:szCs w:val="16"/>
                <w:lang w:eastAsia="sk-SK"/>
              </w:rPr>
            </w:pPr>
            <w:r w:rsidRPr="00DF31E7">
              <w:rPr>
                <w:rFonts w:ascii="Arial" w:eastAsia="Times New Roman" w:hAnsi="Arial" w:cs="Arial"/>
                <w:color w:val="FF0000"/>
                <w:sz w:val="16"/>
                <w:szCs w:val="16"/>
                <w:lang w:eastAsia="sk-SK"/>
              </w:rPr>
              <w:t> </w:t>
            </w:r>
          </w:p>
        </w:tc>
      </w:tr>
      <w:tr w:rsidR="001A24C3" w:rsidRPr="00DF31E7" w14:paraId="747ED8D0" w14:textId="77777777" w:rsidTr="00300963">
        <w:trPr>
          <w:trHeight w:val="1185"/>
        </w:trPr>
        <w:tc>
          <w:tcPr>
            <w:tcW w:w="0" w:type="auto"/>
            <w:tcBorders>
              <w:top w:val="nil"/>
              <w:left w:val="single" w:sz="8" w:space="0" w:color="auto"/>
              <w:bottom w:val="single" w:sz="4" w:space="0" w:color="auto"/>
              <w:right w:val="nil"/>
            </w:tcBorders>
            <w:shd w:val="clear" w:color="auto" w:fill="auto"/>
            <w:noWrap/>
            <w:vAlign w:val="center"/>
            <w:hideMark/>
          </w:tcPr>
          <w:p w14:paraId="4259A8AD"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Úspora času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4A8C6C0"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59DD60C8"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-18,01%</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1CD6B8DE" w14:textId="25A33E25" w:rsidR="001A24C3" w:rsidRPr="00DF31E7" w:rsidRDefault="001A24C3" w:rsidP="00300963">
            <w:pPr>
              <w:rPr>
                <w:rFonts w:ascii="Arial" w:eastAsia="Times New Roman" w:hAnsi="Arial" w:cs="Arial"/>
                <w:sz w:val="16"/>
                <w:szCs w:val="16"/>
                <w:lang w:eastAsia="sk-SK"/>
              </w:rPr>
            </w:pPr>
            <w:r w:rsidRPr="00DF31E7">
              <w:rPr>
                <w:rFonts w:ascii="Arial" w:eastAsia="Times New Roman" w:hAnsi="Arial" w:cs="Arial"/>
                <w:sz w:val="16"/>
                <w:szCs w:val="16"/>
                <w:lang w:eastAsia="sk-SK"/>
              </w:rPr>
              <w:t>Pokles úspory času nákladnej dopravy v socio-ekonomickej analýze o 18,01%  by znamenal, že socio-ekonomické prínosy by sa dostali na 0 resp. aj na mínusovú hodnotu. Realizácia projektu sa prejaví vo zvýšenej spoľahlivosti železničnej dopravy  a teda je málo pravdepodobné, že by došlo až k takému výraznému poklesu úspory času nákladnej dopravy avšak o</w:t>
            </w:r>
            <w:r w:rsidR="007C0141">
              <w:rPr>
                <w:rFonts w:ascii="Arial" w:eastAsia="Times New Roman" w:hAnsi="Arial" w:cs="Arial"/>
                <w:sz w:val="16"/>
                <w:szCs w:val="16"/>
                <w:lang w:eastAsia="sk-SK"/>
              </w:rPr>
              <w:t>pro</w:t>
            </w:r>
            <w:r w:rsidRPr="00DF31E7">
              <w:rPr>
                <w:rFonts w:ascii="Arial" w:eastAsia="Times New Roman" w:hAnsi="Arial" w:cs="Arial"/>
                <w:sz w:val="16"/>
                <w:szCs w:val="16"/>
                <w:lang w:eastAsia="sk-SK"/>
              </w:rPr>
              <w:t>ti variantu Optimalizácie trate je tu vyššie riziko vzhľadom nato, že rozsah prác je nižší.</w:t>
            </w:r>
          </w:p>
        </w:tc>
      </w:tr>
      <w:tr w:rsidR="001A24C3" w:rsidRPr="00DF31E7" w14:paraId="4249142F"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41509E4C"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vlkm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CD59177"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383A637D"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-20,50%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33078369" w14:textId="77777777" w:rsidR="001A24C3" w:rsidRPr="00DF31E7" w:rsidRDefault="001A24C3" w:rsidP="00300963">
            <w:pPr>
              <w:rPr>
                <w:rFonts w:ascii="Arial" w:eastAsia="Times New Roman" w:hAnsi="Arial" w:cs="Arial"/>
                <w:sz w:val="16"/>
                <w:szCs w:val="16"/>
                <w:lang w:eastAsia="sk-SK"/>
              </w:rPr>
            </w:pPr>
            <w:r w:rsidRPr="00DF31E7">
              <w:rPr>
                <w:rFonts w:ascii="Arial" w:eastAsia="Times New Roman" w:hAnsi="Arial" w:cs="Arial"/>
                <w:sz w:val="16"/>
                <w:szCs w:val="16"/>
                <w:lang w:eastAsia="sk-SK"/>
              </w:rPr>
              <w:t>Pokles množstva vlkm nákladnej dopravy v rámci  v socio-ekonomickej analýze o 20,50%  by znamenal, že socio-ekonomické prínosy by sa dostali na 0 resp. aj na mínusovú hodnotu. Železničná nákladná doprava predstavuje ekologický spôsob prepravy tovarov a predpokladá sa nárast jej významu v blízkej budúcnosti. Na základe uvedeného je teda  málo pravdepodobné, že by došlo až k takému poklesu a to aj v súvislosti s predpokladným zvýšeným záujmom o prepravu tovarov.</w:t>
            </w:r>
          </w:p>
        </w:tc>
      </w:tr>
      <w:tr w:rsidR="001A24C3" w:rsidRPr="00DF31E7" w14:paraId="6B332844"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08981C07"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množstvo prepraveného tovaru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E7800EC"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6CC84967" w14:textId="77777777" w:rsidR="001A24C3" w:rsidRPr="00DF31E7" w:rsidRDefault="001A24C3" w:rsidP="00300963">
            <w:pPr>
              <w:jc w:val="center"/>
              <w:rPr>
                <w:rFonts w:ascii="Arial" w:eastAsia="Times New Roman" w:hAnsi="Arial" w:cs="Arial"/>
                <w:b/>
                <w:bCs/>
                <w:sz w:val="16"/>
                <w:szCs w:val="16"/>
                <w:lang w:eastAsia="sk-SK"/>
              </w:rPr>
            </w:pPr>
            <w:r w:rsidRPr="00DF31E7">
              <w:rPr>
                <w:rFonts w:ascii="Arial" w:eastAsia="Times New Roman" w:hAnsi="Arial" w:cs="Arial"/>
                <w:b/>
                <w:bCs/>
                <w:sz w:val="16"/>
                <w:szCs w:val="16"/>
                <w:lang w:eastAsia="sk-SK"/>
              </w:rPr>
              <w:t>-20,90%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5AB4F54B" w14:textId="77777777" w:rsidR="001A24C3" w:rsidRPr="00DF31E7" w:rsidRDefault="001A24C3" w:rsidP="00300963">
            <w:pPr>
              <w:rPr>
                <w:rFonts w:ascii="Arial" w:eastAsia="Times New Roman" w:hAnsi="Arial" w:cs="Arial"/>
                <w:sz w:val="16"/>
                <w:szCs w:val="16"/>
                <w:lang w:eastAsia="sk-SK"/>
              </w:rPr>
            </w:pPr>
            <w:r w:rsidRPr="00DF31E7">
              <w:rPr>
                <w:rFonts w:ascii="Arial" w:eastAsia="Times New Roman" w:hAnsi="Arial" w:cs="Arial"/>
                <w:sz w:val="16"/>
                <w:szCs w:val="16"/>
                <w:lang w:eastAsia="sk-SK"/>
              </w:rPr>
              <w:t>Pokles množstva prepraveného tovaru v rámci  v socio-ekonomickej analýze o 20,90%  by znamenal, že socio-ekonomické prínosy by sa dostali na 0 resp. aj na mínusovú hodnotu. Železničná nákladná doprava predstavuje ekologický spôsob prepravy tovarov a predpokladá sa nárast jej významu v blízkej budúcnosti. Na základe uvedeného je teda  málo pravdepodobné, že by došlo až k takému poklesu prepravy tovarov.</w:t>
            </w:r>
          </w:p>
        </w:tc>
      </w:tr>
      <w:tr w:rsidR="001A24C3" w:rsidRPr="00DF31E7" w14:paraId="332E7D92" w14:textId="77777777" w:rsidTr="00300963">
        <w:trPr>
          <w:trHeight w:val="945"/>
        </w:trPr>
        <w:tc>
          <w:tcPr>
            <w:tcW w:w="0" w:type="auto"/>
            <w:tcBorders>
              <w:top w:val="nil"/>
              <w:left w:val="single" w:sz="8" w:space="0" w:color="auto"/>
              <w:bottom w:val="single" w:sz="8" w:space="0" w:color="auto"/>
              <w:right w:val="nil"/>
            </w:tcBorders>
            <w:shd w:val="clear" w:color="auto" w:fill="auto"/>
            <w:noWrap/>
            <w:vAlign w:val="center"/>
            <w:hideMark/>
          </w:tcPr>
          <w:p w14:paraId="249CB9BB"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Zostatková hodnota</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2B8E0CAF"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Nie</w:t>
            </w:r>
          </w:p>
        </w:tc>
        <w:tc>
          <w:tcPr>
            <w:tcW w:w="0" w:type="auto"/>
            <w:tcBorders>
              <w:top w:val="nil"/>
              <w:left w:val="nil"/>
              <w:bottom w:val="single" w:sz="8" w:space="0" w:color="auto"/>
              <w:right w:val="single" w:sz="8" w:space="0" w:color="auto"/>
            </w:tcBorders>
            <w:shd w:val="clear" w:color="auto" w:fill="auto"/>
            <w:noWrap/>
            <w:vAlign w:val="center"/>
            <w:hideMark/>
          </w:tcPr>
          <w:p w14:paraId="03894F93"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w:t>
            </w:r>
          </w:p>
        </w:tc>
        <w:tc>
          <w:tcPr>
            <w:tcW w:w="0" w:type="auto"/>
            <w:tcBorders>
              <w:top w:val="single" w:sz="4" w:space="0" w:color="auto"/>
              <w:left w:val="nil"/>
              <w:bottom w:val="single" w:sz="8" w:space="0" w:color="auto"/>
              <w:right w:val="single" w:sz="8" w:space="0" w:color="000000"/>
              <w:tl2br w:val="single" w:sz="4" w:space="0" w:color="auto"/>
              <w:tr2bl w:val="single" w:sz="4" w:space="0" w:color="auto"/>
            </w:tcBorders>
            <w:shd w:val="clear" w:color="auto" w:fill="auto"/>
            <w:vAlign w:val="center"/>
            <w:hideMark/>
          </w:tcPr>
          <w:p w14:paraId="45BE5E25" w14:textId="77777777" w:rsidR="001A24C3" w:rsidRPr="00DF31E7" w:rsidRDefault="001A24C3" w:rsidP="00300963">
            <w:pPr>
              <w:jc w:val="center"/>
              <w:rPr>
                <w:rFonts w:ascii="Arial" w:eastAsia="Times New Roman" w:hAnsi="Arial" w:cs="Arial"/>
                <w:color w:val="FF0000"/>
                <w:sz w:val="16"/>
                <w:szCs w:val="16"/>
                <w:lang w:eastAsia="sk-SK"/>
              </w:rPr>
            </w:pPr>
            <w:r w:rsidRPr="00DF31E7">
              <w:rPr>
                <w:rFonts w:ascii="Arial" w:eastAsia="Times New Roman" w:hAnsi="Arial" w:cs="Arial"/>
                <w:color w:val="FF0000"/>
                <w:sz w:val="16"/>
                <w:szCs w:val="16"/>
                <w:lang w:eastAsia="sk-SK"/>
              </w:rPr>
              <w:t> </w:t>
            </w:r>
          </w:p>
        </w:tc>
      </w:tr>
    </w:tbl>
    <w:p w14:paraId="1994127F" w14:textId="77777777" w:rsidR="001A24C3" w:rsidRPr="000A41CE" w:rsidRDefault="001A24C3" w:rsidP="001A24C3"/>
    <w:p w14:paraId="60965E69" w14:textId="77777777" w:rsidR="001A24C3" w:rsidRPr="000A41CE" w:rsidRDefault="001A24C3" w:rsidP="001A24C3">
      <w:pPr>
        <w:suppressAutoHyphens/>
      </w:pPr>
      <w:r w:rsidRPr="000A41CE">
        <w:br w:type="page"/>
      </w:r>
    </w:p>
    <w:p w14:paraId="03B0DEE7" w14:textId="32607148" w:rsidR="001A24C3" w:rsidRPr="000A41CE" w:rsidRDefault="001A24C3" w:rsidP="007C0141">
      <w:pPr>
        <w:pStyle w:val="Popis"/>
        <w:jc w:val="both"/>
      </w:pPr>
      <w:bookmarkStart w:id="421" w:name="_Toc83677999"/>
      <w:r w:rsidRPr="000A41CE">
        <w:lastRenderedPageBreak/>
        <w:t xml:space="preserve">Graf </w:t>
      </w:r>
      <w:r w:rsidRPr="000A41CE">
        <w:rPr>
          <w:noProof/>
        </w:rPr>
        <w:fldChar w:fldCharType="begin"/>
      </w:r>
      <w:r w:rsidRPr="000A41CE">
        <w:rPr>
          <w:noProof/>
        </w:rPr>
        <w:instrText xml:space="preserve"> SEQ Graf \* ARABIC </w:instrText>
      </w:r>
      <w:r w:rsidRPr="000A41CE">
        <w:rPr>
          <w:noProof/>
        </w:rPr>
        <w:fldChar w:fldCharType="separate"/>
      </w:r>
      <w:r w:rsidR="008208F3">
        <w:rPr>
          <w:noProof/>
        </w:rPr>
        <w:t>2</w:t>
      </w:r>
      <w:r w:rsidRPr="000A41CE">
        <w:rPr>
          <w:noProof/>
        </w:rPr>
        <w:fldChar w:fldCharType="end"/>
      </w:r>
      <w:r w:rsidRPr="000A41CE">
        <w:tab/>
        <w:t>Citlivosť vstupných premenných na ENPV</w:t>
      </w:r>
      <w:bookmarkEnd w:id="421"/>
    </w:p>
    <w:p w14:paraId="336407F4" w14:textId="77777777" w:rsidR="001A24C3" w:rsidRPr="000A41CE" w:rsidRDefault="001A24C3" w:rsidP="001A24C3">
      <w:r>
        <w:rPr>
          <w:noProof/>
          <w:lang w:eastAsia="sk-SK"/>
        </w:rPr>
        <w:drawing>
          <wp:inline distT="0" distB="0" distL="0" distR="0" wp14:anchorId="5DB3F547" wp14:editId="5BD59D5A">
            <wp:extent cx="5760720" cy="2872105"/>
            <wp:effectExtent l="0" t="0" r="11430" b="4445"/>
            <wp:docPr id="40" name="Graf 40">
              <a:extLst xmlns:a="http://schemas.openxmlformats.org/drawingml/2006/main">
                <a:ext uri="{FF2B5EF4-FFF2-40B4-BE49-F238E27FC236}">
                  <a16:creationId xmlns:a16="http://schemas.microsoft.com/office/drawing/2014/main" id="{DA7EE394-94A0-4E4B-AF7C-C833DA7C493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14:paraId="1F91F2C9" w14:textId="77777777" w:rsidR="001A24C3" w:rsidRPr="00DE3EA4" w:rsidRDefault="001A24C3" w:rsidP="001A24C3">
      <w:pPr>
        <w:ind w:firstLine="708"/>
        <w:rPr>
          <w:highlight w:val="yellow"/>
        </w:rPr>
      </w:pPr>
    </w:p>
    <w:p w14:paraId="3D1BC603" w14:textId="77777777" w:rsidR="001A24C3" w:rsidRPr="007C0141" w:rsidRDefault="001A24C3" w:rsidP="007C0141">
      <w:pPr>
        <w:pStyle w:val="Nadpis41"/>
        <w:ind w:left="1134" w:hanging="1134"/>
        <w:rPr>
          <w:color w:val="auto"/>
          <w:sz w:val="24"/>
          <w:szCs w:val="24"/>
        </w:rPr>
      </w:pPr>
      <w:bookmarkStart w:id="422" w:name="_Toc88653047"/>
      <w:r w:rsidRPr="007C0141">
        <w:rPr>
          <w:color w:val="auto"/>
          <w:sz w:val="24"/>
          <w:szCs w:val="24"/>
        </w:rPr>
        <w:t>Analýza scenárov</w:t>
      </w:r>
      <w:bookmarkEnd w:id="422"/>
    </w:p>
    <w:p w14:paraId="6D883562" w14:textId="77777777" w:rsidR="001A24C3" w:rsidRPr="000A41CE" w:rsidRDefault="001A24C3" w:rsidP="001A24C3">
      <w:pPr>
        <w:pStyle w:val="TextKoice0"/>
      </w:pPr>
      <w:r w:rsidRPr="000A41CE">
        <w:t>Keďže boli identifikované kritické premenné a hodnoty o koľko by sa museli zmeniť, aby bol projekt nerealizovateľný, boli namodelované aj tri scenáre:</w:t>
      </w:r>
    </w:p>
    <w:p w14:paraId="1D74D7B5" w14:textId="77777777" w:rsidR="001A24C3" w:rsidRPr="000A41CE" w:rsidRDefault="001A24C3" w:rsidP="001A24C3">
      <w:pPr>
        <w:pStyle w:val="ODRKY"/>
      </w:pPr>
      <w:r w:rsidRPr="000A41CE">
        <w:t>Pesimistický,</w:t>
      </w:r>
    </w:p>
    <w:p w14:paraId="2683EBD5" w14:textId="77777777" w:rsidR="001A24C3" w:rsidRPr="000A41CE" w:rsidRDefault="001A24C3" w:rsidP="001A24C3">
      <w:pPr>
        <w:pStyle w:val="ODRKY"/>
      </w:pPr>
      <w:r w:rsidRPr="000A41CE">
        <w:t>Realistický,</w:t>
      </w:r>
    </w:p>
    <w:p w14:paraId="2DFB233F" w14:textId="77777777" w:rsidR="001A24C3" w:rsidRPr="000A41CE" w:rsidRDefault="001A24C3" w:rsidP="001A24C3">
      <w:pPr>
        <w:pStyle w:val="ODRKY"/>
      </w:pPr>
      <w:r w:rsidRPr="000A41CE">
        <w:t>Optimistický.</w:t>
      </w:r>
    </w:p>
    <w:p w14:paraId="1683EBB3" w14:textId="77777777" w:rsidR="001A24C3" w:rsidRPr="000A41CE" w:rsidRDefault="001A24C3" w:rsidP="001A24C3">
      <w:pPr>
        <w:pStyle w:val="Odsekzoznamu"/>
        <w:spacing w:after="0" w:line="240" w:lineRule="auto"/>
        <w:jc w:val="both"/>
        <w:rPr>
          <w:rFonts w:ascii="Times New Roman" w:hAnsi="Times New Roman"/>
          <w:szCs w:val="24"/>
        </w:rPr>
      </w:pPr>
    </w:p>
    <w:p w14:paraId="5DF5F443" w14:textId="77777777" w:rsidR="001A24C3" w:rsidRPr="000A41CE" w:rsidRDefault="001A24C3" w:rsidP="001A24C3">
      <w:pPr>
        <w:pStyle w:val="TextKoice0"/>
        <w:spacing w:after="240"/>
      </w:pPr>
      <w:r w:rsidRPr="000A41CE">
        <w:t>Pri týchto scenároch boli určené teoretické hodnoty odchýlok jednotlivých premenných, pričom pozornosť sa sústredila predovšetkým na tie, ktoré boli identifikované ako citlivé a bol posúdený ich vplyv na výstupné ukazovatele finančnej a ekonomickej analýzy.</w:t>
      </w:r>
    </w:p>
    <w:p w14:paraId="3FA89E0F" w14:textId="77777777" w:rsidR="001A24C3" w:rsidRPr="000A41CE" w:rsidRDefault="001A24C3" w:rsidP="001A24C3">
      <w:pPr>
        <w:pStyle w:val="TextKoice0"/>
        <w:spacing w:after="240"/>
      </w:pPr>
      <w:r w:rsidRPr="000A41CE">
        <w:t>V žiadnom zo stanovených scenárov neprichádza k v rámci finančnej analýzy k situácií, že by bol projekt samofinancovateľný. V prípade ekonomickej analýzy sú hodnoty ERR stále nad úrovňou diskontnej sadzby</w:t>
      </w:r>
      <w:r>
        <w:t xml:space="preserve"> okrem </w:t>
      </w:r>
      <w:r w:rsidRPr="000A41CE">
        <w:t>pesimistického scenára</w:t>
      </w:r>
      <w:r>
        <w:t>.</w:t>
      </w:r>
      <w:r w:rsidRPr="000A41CE">
        <w:t xml:space="preserve"> </w:t>
      </w:r>
    </w:p>
    <w:p w14:paraId="42C4789F" w14:textId="77777777" w:rsidR="001A24C3" w:rsidRPr="000A41CE" w:rsidRDefault="001A24C3" w:rsidP="001A24C3">
      <w:pPr>
        <w:suppressAutoHyphens/>
        <w:rPr>
          <w:rFonts w:ascii="Calibri" w:eastAsia="Calibri" w:hAnsi="Calibri" w:cs="Calibri"/>
          <w:lang w:eastAsia="sk-SK" w:bidi="sk-SK"/>
        </w:rPr>
      </w:pPr>
      <w:r w:rsidRPr="000A41CE">
        <w:br w:type="page"/>
      </w:r>
    </w:p>
    <w:p w14:paraId="06543712" w14:textId="5CFA5396" w:rsidR="001A24C3" w:rsidRPr="000A41CE" w:rsidRDefault="001A24C3" w:rsidP="007C0141">
      <w:pPr>
        <w:pStyle w:val="Popis"/>
        <w:keepNext/>
        <w:jc w:val="both"/>
      </w:pPr>
      <w:bookmarkStart w:id="423" w:name="_Toc83677969"/>
      <w:r w:rsidRPr="000A41CE">
        <w:lastRenderedPageBreak/>
        <w:t xml:space="preserve">Tabuľka </w:t>
      </w:r>
      <w:r w:rsidR="00091EB3">
        <w:rPr>
          <w:noProof/>
        </w:rPr>
        <w:t>98</w:t>
      </w:r>
      <w:r w:rsidRPr="000A41CE">
        <w:tab/>
        <w:t>Analýza scenárov a jej dopad na finančnú analýzu</w:t>
      </w:r>
      <w:bookmarkEnd w:id="423"/>
    </w:p>
    <w:tbl>
      <w:tblPr>
        <w:tblW w:w="0" w:type="auto"/>
        <w:tblCellMar>
          <w:left w:w="70" w:type="dxa"/>
          <w:right w:w="70" w:type="dxa"/>
        </w:tblCellMar>
        <w:tblLook w:val="04A0" w:firstRow="1" w:lastRow="0" w:firstColumn="1" w:lastColumn="0" w:noHBand="0" w:noVBand="1"/>
      </w:tblPr>
      <w:tblGrid>
        <w:gridCol w:w="1076"/>
        <w:gridCol w:w="995"/>
        <w:gridCol w:w="995"/>
        <w:gridCol w:w="995"/>
      </w:tblGrid>
      <w:tr w:rsidR="001A24C3" w:rsidRPr="00DF31E7" w14:paraId="27AAC8BA" w14:textId="77777777" w:rsidTr="00300963">
        <w:trPr>
          <w:trHeight w:val="4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67D14FB4" w14:textId="77777777" w:rsidR="001A24C3" w:rsidRPr="00DF31E7" w:rsidRDefault="001A24C3" w:rsidP="00300963">
            <w:pPr>
              <w:jc w:val="center"/>
              <w:rPr>
                <w:rFonts w:ascii="Calibri" w:eastAsia="Times New Roman" w:hAnsi="Calibri" w:cs="Arial"/>
                <w:b/>
                <w:bCs/>
                <w:sz w:val="16"/>
                <w:szCs w:val="16"/>
                <w:lang w:eastAsia="sk-SK"/>
              </w:rPr>
            </w:pPr>
            <w:r w:rsidRPr="00DF31E7">
              <w:rPr>
                <w:rFonts w:ascii="Calibri" w:eastAsia="Times New Roman" w:hAnsi="Calibri" w:cs="Arial"/>
                <w:b/>
                <w:bCs/>
                <w:sz w:val="16"/>
                <w:szCs w:val="16"/>
                <w:lang w:eastAsia="sk-SK"/>
              </w:rPr>
              <w:t>Scenár</w:t>
            </w:r>
          </w:p>
        </w:tc>
        <w:tc>
          <w:tcPr>
            <w:tcW w:w="0" w:type="auto"/>
            <w:tcBorders>
              <w:top w:val="single" w:sz="8" w:space="0" w:color="auto"/>
              <w:left w:val="nil"/>
              <w:bottom w:val="single" w:sz="8" w:space="0" w:color="auto"/>
              <w:right w:val="nil"/>
            </w:tcBorders>
            <w:shd w:val="clear" w:color="000000" w:fill="0070C0"/>
            <w:vAlign w:val="center"/>
            <w:hideMark/>
          </w:tcPr>
          <w:p w14:paraId="63EBA5FF" w14:textId="77777777" w:rsidR="001A24C3" w:rsidRPr="00DF31E7" w:rsidRDefault="001A24C3" w:rsidP="00300963">
            <w:pPr>
              <w:jc w:val="center"/>
              <w:rPr>
                <w:rFonts w:ascii="Calibri" w:eastAsia="Times New Roman" w:hAnsi="Calibri" w:cs="Arial"/>
                <w:color w:val="FFFFFF"/>
                <w:sz w:val="16"/>
                <w:szCs w:val="16"/>
                <w:lang w:eastAsia="sk-SK"/>
              </w:rPr>
            </w:pPr>
            <w:r w:rsidRPr="00DF31E7">
              <w:rPr>
                <w:rFonts w:ascii="Calibri" w:eastAsia="Times New Roman" w:hAnsi="Calibri" w:cs="Arial"/>
                <w:color w:val="FFFFFF"/>
                <w:sz w:val="16"/>
                <w:szCs w:val="16"/>
                <w:lang w:eastAsia="sk-SK"/>
              </w:rPr>
              <w:t xml:space="preserve">Pesimistický </w:t>
            </w:r>
          </w:p>
        </w:tc>
        <w:tc>
          <w:tcPr>
            <w:tcW w:w="0" w:type="auto"/>
            <w:tcBorders>
              <w:top w:val="single" w:sz="8" w:space="0" w:color="auto"/>
              <w:left w:val="single" w:sz="8" w:space="0" w:color="auto"/>
              <w:bottom w:val="single" w:sz="8" w:space="0" w:color="auto"/>
              <w:right w:val="nil"/>
            </w:tcBorders>
            <w:shd w:val="clear" w:color="000000" w:fill="C0504D"/>
            <w:vAlign w:val="center"/>
            <w:hideMark/>
          </w:tcPr>
          <w:p w14:paraId="624C2045" w14:textId="77777777" w:rsidR="001A24C3" w:rsidRPr="00DF31E7" w:rsidRDefault="001A24C3" w:rsidP="00300963">
            <w:pPr>
              <w:jc w:val="center"/>
              <w:rPr>
                <w:rFonts w:ascii="Calibri" w:eastAsia="Times New Roman" w:hAnsi="Calibri" w:cs="Arial"/>
                <w:color w:val="FFFFFF"/>
                <w:sz w:val="16"/>
                <w:szCs w:val="16"/>
                <w:lang w:eastAsia="sk-SK"/>
              </w:rPr>
            </w:pPr>
            <w:r w:rsidRPr="00DF31E7">
              <w:rPr>
                <w:rFonts w:ascii="Calibri" w:eastAsia="Times New Roman" w:hAnsi="Calibri" w:cs="Arial"/>
                <w:color w:val="FFFFFF"/>
                <w:sz w:val="16"/>
                <w:szCs w:val="16"/>
                <w:lang w:eastAsia="sk-SK"/>
              </w:rPr>
              <w:t xml:space="preserve">Realistický </w:t>
            </w:r>
          </w:p>
        </w:tc>
        <w:tc>
          <w:tcPr>
            <w:tcW w:w="0" w:type="auto"/>
            <w:tcBorders>
              <w:top w:val="single" w:sz="8" w:space="0" w:color="auto"/>
              <w:left w:val="single" w:sz="8" w:space="0" w:color="auto"/>
              <w:bottom w:val="single" w:sz="8" w:space="0" w:color="auto"/>
              <w:right w:val="single" w:sz="8" w:space="0" w:color="auto"/>
            </w:tcBorders>
            <w:shd w:val="clear" w:color="000000" w:fill="76933C"/>
            <w:vAlign w:val="center"/>
            <w:hideMark/>
          </w:tcPr>
          <w:p w14:paraId="1D7EE1D7" w14:textId="77777777" w:rsidR="001A24C3" w:rsidRPr="00DF31E7" w:rsidRDefault="001A24C3" w:rsidP="00300963">
            <w:pPr>
              <w:jc w:val="center"/>
              <w:rPr>
                <w:rFonts w:ascii="Calibri" w:eastAsia="Times New Roman" w:hAnsi="Calibri" w:cs="Arial"/>
                <w:color w:val="FFFFFF"/>
                <w:sz w:val="16"/>
                <w:szCs w:val="16"/>
                <w:lang w:eastAsia="sk-SK"/>
              </w:rPr>
            </w:pPr>
            <w:r w:rsidRPr="00DF31E7">
              <w:rPr>
                <w:rFonts w:ascii="Calibri" w:eastAsia="Times New Roman" w:hAnsi="Calibri" w:cs="Arial"/>
                <w:color w:val="FFFFFF"/>
                <w:sz w:val="16"/>
                <w:szCs w:val="16"/>
                <w:lang w:eastAsia="sk-SK"/>
              </w:rPr>
              <w:t xml:space="preserve">Optimistický </w:t>
            </w:r>
          </w:p>
        </w:tc>
      </w:tr>
      <w:tr w:rsidR="001A24C3" w:rsidRPr="00DF31E7" w14:paraId="27CE71AE" w14:textId="77777777" w:rsidTr="00300963">
        <w:trPr>
          <w:trHeight w:val="405"/>
        </w:trPr>
        <w:tc>
          <w:tcPr>
            <w:tcW w:w="0" w:type="auto"/>
            <w:tcBorders>
              <w:top w:val="nil"/>
              <w:left w:val="single" w:sz="8" w:space="0" w:color="auto"/>
              <w:bottom w:val="single" w:sz="4" w:space="0" w:color="auto"/>
              <w:right w:val="nil"/>
            </w:tcBorders>
            <w:shd w:val="clear" w:color="auto" w:fill="auto"/>
            <w:noWrap/>
            <w:vAlign w:val="center"/>
            <w:hideMark/>
          </w:tcPr>
          <w:p w14:paraId="5DE35652"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 xml:space="preserve">FRR/C [%] </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5735DF4"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-10,07%</w:t>
            </w:r>
          </w:p>
        </w:tc>
        <w:tc>
          <w:tcPr>
            <w:tcW w:w="0" w:type="auto"/>
            <w:tcBorders>
              <w:top w:val="nil"/>
              <w:left w:val="nil"/>
              <w:bottom w:val="single" w:sz="4" w:space="0" w:color="auto"/>
              <w:right w:val="single" w:sz="4" w:space="0" w:color="auto"/>
            </w:tcBorders>
            <w:shd w:val="clear" w:color="auto" w:fill="auto"/>
            <w:noWrap/>
            <w:vAlign w:val="center"/>
            <w:hideMark/>
          </w:tcPr>
          <w:p w14:paraId="65E8557F"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-9,54%</w:t>
            </w:r>
          </w:p>
        </w:tc>
        <w:tc>
          <w:tcPr>
            <w:tcW w:w="0" w:type="auto"/>
            <w:tcBorders>
              <w:top w:val="nil"/>
              <w:left w:val="nil"/>
              <w:bottom w:val="single" w:sz="4" w:space="0" w:color="auto"/>
              <w:right w:val="single" w:sz="8" w:space="0" w:color="auto"/>
            </w:tcBorders>
            <w:shd w:val="clear" w:color="auto" w:fill="auto"/>
            <w:noWrap/>
            <w:vAlign w:val="center"/>
            <w:hideMark/>
          </w:tcPr>
          <w:p w14:paraId="1D24CCB8"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-8,47%</w:t>
            </w:r>
          </w:p>
        </w:tc>
      </w:tr>
      <w:tr w:rsidR="001A24C3" w:rsidRPr="00DF31E7" w14:paraId="6740C6BD" w14:textId="77777777" w:rsidTr="00300963">
        <w:trPr>
          <w:trHeight w:val="405"/>
        </w:trPr>
        <w:tc>
          <w:tcPr>
            <w:tcW w:w="0" w:type="auto"/>
            <w:tcBorders>
              <w:top w:val="nil"/>
              <w:left w:val="single" w:sz="8" w:space="0" w:color="auto"/>
              <w:bottom w:val="single" w:sz="8" w:space="0" w:color="auto"/>
              <w:right w:val="nil"/>
            </w:tcBorders>
            <w:shd w:val="clear" w:color="auto" w:fill="auto"/>
            <w:noWrap/>
            <w:vAlign w:val="center"/>
            <w:hideMark/>
          </w:tcPr>
          <w:p w14:paraId="35EBFAF3"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FNPV/C  [EUR]</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90714D8"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-97 323 060</w:t>
            </w:r>
          </w:p>
        </w:tc>
        <w:tc>
          <w:tcPr>
            <w:tcW w:w="0" w:type="auto"/>
            <w:tcBorders>
              <w:top w:val="nil"/>
              <w:left w:val="nil"/>
              <w:bottom w:val="single" w:sz="8" w:space="0" w:color="auto"/>
              <w:right w:val="nil"/>
            </w:tcBorders>
            <w:shd w:val="clear" w:color="auto" w:fill="auto"/>
            <w:noWrap/>
            <w:vAlign w:val="center"/>
            <w:hideMark/>
          </w:tcPr>
          <w:p w14:paraId="5FB770C4"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-86 162 844</w:t>
            </w:r>
          </w:p>
        </w:tc>
        <w:tc>
          <w:tcPr>
            <w:tcW w:w="0" w:type="auto"/>
            <w:tcBorders>
              <w:top w:val="nil"/>
              <w:left w:val="single" w:sz="4" w:space="0" w:color="auto"/>
              <w:bottom w:val="single" w:sz="8" w:space="0" w:color="auto"/>
              <w:right w:val="single" w:sz="8" w:space="0" w:color="auto"/>
            </w:tcBorders>
            <w:shd w:val="clear" w:color="auto" w:fill="auto"/>
            <w:noWrap/>
            <w:vAlign w:val="center"/>
            <w:hideMark/>
          </w:tcPr>
          <w:p w14:paraId="1B6E084A"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-64 015 684</w:t>
            </w:r>
          </w:p>
        </w:tc>
      </w:tr>
    </w:tbl>
    <w:p w14:paraId="3B1521EB" w14:textId="77777777" w:rsidR="001A24C3" w:rsidRPr="000A41CE" w:rsidRDefault="001A24C3" w:rsidP="001A24C3"/>
    <w:p w14:paraId="34C3055F" w14:textId="6D8F0FD1" w:rsidR="001A24C3" w:rsidRPr="000A41CE" w:rsidRDefault="001A24C3" w:rsidP="007C0141">
      <w:pPr>
        <w:pStyle w:val="Popis"/>
        <w:keepNext/>
        <w:jc w:val="both"/>
      </w:pPr>
      <w:bookmarkStart w:id="424" w:name="_Toc83677970"/>
      <w:r w:rsidRPr="000A41CE">
        <w:t xml:space="preserve">Tabuľka </w:t>
      </w:r>
      <w:r w:rsidR="00091EB3">
        <w:t>99</w:t>
      </w:r>
      <w:r w:rsidRPr="000A41CE">
        <w:tab/>
        <w:t>Analýza scenárov a jej dopad na ekonomickú analýzu</w:t>
      </w:r>
      <w:bookmarkEnd w:id="424"/>
    </w:p>
    <w:tbl>
      <w:tblPr>
        <w:tblW w:w="0" w:type="auto"/>
        <w:tblCellMar>
          <w:left w:w="70" w:type="dxa"/>
          <w:right w:w="70" w:type="dxa"/>
        </w:tblCellMar>
        <w:tblLook w:val="04A0" w:firstRow="1" w:lastRow="0" w:firstColumn="1" w:lastColumn="0" w:noHBand="0" w:noVBand="1"/>
      </w:tblPr>
      <w:tblGrid>
        <w:gridCol w:w="933"/>
        <w:gridCol w:w="932"/>
        <w:gridCol w:w="941"/>
        <w:gridCol w:w="951"/>
      </w:tblGrid>
      <w:tr w:rsidR="001A24C3" w:rsidRPr="00DF31E7" w14:paraId="73F0EE1C" w14:textId="77777777" w:rsidTr="00300963">
        <w:trPr>
          <w:trHeight w:val="4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38B1CE8D" w14:textId="77777777" w:rsidR="001A24C3" w:rsidRPr="00DF31E7" w:rsidRDefault="001A24C3" w:rsidP="00300963">
            <w:pPr>
              <w:jc w:val="center"/>
              <w:rPr>
                <w:rFonts w:ascii="Calibri" w:eastAsia="Times New Roman" w:hAnsi="Calibri" w:cs="Arial"/>
                <w:b/>
                <w:bCs/>
                <w:sz w:val="16"/>
                <w:szCs w:val="16"/>
                <w:lang w:eastAsia="sk-SK"/>
              </w:rPr>
            </w:pPr>
            <w:r w:rsidRPr="00DF31E7">
              <w:rPr>
                <w:rFonts w:ascii="Calibri" w:eastAsia="Times New Roman" w:hAnsi="Calibri" w:cs="Arial"/>
                <w:b/>
                <w:bCs/>
                <w:sz w:val="16"/>
                <w:szCs w:val="16"/>
                <w:lang w:eastAsia="sk-SK"/>
              </w:rPr>
              <w:t>Scenár</w:t>
            </w:r>
          </w:p>
        </w:tc>
        <w:tc>
          <w:tcPr>
            <w:tcW w:w="0" w:type="auto"/>
            <w:tcBorders>
              <w:top w:val="single" w:sz="8" w:space="0" w:color="auto"/>
              <w:left w:val="nil"/>
              <w:bottom w:val="single" w:sz="8" w:space="0" w:color="auto"/>
              <w:right w:val="nil"/>
            </w:tcBorders>
            <w:shd w:val="clear" w:color="000000" w:fill="0070C0"/>
            <w:vAlign w:val="center"/>
            <w:hideMark/>
          </w:tcPr>
          <w:p w14:paraId="184DC42D" w14:textId="77777777" w:rsidR="001A24C3" w:rsidRPr="00DF31E7" w:rsidRDefault="001A24C3" w:rsidP="00300963">
            <w:pPr>
              <w:jc w:val="center"/>
              <w:rPr>
                <w:rFonts w:ascii="Calibri" w:eastAsia="Times New Roman" w:hAnsi="Calibri" w:cs="Arial"/>
                <w:color w:val="FFFFFF"/>
                <w:sz w:val="16"/>
                <w:szCs w:val="16"/>
                <w:lang w:eastAsia="sk-SK"/>
              </w:rPr>
            </w:pPr>
            <w:r w:rsidRPr="00DF31E7">
              <w:rPr>
                <w:rFonts w:ascii="Calibri" w:eastAsia="Times New Roman" w:hAnsi="Calibri" w:cs="Arial"/>
                <w:color w:val="FFFFFF"/>
                <w:sz w:val="16"/>
                <w:szCs w:val="16"/>
                <w:lang w:eastAsia="sk-SK"/>
              </w:rPr>
              <w:t xml:space="preserve">Pesimistický </w:t>
            </w:r>
          </w:p>
        </w:tc>
        <w:tc>
          <w:tcPr>
            <w:tcW w:w="0" w:type="auto"/>
            <w:tcBorders>
              <w:top w:val="single" w:sz="8" w:space="0" w:color="auto"/>
              <w:left w:val="single" w:sz="8" w:space="0" w:color="auto"/>
              <w:bottom w:val="single" w:sz="8" w:space="0" w:color="auto"/>
              <w:right w:val="nil"/>
            </w:tcBorders>
            <w:shd w:val="clear" w:color="000000" w:fill="C0504D"/>
            <w:vAlign w:val="center"/>
            <w:hideMark/>
          </w:tcPr>
          <w:p w14:paraId="7A6BBABA" w14:textId="77777777" w:rsidR="001A24C3" w:rsidRPr="00DF31E7" w:rsidRDefault="001A24C3" w:rsidP="00300963">
            <w:pPr>
              <w:jc w:val="center"/>
              <w:rPr>
                <w:rFonts w:ascii="Calibri" w:eastAsia="Times New Roman" w:hAnsi="Calibri" w:cs="Arial"/>
                <w:color w:val="FFFFFF"/>
                <w:sz w:val="16"/>
                <w:szCs w:val="16"/>
                <w:lang w:eastAsia="sk-SK"/>
              </w:rPr>
            </w:pPr>
            <w:r w:rsidRPr="00DF31E7">
              <w:rPr>
                <w:rFonts w:ascii="Calibri" w:eastAsia="Times New Roman" w:hAnsi="Calibri" w:cs="Arial"/>
                <w:color w:val="FFFFFF"/>
                <w:sz w:val="16"/>
                <w:szCs w:val="16"/>
                <w:lang w:eastAsia="sk-SK"/>
              </w:rPr>
              <w:t xml:space="preserve">Realistický </w:t>
            </w:r>
          </w:p>
        </w:tc>
        <w:tc>
          <w:tcPr>
            <w:tcW w:w="0" w:type="auto"/>
            <w:tcBorders>
              <w:top w:val="single" w:sz="8" w:space="0" w:color="auto"/>
              <w:left w:val="single" w:sz="8" w:space="0" w:color="auto"/>
              <w:bottom w:val="single" w:sz="8" w:space="0" w:color="auto"/>
              <w:right w:val="single" w:sz="8" w:space="0" w:color="auto"/>
            </w:tcBorders>
            <w:shd w:val="clear" w:color="000000" w:fill="76933C"/>
            <w:vAlign w:val="center"/>
            <w:hideMark/>
          </w:tcPr>
          <w:p w14:paraId="11E75D3F" w14:textId="77777777" w:rsidR="001A24C3" w:rsidRPr="00DF31E7" w:rsidRDefault="001A24C3" w:rsidP="00300963">
            <w:pPr>
              <w:jc w:val="center"/>
              <w:rPr>
                <w:rFonts w:ascii="Calibri" w:eastAsia="Times New Roman" w:hAnsi="Calibri" w:cs="Arial"/>
                <w:color w:val="FFFFFF"/>
                <w:sz w:val="16"/>
                <w:szCs w:val="16"/>
                <w:lang w:eastAsia="sk-SK"/>
              </w:rPr>
            </w:pPr>
            <w:r w:rsidRPr="00DF31E7">
              <w:rPr>
                <w:rFonts w:ascii="Calibri" w:eastAsia="Times New Roman" w:hAnsi="Calibri" w:cs="Arial"/>
                <w:color w:val="FFFFFF"/>
                <w:sz w:val="16"/>
                <w:szCs w:val="16"/>
                <w:lang w:eastAsia="sk-SK"/>
              </w:rPr>
              <w:t xml:space="preserve">Optimistický </w:t>
            </w:r>
          </w:p>
        </w:tc>
      </w:tr>
      <w:tr w:rsidR="001A24C3" w:rsidRPr="00DF31E7" w14:paraId="5635E700" w14:textId="77777777" w:rsidTr="00300963">
        <w:trPr>
          <w:trHeight w:val="405"/>
        </w:trPr>
        <w:tc>
          <w:tcPr>
            <w:tcW w:w="0" w:type="auto"/>
            <w:tcBorders>
              <w:top w:val="nil"/>
              <w:left w:val="single" w:sz="8" w:space="0" w:color="auto"/>
              <w:bottom w:val="single" w:sz="4" w:space="0" w:color="auto"/>
              <w:right w:val="nil"/>
            </w:tcBorders>
            <w:shd w:val="clear" w:color="auto" w:fill="auto"/>
            <w:noWrap/>
            <w:vAlign w:val="center"/>
            <w:hideMark/>
          </w:tcPr>
          <w:p w14:paraId="7CEB9929"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 xml:space="preserve">ERR [%] </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55FB6CC"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4,41%</w:t>
            </w:r>
          </w:p>
        </w:tc>
        <w:tc>
          <w:tcPr>
            <w:tcW w:w="0" w:type="auto"/>
            <w:tcBorders>
              <w:top w:val="nil"/>
              <w:left w:val="nil"/>
              <w:bottom w:val="single" w:sz="4" w:space="0" w:color="auto"/>
              <w:right w:val="single" w:sz="4" w:space="0" w:color="auto"/>
            </w:tcBorders>
            <w:shd w:val="clear" w:color="auto" w:fill="auto"/>
            <w:noWrap/>
            <w:vAlign w:val="center"/>
            <w:hideMark/>
          </w:tcPr>
          <w:p w14:paraId="73F4A884"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5,92%</w:t>
            </w:r>
          </w:p>
        </w:tc>
        <w:tc>
          <w:tcPr>
            <w:tcW w:w="0" w:type="auto"/>
            <w:tcBorders>
              <w:top w:val="nil"/>
              <w:left w:val="nil"/>
              <w:bottom w:val="single" w:sz="4" w:space="0" w:color="auto"/>
              <w:right w:val="single" w:sz="8" w:space="0" w:color="auto"/>
            </w:tcBorders>
            <w:shd w:val="clear" w:color="auto" w:fill="auto"/>
            <w:noWrap/>
            <w:vAlign w:val="center"/>
            <w:hideMark/>
          </w:tcPr>
          <w:p w14:paraId="0BF1CC43"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8,82%</w:t>
            </w:r>
          </w:p>
        </w:tc>
      </w:tr>
      <w:tr w:rsidR="001A24C3" w:rsidRPr="00DF31E7" w14:paraId="0ACE80EC" w14:textId="77777777" w:rsidTr="00300963">
        <w:trPr>
          <w:trHeight w:val="405"/>
        </w:trPr>
        <w:tc>
          <w:tcPr>
            <w:tcW w:w="0" w:type="auto"/>
            <w:tcBorders>
              <w:top w:val="single" w:sz="4" w:space="0" w:color="auto"/>
              <w:left w:val="single" w:sz="8" w:space="0" w:color="auto"/>
              <w:bottom w:val="single" w:sz="8" w:space="0" w:color="auto"/>
              <w:right w:val="nil"/>
            </w:tcBorders>
            <w:shd w:val="clear" w:color="auto" w:fill="auto"/>
            <w:noWrap/>
            <w:vAlign w:val="center"/>
            <w:hideMark/>
          </w:tcPr>
          <w:p w14:paraId="6CEBE1D5" w14:textId="77777777" w:rsidR="001A24C3" w:rsidRPr="00DF31E7" w:rsidRDefault="001A24C3" w:rsidP="00300963">
            <w:pPr>
              <w:rPr>
                <w:rFonts w:ascii="Calibri" w:eastAsia="Times New Roman" w:hAnsi="Calibri" w:cs="Arial"/>
                <w:sz w:val="16"/>
                <w:szCs w:val="16"/>
                <w:lang w:eastAsia="sk-SK"/>
              </w:rPr>
            </w:pPr>
            <w:r w:rsidRPr="00DF31E7">
              <w:rPr>
                <w:rFonts w:ascii="Calibri" w:eastAsia="Times New Roman" w:hAnsi="Calibri" w:cs="Arial"/>
                <w:sz w:val="16"/>
                <w:szCs w:val="16"/>
                <w:lang w:eastAsia="sk-SK"/>
              </w:rPr>
              <w:t>ENPV  [EUR]</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043ABBB"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-7 169 340</w:t>
            </w:r>
          </w:p>
        </w:tc>
        <w:tc>
          <w:tcPr>
            <w:tcW w:w="0" w:type="auto"/>
            <w:tcBorders>
              <w:top w:val="nil"/>
              <w:left w:val="nil"/>
              <w:bottom w:val="single" w:sz="8" w:space="0" w:color="auto"/>
              <w:right w:val="single" w:sz="4" w:space="0" w:color="auto"/>
            </w:tcBorders>
            <w:shd w:val="clear" w:color="auto" w:fill="auto"/>
            <w:noWrap/>
            <w:vAlign w:val="center"/>
            <w:hideMark/>
          </w:tcPr>
          <w:p w14:paraId="2F1FE872"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10 592 573</w:t>
            </w:r>
          </w:p>
        </w:tc>
        <w:tc>
          <w:tcPr>
            <w:tcW w:w="0" w:type="auto"/>
            <w:tcBorders>
              <w:top w:val="nil"/>
              <w:left w:val="nil"/>
              <w:bottom w:val="single" w:sz="8" w:space="0" w:color="auto"/>
              <w:right w:val="single" w:sz="8" w:space="0" w:color="auto"/>
            </w:tcBorders>
            <w:shd w:val="clear" w:color="auto" w:fill="auto"/>
            <w:noWrap/>
            <w:vAlign w:val="center"/>
            <w:hideMark/>
          </w:tcPr>
          <w:p w14:paraId="76252A23" w14:textId="77777777" w:rsidR="001A24C3" w:rsidRPr="00DF31E7" w:rsidRDefault="001A24C3" w:rsidP="00300963">
            <w:pPr>
              <w:jc w:val="center"/>
              <w:rPr>
                <w:rFonts w:ascii="Arial" w:eastAsia="Times New Roman" w:hAnsi="Arial" w:cs="Arial"/>
                <w:sz w:val="16"/>
                <w:szCs w:val="16"/>
                <w:lang w:eastAsia="sk-SK"/>
              </w:rPr>
            </w:pPr>
            <w:r w:rsidRPr="00DF31E7">
              <w:rPr>
                <w:rFonts w:ascii="Arial" w:eastAsia="Times New Roman" w:hAnsi="Arial" w:cs="Arial"/>
                <w:sz w:val="16"/>
                <w:szCs w:val="16"/>
                <w:lang w:eastAsia="sk-SK"/>
              </w:rPr>
              <w:t>37 429 713</w:t>
            </w:r>
          </w:p>
        </w:tc>
      </w:tr>
    </w:tbl>
    <w:p w14:paraId="2F34891F" w14:textId="29FBE73B" w:rsidR="001A24C3" w:rsidRDefault="001A24C3" w:rsidP="001A24C3"/>
    <w:p w14:paraId="3FE2887E" w14:textId="77777777" w:rsidR="007C0141" w:rsidRPr="000A41CE" w:rsidRDefault="007C0141" w:rsidP="001A24C3"/>
    <w:p w14:paraId="0D7D2442" w14:textId="77777777" w:rsidR="001A24C3" w:rsidRPr="007C0141" w:rsidRDefault="001A24C3" w:rsidP="007C0141">
      <w:pPr>
        <w:pStyle w:val="Nadpis41"/>
        <w:ind w:left="993" w:hanging="993"/>
        <w:rPr>
          <w:color w:val="auto"/>
        </w:rPr>
      </w:pPr>
      <w:bookmarkStart w:id="425" w:name="_Toc88653048"/>
      <w:r w:rsidRPr="007C0141">
        <w:rPr>
          <w:color w:val="auto"/>
        </w:rPr>
        <w:t>Kvalitatívna riziková analýza</w:t>
      </w:r>
      <w:bookmarkEnd w:id="425"/>
    </w:p>
    <w:p w14:paraId="14E4C215" w14:textId="77777777" w:rsidR="001A24C3" w:rsidRPr="000A41CE" w:rsidRDefault="001A24C3" w:rsidP="007C0141">
      <w:pPr>
        <w:pStyle w:val="TextKoice0"/>
        <w:ind w:left="0"/>
      </w:pPr>
      <w:r w:rsidRPr="000A41CE">
        <w:t>Vzhľadom na to, že nie všetky riziká je možné vyhodnotiť kvantitatívne a vypočítať ich, existujú aj riziká, ktoré je potrebné iba slovne zadefinovať (popísať ich) a vyhodnotiť ich tak, že sa popíšu kroky, ktoré je potrebné zabezpečiť, aby došlo k minimalizácií ich naplnenia. V nižšie uvedenej tabuľke sú tieto kvalitatívne riziká popísané.</w:t>
      </w:r>
    </w:p>
    <w:p w14:paraId="26F66BC2" w14:textId="77777777" w:rsidR="001A24C3" w:rsidRPr="000A41CE" w:rsidRDefault="001A24C3" w:rsidP="001A24C3">
      <w:pPr>
        <w:suppressAutoHyphens/>
        <w:rPr>
          <w:rFonts w:ascii="Calibri" w:eastAsia="Calibri" w:hAnsi="Calibri" w:cs="Calibri"/>
          <w:lang w:eastAsia="sk-SK" w:bidi="sk-SK"/>
        </w:rPr>
      </w:pPr>
    </w:p>
    <w:p w14:paraId="5690B9EE" w14:textId="77777777" w:rsidR="001A24C3" w:rsidRPr="000A41CE" w:rsidRDefault="001A24C3" w:rsidP="001A24C3">
      <w:pPr>
        <w:pStyle w:val="TextKoice0"/>
        <w:sectPr w:rsidR="001A24C3" w:rsidRPr="000A41CE" w:rsidSect="005940CA">
          <w:headerReference w:type="default" r:id="rId44"/>
          <w:footerReference w:type="default" r:id="rId45"/>
          <w:headerReference w:type="first" r:id="rId46"/>
          <w:footerReference w:type="first" r:id="rId47"/>
          <w:pgSz w:w="11906" w:h="16838"/>
          <w:pgMar w:top="1416" w:right="1417" w:bottom="1843" w:left="1417" w:header="794" w:footer="203" w:gutter="0"/>
          <w:cols w:space="708"/>
          <w:formProt w:val="0"/>
          <w:titlePg/>
          <w:docGrid w:linePitch="360" w:charSpace="4096"/>
        </w:sectPr>
      </w:pPr>
    </w:p>
    <w:p w14:paraId="0939D21B" w14:textId="6344F607" w:rsidR="001A24C3" w:rsidRPr="000A41CE" w:rsidRDefault="001A24C3" w:rsidP="00AF44EA">
      <w:pPr>
        <w:pStyle w:val="Popis"/>
        <w:keepNext/>
        <w:jc w:val="both"/>
      </w:pPr>
      <w:bookmarkStart w:id="426" w:name="_Toc83677971"/>
      <w:bookmarkStart w:id="427" w:name="_Hlk83672432"/>
      <w:r w:rsidRPr="000A41CE">
        <w:lastRenderedPageBreak/>
        <w:t xml:space="preserve">Tabuľka </w:t>
      </w:r>
      <w:r w:rsidR="00091EB3">
        <w:rPr>
          <w:noProof/>
        </w:rPr>
        <w:t>100</w:t>
      </w:r>
      <w:r w:rsidRPr="000A41CE">
        <w:tab/>
        <w:t>Kvalitatívna analýza rizík</w:t>
      </w:r>
      <w:bookmarkEnd w:id="426"/>
    </w:p>
    <w:tbl>
      <w:tblPr>
        <w:tblW w:w="0" w:type="auto"/>
        <w:tblCellMar>
          <w:left w:w="70" w:type="dxa"/>
          <w:right w:w="70" w:type="dxa"/>
        </w:tblCellMar>
        <w:tblLook w:val="04A0" w:firstRow="1" w:lastRow="0" w:firstColumn="1" w:lastColumn="0" w:noHBand="0" w:noVBand="1"/>
      </w:tblPr>
      <w:tblGrid>
        <w:gridCol w:w="1916"/>
        <w:gridCol w:w="1136"/>
        <w:gridCol w:w="1939"/>
        <w:gridCol w:w="1763"/>
        <w:gridCol w:w="2006"/>
        <w:gridCol w:w="1164"/>
        <w:gridCol w:w="778"/>
        <w:gridCol w:w="597"/>
        <w:gridCol w:w="1899"/>
        <w:gridCol w:w="784"/>
      </w:tblGrid>
      <w:tr w:rsidR="001A24C3" w:rsidRPr="00DF31E7" w14:paraId="50B01371" w14:textId="77777777" w:rsidTr="00300963">
        <w:trPr>
          <w:trHeight w:val="570"/>
        </w:trPr>
        <w:tc>
          <w:tcPr>
            <w:tcW w:w="0" w:type="auto"/>
            <w:vMerge w:val="restart"/>
            <w:tcBorders>
              <w:top w:val="single" w:sz="8" w:space="0" w:color="auto"/>
              <w:left w:val="single" w:sz="8" w:space="0" w:color="auto"/>
              <w:bottom w:val="single" w:sz="4" w:space="0" w:color="auto"/>
              <w:right w:val="single" w:sz="4" w:space="0" w:color="auto"/>
            </w:tcBorders>
            <w:shd w:val="clear" w:color="000000" w:fill="00B0F0"/>
            <w:vAlign w:val="center"/>
            <w:hideMark/>
          </w:tcPr>
          <w:bookmarkEnd w:id="427"/>
          <w:p w14:paraId="0A3E05D7"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Nepriaznivá údalosť</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0872CD25"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Ovplyvnená kritická premenná</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3734B538"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Príčina nepriaznivej udalosti</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7C1908B2"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Vplyv na projekt</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676F8F52"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Dopad na cash-flow</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3DDA23F7"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Pravdepodobnosť výskytu</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74A29923"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Závažnosť vplyvu</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1CD9CED3"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Úroveň rizika</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6AE038E9"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Preventívne alebo zmierňujúce opatrenie</w:t>
            </w:r>
          </w:p>
        </w:tc>
        <w:tc>
          <w:tcPr>
            <w:tcW w:w="0" w:type="auto"/>
            <w:vMerge w:val="restart"/>
            <w:tcBorders>
              <w:top w:val="single" w:sz="8" w:space="0" w:color="auto"/>
              <w:left w:val="single" w:sz="4" w:space="0" w:color="auto"/>
              <w:bottom w:val="single" w:sz="4" w:space="0" w:color="auto"/>
              <w:right w:val="single" w:sz="8" w:space="0" w:color="auto"/>
            </w:tcBorders>
            <w:shd w:val="clear" w:color="000000" w:fill="00B0F0"/>
            <w:vAlign w:val="center"/>
            <w:hideMark/>
          </w:tcPr>
          <w:p w14:paraId="36F42EB1" w14:textId="77777777" w:rsidR="001A24C3" w:rsidRPr="00DF31E7" w:rsidRDefault="001A24C3" w:rsidP="00300963">
            <w:pPr>
              <w:jc w:val="center"/>
              <w:rPr>
                <w:rFonts w:ascii="Times New Roman" w:eastAsia="Times New Roman" w:hAnsi="Times New Roman" w:cs="Times New Roman"/>
                <w:b/>
                <w:bCs/>
                <w:color w:val="FFFFFF"/>
                <w:sz w:val="12"/>
                <w:szCs w:val="12"/>
                <w:lang w:eastAsia="sk-SK"/>
              </w:rPr>
            </w:pPr>
            <w:r w:rsidRPr="00DF31E7">
              <w:rPr>
                <w:rFonts w:ascii="Times New Roman" w:eastAsia="Times New Roman" w:hAnsi="Times New Roman" w:cs="Times New Roman"/>
                <w:b/>
                <w:bCs/>
                <w:color w:val="FFFFFF"/>
                <w:sz w:val="12"/>
                <w:szCs w:val="12"/>
                <w:lang w:eastAsia="sk-SK"/>
              </w:rPr>
              <w:t>Zostatkové riziko</w:t>
            </w:r>
          </w:p>
        </w:tc>
      </w:tr>
      <w:tr w:rsidR="001A24C3" w:rsidRPr="00DF31E7" w14:paraId="7A79C0D7" w14:textId="77777777" w:rsidTr="00AF44EA">
        <w:trPr>
          <w:trHeight w:val="537"/>
        </w:trPr>
        <w:tc>
          <w:tcPr>
            <w:tcW w:w="0" w:type="auto"/>
            <w:vMerge/>
            <w:tcBorders>
              <w:top w:val="single" w:sz="8" w:space="0" w:color="auto"/>
              <w:left w:val="single" w:sz="8" w:space="0" w:color="auto"/>
              <w:bottom w:val="single" w:sz="4" w:space="0" w:color="auto"/>
              <w:right w:val="single" w:sz="4" w:space="0" w:color="auto"/>
            </w:tcBorders>
            <w:vAlign w:val="center"/>
            <w:hideMark/>
          </w:tcPr>
          <w:p w14:paraId="0DE6B969"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7639F13"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3DA8300"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0E094CF"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2B97BC6"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0CE4C13"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5493306"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437108C"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F82A602"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42275878" w14:textId="77777777" w:rsidR="001A24C3" w:rsidRPr="00DF31E7" w:rsidRDefault="001A24C3" w:rsidP="00300963">
            <w:pPr>
              <w:rPr>
                <w:rFonts w:ascii="Times New Roman" w:eastAsia="Times New Roman" w:hAnsi="Times New Roman" w:cs="Times New Roman"/>
                <w:b/>
                <w:bCs/>
                <w:color w:val="FFFFFF"/>
                <w:sz w:val="12"/>
                <w:szCs w:val="12"/>
                <w:lang w:eastAsia="sk-SK"/>
              </w:rPr>
            </w:pPr>
          </w:p>
        </w:tc>
      </w:tr>
      <w:tr w:rsidR="001A24C3" w:rsidRPr="00DF31E7" w14:paraId="7EBD4E8B" w14:textId="77777777" w:rsidTr="00300963">
        <w:trPr>
          <w:trHeight w:val="348"/>
        </w:trPr>
        <w:tc>
          <w:tcPr>
            <w:tcW w:w="0" w:type="auto"/>
            <w:gridSpan w:val="10"/>
            <w:tcBorders>
              <w:top w:val="single" w:sz="8" w:space="0" w:color="auto"/>
              <w:left w:val="single" w:sz="8" w:space="0" w:color="auto"/>
              <w:bottom w:val="single" w:sz="4" w:space="0" w:color="auto"/>
              <w:right w:val="single" w:sz="8" w:space="0" w:color="000000"/>
            </w:tcBorders>
            <w:shd w:val="clear" w:color="000000" w:fill="A6A6A6"/>
            <w:vAlign w:val="center"/>
            <w:hideMark/>
          </w:tcPr>
          <w:p w14:paraId="2BE802B9" w14:textId="77777777" w:rsidR="001A24C3" w:rsidRPr="00DF31E7" w:rsidRDefault="001A24C3" w:rsidP="00300963">
            <w:pPr>
              <w:jc w:val="center"/>
              <w:rPr>
                <w:rFonts w:ascii="Times New Roman" w:eastAsia="Times New Roman" w:hAnsi="Times New Roman" w:cs="Times New Roman"/>
                <w:b/>
                <w:bCs/>
                <w:sz w:val="12"/>
                <w:szCs w:val="12"/>
                <w:lang w:eastAsia="sk-SK"/>
              </w:rPr>
            </w:pPr>
            <w:r w:rsidRPr="00DF31E7">
              <w:rPr>
                <w:rFonts w:ascii="Times New Roman" w:eastAsia="Times New Roman" w:hAnsi="Times New Roman" w:cs="Times New Roman"/>
                <w:b/>
                <w:bCs/>
                <w:sz w:val="12"/>
                <w:szCs w:val="12"/>
                <w:lang w:eastAsia="sk-SK"/>
              </w:rPr>
              <w:t>Analýza dopytu</w:t>
            </w:r>
          </w:p>
        </w:tc>
      </w:tr>
      <w:tr w:rsidR="001A24C3" w:rsidRPr="00DF31E7" w14:paraId="19A18D73" w14:textId="77777777" w:rsidTr="00300963">
        <w:trPr>
          <w:trHeight w:val="718"/>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F7B1472"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Zníženie úspory času v železničnej nákladnej doprave</w:t>
            </w:r>
          </w:p>
        </w:tc>
        <w:tc>
          <w:tcPr>
            <w:tcW w:w="0" w:type="auto"/>
            <w:tcBorders>
              <w:top w:val="nil"/>
              <w:left w:val="nil"/>
              <w:bottom w:val="single" w:sz="4" w:space="0" w:color="auto"/>
              <w:right w:val="single" w:sz="4" w:space="0" w:color="auto"/>
            </w:tcBorders>
            <w:shd w:val="clear" w:color="auto" w:fill="auto"/>
            <w:vAlign w:val="center"/>
            <w:hideMark/>
          </w:tcPr>
          <w:p w14:paraId="6FCC2D42"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Čas tovaru</w:t>
            </w:r>
          </w:p>
        </w:tc>
        <w:tc>
          <w:tcPr>
            <w:tcW w:w="0" w:type="auto"/>
            <w:tcBorders>
              <w:top w:val="nil"/>
              <w:left w:val="nil"/>
              <w:bottom w:val="single" w:sz="4" w:space="0" w:color="auto"/>
              <w:right w:val="single" w:sz="4" w:space="0" w:color="auto"/>
            </w:tcBorders>
            <w:shd w:val="clear" w:color="auto" w:fill="auto"/>
            <w:vAlign w:val="center"/>
            <w:hideMark/>
          </w:tcPr>
          <w:p w14:paraId="06F120A3"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Nepresný výpočet úspory času vygenerovanej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6B7DB0CE"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Zníženie  hodnoty socio-ekonomických  benefitov  vygenerovaných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4FF4B364"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Zhoršenie socio-ekonomických ukazovateľov projektu</w:t>
            </w:r>
          </w:p>
        </w:tc>
        <w:tc>
          <w:tcPr>
            <w:tcW w:w="0" w:type="auto"/>
            <w:tcBorders>
              <w:top w:val="nil"/>
              <w:left w:val="nil"/>
              <w:bottom w:val="single" w:sz="4" w:space="0" w:color="auto"/>
              <w:right w:val="single" w:sz="4" w:space="0" w:color="auto"/>
            </w:tcBorders>
            <w:shd w:val="clear" w:color="auto" w:fill="auto"/>
            <w:vAlign w:val="center"/>
            <w:hideMark/>
          </w:tcPr>
          <w:p w14:paraId="7992D42C"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10E29BD1"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60804FE7"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35864CDA"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Pri odhadoch vychádzať z čo najpresnejsích podkladov, prieskumov</w:t>
            </w:r>
          </w:p>
        </w:tc>
        <w:tc>
          <w:tcPr>
            <w:tcW w:w="0" w:type="auto"/>
            <w:tcBorders>
              <w:top w:val="nil"/>
              <w:left w:val="nil"/>
              <w:bottom w:val="single" w:sz="4" w:space="0" w:color="auto"/>
              <w:right w:val="single" w:sz="8" w:space="0" w:color="auto"/>
            </w:tcBorders>
            <w:shd w:val="clear" w:color="000000" w:fill="FFFF00"/>
            <w:vAlign w:val="center"/>
            <w:hideMark/>
          </w:tcPr>
          <w:p w14:paraId="7C3F0B4D"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Stredná</w:t>
            </w:r>
          </w:p>
        </w:tc>
      </w:tr>
      <w:tr w:rsidR="001A24C3" w:rsidRPr="00DF31E7" w14:paraId="1C3527F3" w14:textId="77777777" w:rsidTr="00300963">
        <w:trPr>
          <w:trHeight w:val="83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65BC2DA5"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Zníženie realizovaných vlkm a množstva prepraveného tovaru v rámci železničnej nákladnej dopravy</w:t>
            </w:r>
          </w:p>
        </w:tc>
        <w:tc>
          <w:tcPr>
            <w:tcW w:w="0" w:type="auto"/>
            <w:tcBorders>
              <w:top w:val="nil"/>
              <w:left w:val="nil"/>
              <w:bottom w:val="single" w:sz="4" w:space="0" w:color="auto"/>
              <w:right w:val="single" w:sz="4" w:space="0" w:color="auto"/>
            </w:tcBorders>
            <w:shd w:val="clear" w:color="auto" w:fill="auto"/>
            <w:vAlign w:val="center"/>
            <w:hideMark/>
          </w:tcPr>
          <w:p w14:paraId="7F300DF8"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Čas tovaru</w:t>
            </w:r>
            <w:r w:rsidRPr="00DF31E7">
              <w:rPr>
                <w:rFonts w:ascii="Times New Roman" w:eastAsia="Times New Roman" w:hAnsi="Times New Roman" w:cs="Times New Roman"/>
                <w:sz w:val="12"/>
                <w:szCs w:val="12"/>
                <w:lang w:eastAsia="sk-SK"/>
              </w:rPr>
              <w:br/>
              <w:t>Prevádzkové náklady vozidiel</w:t>
            </w:r>
            <w:r w:rsidRPr="00DF31E7">
              <w:rPr>
                <w:rFonts w:ascii="Times New Roman" w:eastAsia="Times New Roman" w:hAnsi="Times New Roman" w:cs="Times New Roman"/>
                <w:sz w:val="12"/>
                <w:szCs w:val="12"/>
                <w:lang w:eastAsia="sk-SK"/>
              </w:rPr>
              <w:br/>
              <w:t>Znečisťujúce látky</w:t>
            </w:r>
            <w:r w:rsidRPr="00DF31E7">
              <w:rPr>
                <w:rFonts w:ascii="Times New Roman" w:eastAsia="Times New Roman" w:hAnsi="Times New Roman" w:cs="Times New Roman"/>
                <w:sz w:val="12"/>
                <w:szCs w:val="12"/>
                <w:lang w:eastAsia="sk-SK"/>
              </w:rPr>
              <w:br/>
              <w:t>Skleníkové plyny</w:t>
            </w:r>
            <w:r w:rsidRPr="00DF31E7">
              <w:rPr>
                <w:rFonts w:ascii="Times New Roman" w:eastAsia="Times New Roman" w:hAnsi="Times New Roman" w:cs="Times New Roman"/>
                <w:sz w:val="12"/>
                <w:szCs w:val="12"/>
                <w:lang w:eastAsia="sk-SK"/>
              </w:rPr>
              <w:br/>
              <w:t>Hluk</w:t>
            </w:r>
          </w:p>
        </w:tc>
        <w:tc>
          <w:tcPr>
            <w:tcW w:w="0" w:type="auto"/>
            <w:tcBorders>
              <w:top w:val="nil"/>
              <w:left w:val="nil"/>
              <w:bottom w:val="single" w:sz="4" w:space="0" w:color="auto"/>
              <w:right w:val="single" w:sz="4" w:space="0" w:color="auto"/>
            </w:tcBorders>
            <w:shd w:val="clear" w:color="auto" w:fill="auto"/>
            <w:vAlign w:val="center"/>
            <w:hideMark/>
          </w:tcPr>
          <w:p w14:paraId="7194ED09"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Zníženie dopyt po železničnej nákladnej doprave</w:t>
            </w:r>
            <w:r w:rsidRPr="00DF31E7">
              <w:rPr>
                <w:rFonts w:ascii="Times New Roman" w:eastAsia="Times New Roman" w:hAnsi="Times New Roman" w:cs="Times New Roman"/>
                <w:sz w:val="12"/>
                <w:szCs w:val="12"/>
                <w:lang w:eastAsia="sk-SK"/>
              </w:rPr>
              <w:br/>
              <w:t>Nepresný odhad prepraveného množstva tovarov</w:t>
            </w:r>
          </w:p>
        </w:tc>
        <w:tc>
          <w:tcPr>
            <w:tcW w:w="0" w:type="auto"/>
            <w:tcBorders>
              <w:top w:val="nil"/>
              <w:left w:val="nil"/>
              <w:bottom w:val="single" w:sz="4" w:space="0" w:color="auto"/>
              <w:right w:val="single" w:sz="4" w:space="0" w:color="auto"/>
            </w:tcBorders>
            <w:shd w:val="clear" w:color="auto" w:fill="auto"/>
            <w:vAlign w:val="center"/>
            <w:hideMark/>
          </w:tcPr>
          <w:p w14:paraId="79565B8A"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Zníženie  hodnoty socio-ekonomických  benefitov  vygenerovaných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0102C548"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Zhoršenie socio-ekonomických ukazovateľov projektu</w:t>
            </w:r>
          </w:p>
        </w:tc>
        <w:tc>
          <w:tcPr>
            <w:tcW w:w="0" w:type="auto"/>
            <w:tcBorders>
              <w:top w:val="nil"/>
              <w:left w:val="nil"/>
              <w:bottom w:val="single" w:sz="4" w:space="0" w:color="auto"/>
              <w:right w:val="single" w:sz="4" w:space="0" w:color="auto"/>
            </w:tcBorders>
            <w:shd w:val="clear" w:color="auto" w:fill="auto"/>
            <w:vAlign w:val="center"/>
            <w:hideMark/>
          </w:tcPr>
          <w:p w14:paraId="62571047"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B</w:t>
            </w:r>
          </w:p>
        </w:tc>
        <w:tc>
          <w:tcPr>
            <w:tcW w:w="0" w:type="auto"/>
            <w:tcBorders>
              <w:top w:val="nil"/>
              <w:left w:val="nil"/>
              <w:bottom w:val="single" w:sz="4" w:space="0" w:color="auto"/>
              <w:right w:val="single" w:sz="4" w:space="0" w:color="auto"/>
            </w:tcBorders>
            <w:shd w:val="clear" w:color="auto" w:fill="auto"/>
            <w:vAlign w:val="center"/>
            <w:hideMark/>
          </w:tcPr>
          <w:p w14:paraId="41186BAE"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60E7C920"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371BC570"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Konzervatívny odhad priemernej prepravnej vzdialenosti</w:t>
            </w:r>
            <w:r w:rsidRPr="00DF31E7">
              <w:rPr>
                <w:rFonts w:ascii="Times New Roman" w:eastAsia="Times New Roman" w:hAnsi="Times New Roman" w:cs="Times New Roman"/>
                <w:sz w:val="12"/>
                <w:szCs w:val="12"/>
                <w:lang w:eastAsia="sk-SK"/>
              </w:rPr>
              <w:br/>
              <w:t>Pri odhadoch vychádzať z čo najpresnejsích podkladov, prieskumov</w:t>
            </w:r>
          </w:p>
        </w:tc>
        <w:tc>
          <w:tcPr>
            <w:tcW w:w="0" w:type="auto"/>
            <w:tcBorders>
              <w:top w:val="nil"/>
              <w:left w:val="nil"/>
              <w:bottom w:val="single" w:sz="4" w:space="0" w:color="auto"/>
              <w:right w:val="single" w:sz="8" w:space="0" w:color="auto"/>
            </w:tcBorders>
            <w:shd w:val="clear" w:color="000000" w:fill="92D050"/>
            <w:vAlign w:val="center"/>
            <w:hideMark/>
          </w:tcPr>
          <w:p w14:paraId="3F723A58"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Nízke</w:t>
            </w:r>
          </w:p>
        </w:tc>
      </w:tr>
      <w:tr w:rsidR="001A24C3" w:rsidRPr="00DF31E7" w14:paraId="3CBFF21F" w14:textId="77777777" w:rsidTr="00300963">
        <w:trPr>
          <w:trHeight w:val="1118"/>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E4A50EC"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Stagnácia železničnej dopravy v rámci Slovenskej republiky ako výsledok slabého rozvoja železničnej siete</w:t>
            </w:r>
          </w:p>
        </w:tc>
        <w:tc>
          <w:tcPr>
            <w:tcW w:w="0" w:type="auto"/>
            <w:tcBorders>
              <w:top w:val="nil"/>
              <w:left w:val="nil"/>
              <w:bottom w:val="single" w:sz="4" w:space="0" w:color="auto"/>
              <w:right w:val="single" w:sz="4" w:space="0" w:color="auto"/>
            </w:tcBorders>
            <w:shd w:val="clear" w:color="auto" w:fill="auto"/>
            <w:vAlign w:val="center"/>
            <w:hideMark/>
          </w:tcPr>
          <w:p w14:paraId="440F37B0"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Nešpecifikované</w:t>
            </w:r>
          </w:p>
        </w:tc>
        <w:tc>
          <w:tcPr>
            <w:tcW w:w="0" w:type="auto"/>
            <w:tcBorders>
              <w:top w:val="nil"/>
              <w:left w:val="nil"/>
              <w:bottom w:val="single" w:sz="4" w:space="0" w:color="auto"/>
              <w:right w:val="single" w:sz="4" w:space="0" w:color="auto"/>
            </w:tcBorders>
            <w:shd w:val="clear" w:color="auto" w:fill="auto"/>
            <w:vAlign w:val="center"/>
            <w:hideMark/>
          </w:tcPr>
          <w:p w14:paraId="16D83F7E"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Minimálne investície do železničnej infraštruktúry</w:t>
            </w:r>
            <w:r w:rsidRPr="00DF31E7">
              <w:rPr>
                <w:rFonts w:ascii="Times New Roman" w:eastAsia="Times New Roman" w:hAnsi="Times New Roman" w:cs="Times New Roman"/>
                <w:sz w:val="12"/>
                <w:szCs w:val="12"/>
                <w:lang w:eastAsia="sk-SK"/>
              </w:rPr>
              <w:br/>
              <w:t>Nerozvíjanie železničnej infraštruktúry</w:t>
            </w:r>
            <w:r w:rsidRPr="00DF31E7">
              <w:rPr>
                <w:rFonts w:ascii="Times New Roman" w:eastAsia="Times New Roman" w:hAnsi="Times New Roman" w:cs="Times New Roman"/>
                <w:sz w:val="12"/>
                <w:szCs w:val="12"/>
                <w:lang w:eastAsia="sk-SK"/>
              </w:rPr>
              <w:br/>
              <w:t>Obchádzanie Slovenskej republiky zo strany zahraničných železničných dopravcov (osobných aj nákladných)</w:t>
            </w:r>
          </w:p>
        </w:tc>
        <w:tc>
          <w:tcPr>
            <w:tcW w:w="0" w:type="auto"/>
            <w:tcBorders>
              <w:top w:val="nil"/>
              <w:left w:val="nil"/>
              <w:bottom w:val="single" w:sz="4" w:space="0" w:color="auto"/>
              <w:right w:val="single" w:sz="4" w:space="0" w:color="auto"/>
            </w:tcBorders>
            <w:shd w:val="clear" w:color="auto" w:fill="auto"/>
            <w:vAlign w:val="center"/>
            <w:hideMark/>
          </w:tcPr>
          <w:p w14:paraId="0108957A"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Nešpecifikované</w:t>
            </w:r>
          </w:p>
        </w:tc>
        <w:tc>
          <w:tcPr>
            <w:tcW w:w="0" w:type="auto"/>
            <w:tcBorders>
              <w:top w:val="nil"/>
              <w:left w:val="nil"/>
              <w:bottom w:val="single" w:sz="4" w:space="0" w:color="auto"/>
              <w:right w:val="single" w:sz="4" w:space="0" w:color="auto"/>
            </w:tcBorders>
            <w:shd w:val="clear" w:color="auto" w:fill="auto"/>
            <w:vAlign w:val="center"/>
            <w:hideMark/>
          </w:tcPr>
          <w:p w14:paraId="415B0E7C"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Nešpecifikované</w:t>
            </w:r>
          </w:p>
        </w:tc>
        <w:tc>
          <w:tcPr>
            <w:tcW w:w="0" w:type="auto"/>
            <w:tcBorders>
              <w:top w:val="nil"/>
              <w:left w:val="nil"/>
              <w:bottom w:val="single" w:sz="4" w:space="0" w:color="auto"/>
              <w:right w:val="single" w:sz="4" w:space="0" w:color="auto"/>
            </w:tcBorders>
            <w:shd w:val="clear" w:color="auto" w:fill="auto"/>
            <w:vAlign w:val="center"/>
            <w:hideMark/>
          </w:tcPr>
          <w:p w14:paraId="5D47887B"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1C4BCF65"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IV</w:t>
            </w:r>
          </w:p>
        </w:tc>
        <w:tc>
          <w:tcPr>
            <w:tcW w:w="0" w:type="auto"/>
            <w:tcBorders>
              <w:top w:val="nil"/>
              <w:left w:val="nil"/>
              <w:bottom w:val="single" w:sz="4" w:space="0" w:color="auto"/>
              <w:right w:val="single" w:sz="4" w:space="0" w:color="auto"/>
            </w:tcBorders>
            <w:shd w:val="clear" w:color="000000" w:fill="FFFF00"/>
            <w:vAlign w:val="center"/>
            <w:hideMark/>
          </w:tcPr>
          <w:p w14:paraId="23602112"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39E17F0A"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Zrýchlenie tempa modernizácie železničnej infraštruktúry v rámci Slovenskej republiky</w:t>
            </w:r>
            <w:r w:rsidRPr="00DF31E7">
              <w:rPr>
                <w:rFonts w:ascii="Times New Roman" w:eastAsia="Times New Roman" w:hAnsi="Times New Roman" w:cs="Times New Roman"/>
                <w:sz w:val="12"/>
                <w:szCs w:val="12"/>
                <w:lang w:eastAsia="sk-SK"/>
              </w:rPr>
              <w:br/>
              <w:t>Investície do rozvoja železničnej infraštruktúry</w:t>
            </w:r>
          </w:p>
        </w:tc>
        <w:tc>
          <w:tcPr>
            <w:tcW w:w="0" w:type="auto"/>
            <w:tcBorders>
              <w:top w:val="nil"/>
              <w:left w:val="nil"/>
              <w:bottom w:val="single" w:sz="4" w:space="0" w:color="auto"/>
              <w:right w:val="single" w:sz="8" w:space="0" w:color="auto"/>
            </w:tcBorders>
            <w:shd w:val="clear" w:color="000000" w:fill="FFFF00"/>
            <w:vAlign w:val="center"/>
            <w:hideMark/>
          </w:tcPr>
          <w:p w14:paraId="1AD371C2"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Stredná</w:t>
            </w:r>
          </w:p>
        </w:tc>
      </w:tr>
      <w:tr w:rsidR="001A24C3" w:rsidRPr="00DF31E7" w14:paraId="01A764F9"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2AB87684" w14:textId="77777777" w:rsidR="001A24C3" w:rsidRPr="00DF31E7" w:rsidRDefault="001A24C3" w:rsidP="00300963">
            <w:pPr>
              <w:jc w:val="center"/>
              <w:rPr>
                <w:rFonts w:ascii="Times New Roman" w:eastAsia="Times New Roman" w:hAnsi="Times New Roman" w:cs="Times New Roman"/>
                <w:b/>
                <w:bCs/>
                <w:sz w:val="12"/>
                <w:szCs w:val="12"/>
                <w:lang w:eastAsia="sk-SK"/>
              </w:rPr>
            </w:pPr>
            <w:r w:rsidRPr="00DF31E7">
              <w:rPr>
                <w:rFonts w:ascii="Times New Roman" w:eastAsia="Times New Roman" w:hAnsi="Times New Roman" w:cs="Times New Roman"/>
                <w:b/>
                <w:bCs/>
                <w:sz w:val="12"/>
                <w:szCs w:val="12"/>
                <w:lang w:eastAsia="sk-SK"/>
              </w:rPr>
              <w:t>Verejné obstarávanie</w:t>
            </w:r>
          </w:p>
        </w:tc>
      </w:tr>
      <w:tr w:rsidR="001A24C3" w:rsidRPr="00DF31E7" w14:paraId="3B8AAEE5" w14:textId="77777777" w:rsidTr="00300963">
        <w:trPr>
          <w:trHeight w:val="665"/>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DD94EB8"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Zdržanie v procese verejného obstarávania</w:t>
            </w:r>
          </w:p>
        </w:tc>
        <w:tc>
          <w:tcPr>
            <w:tcW w:w="0" w:type="auto"/>
            <w:tcBorders>
              <w:top w:val="nil"/>
              <w:left w:val="nil"/>
              <w:bottom w:val="single" w:sz="4" w:space="0" w:color="auto"/>
              <w:right w:val="single" w:sz="4" w:space="0" w:color="auto"/>
            </w:tcBorders>
            <w:shd w:val="clear" w:color="auto" w:fill="auto"/>
            <w:vAlign w:val="center"/>
            <w:hideMark/>
          </w:tcPr>
          <w:p w14:paraId="64ADAD67"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 xml:space="preserve">Všetky premenné </w:t>
            </w:r>
          </w:p>
        </w:tc>
        <w:tc>
          <w:tcPr>
            <w:tcW w:w="0" w:type="auto"/>
            <w:tcBorders>
              <w:top w:val="nil"/>
              <w:left w:val="nil"/>
              <w:bottom w:val="single" w:sz="4" w:space="0" w:color="auto"/>
              <w:right w:val="single" w:sz="4" w:space="0" w:color="auto"/>
            </w:tcBorders>
            <w:shd w:val="clear" w:color="auto" w:fill="auto"/>
            <w:vAlign w:val="center"/>
            <w:hideMark/>
          </w:tcPr>
          <w:p w14:paraId="75E23579"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 xml:space="preserve">Vyhlásenie verejného obstarávania v neskoršom termíne ako bolo plánované, </w:t>
            </w:r>
            <w:r w:rsidRPr="00DF31E7">
              <w:rPr>
                <w:rFonts w:ascii="Times New Roman" w:eastAsia="Times New Roman" w:hAnsi="Times New Roman" w:cs="Times New Roman"/>
                <w:sz w:val="12"/>
                <w:szCs w:val="12"/>
                <w:lang w:eastAsia="sk-SK"/>
              </w:rPr>
              <w:br/>
              <w:t>Riešenie námietok účastníkov verejného obstarávania</w:t>
            </w:r>
          </w:p>
        </w:tc>
        <w:tc>
          <w:tcPr>
            <w:tcW w:w="0" w:type="auto"/>
            <w:tcBorders>
              <w:top w:val="nil"/>
              <w:left w:val="nil"/>
              <w:bottom w:val="single" w:sz="4" w:space="0" w:color="auto"/>
              <w:right w:val="single" w:sz="4" w:space="0" w:color="auto"/>
            </w:tcBorders>
            <w:shd w:val="clear" w:color="auto" w:fill="auto"/>
            <w:vAlign w:val="center"/>
            <w:hideMark/>
          </w:tcPr>
          <w:p w14:paraId="022A5E71"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 xml:space="preserve">Oneskorenie začiatku a konca realizácie projektu </w:t>
            </w:r>
          </w:p>
        </w:tc>
        <w:tc>
          <w:tcPr>
            <w:tcW w:w="0" w:type="auto"/>
            <w:tcBorders>
              <w:top w:val="nil"/>
              <w:left w:val="nil"/>
              <w:bottom w:val="single" w:sz="4" w:space="0" w:color="auto"/>
              <w:right w:val="single" w:sz="4" w:space="0" w:color="auto"/>
            </w:tcBorders>
            <w:shd w:val="clear" w:color="auto" w:fill="auto"/>
            <w:vAlign w:val="center"/>
            <w:hideMark/>
          </w:tcPr>
          <w:p w14:paraId="2E75D5B7"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V prípade výrazného zdržania pri procesoch VO hrozí neskorší nábeh socio-ekonomických benefitov projektu.</w:t>
            </w:r>
          </w:p>
        </w:tc>
        <w:tc>
          <w:tcPr>
            <w:tcW w:w="0" w:type="auto"/>
            <w:tcBorders>
              <w:top w:val="nil"/>
              <w:left w:val="nil"/>
              <w:bottom w:val="single" w:sz="4" w:space="0" w:color="auto"/>
              <w:right w:val="single" w:sz="4" w:space="0" w:color="auto"/>
            </w:tcBorders>
            <w:shd w:val="clear" w:color="auto" w:fill="auto"/>
            <w:vAlign w:val="center"/>
            <w:hideMark/>
          </w:tcPr>
          <w:p w14:paraId="79949DF4"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557C8DA1"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II</w:t>
            </w:r>
          </w:p>
        </w:tc>
        <w:tc>
          <w:tcPr>
            <w:tcW w:w="0" w:type="auto"/>
            <w:tcBorders>
              <w:top w:val="nil"/>
              <w:left w:val="nil"/>
              <w:bottom w:val="single" w:sz="4" w:space="0" w:color="auto"/>
              <w:right w:val="single" w:sz="4" w:space="0" w:color="auto"/>
            </w:tcBorders>
            <w:shd w:val="clear" w:color="000000" w:fill="FFFF00"/>
            <w:vAlign w:val="center"/>
            <w:hideMark/>
          </w:tcPr>
          <w:p w14:paraId="26523A39"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3B90634A"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Adekvátna príprava a riadenie procesov verejného obstarávania</w:t>
            </w:r>
          </w:p>
        </w:tc>
        <w:tc>
          <w:tcPr>
            <w:tcW w:w="0" w:type="auto"/>
            <w:tcBorders>
              <w:top w:val="nil"/>
              <w:left w:val="nil"/>
              <w:bottom w:val="single" w:sz="4" w:space="0" w:color="auto"/>
              <w:right w:val="single" w:sz="8" w:space="0" w:color="auto"/>
            </w:tcBorders>
            <w:shd w:val="clear" w:color="000000" w:fill="92D050"/>
            <w:vAlign w:val="center"/>
            <w:hideMark/>
          </w:tcPr>
          <w:p w14:paraId="2D3DEBC5"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Nízke</w:t>
            </w:r>
          </w:p>
        </w:tc>
      </w:tr>
      <w:tr w:rsidR="001A24C3" w:rsidRPr="00DF31E7" w14:paraId="70FF3529"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52646839" w14:textId="77777777" w:rsidR="001A24C3" w:rsidRPr="00DF31E7" w:rsidRDefault="001A24C3" w:rsidP="00300963">
            <w:pPr>
              <w:jc w:val="center"/>
              <w:rPr>
                <w:rFonts w:ascii="Times New Roman" w:eastAsia="Times New Roman" w:hAnsi="Times New Roman" w:cs="Times New Roman"/>
                <w:b/>
                <w:bCs/>
                <w:sz w:val="12"/>
                <w:szCs w:val="12"/>
                <w:lang w:eastAsia="sk-SK"/>
              </w:rPr>
            </w:pPr>
            <w:r w:rsidRPr="00DF31E7">
              <w:rPr>
                <w:rFonts w:ascii="Times New Roman" w:eastAsia="Times New Roman" w:hAnsi="Times New Roman" w:cs="Times New Roman"/>
                <w:b/>
                <w:bCs/>
                <w:sz w:val="12"/>
                <w:szCs w:val="12"/>
                <w:lang w:eastAsia="sk-SK"/>
              </w:rPr>
              <w:t>Realizácia projektu</w:t>
            </w:r>
          </w:p>
        </w:tc>
      </w:tr>
      <w:tr w:rsidR="001A24C3" w:rsidRPr="00DF31E7" w14:paraId="7F6A815B" w14:textId="77777777" w:rsidTr="00300963">
        <w:trPr>
          <w:trHeight w:val="58"/>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09A759AA"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Nedodržanie rozpočtu projektu</w:t>
            </w:r>
          </w:p>
        </w:tc>
        <w:tc>
          <w:tcPr>
            <w:tcW w:w="0" w:type="auto"/>
            <w:tcBorders>
              <w:top w:val="nil"/>
              <w:left w:val="nil"/>
              <w:bottom w:val="single" w:sz="4" w:space="0" w:color="auto"/>
              <w:right w:val="single" w:sz="4" w:space="0" w:color="auto"/>
            </w:tcBorders>
            <w:shd w:val="clear" w:color="auto" w:fill="auto"/>
            <w:vAlign w:val="center"/>
            <w:hideMark/>
          </w:tcPr>
          <w:p w14:paraId="7427744B"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Investičné výdavky</w:t>
            </w:r>
          </w:p>
        </w:tc>
        <w:tc>
          <w:tcPr>
            <w:tcW w:w="0" w:type="auto"/>
            <w:tcBorders>
              <w:top w:val="nil"/>
              <w:left w:val="nil"/>
              <w:bottom w:val="single" w:sz="4" w:space="0" w:color="auto"/>
              <w:right w:val="single" w:sz="4" w:space="0" w:color="auto"/>
            </w:tcBorders>
            <w:shd w:val="clear" w:color="auto" w:fill="auto"/>
            <w:vAlign w:val="center"/>
            <w:hideMark/>
          </w:tcPr>
          <w:p w14:paraId="28A56186"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Vyššie náklady na realizáciu stavby ako sa predpokladalo pred vyhlásením VO</w:t>
            </w:r>
          </w:p>
        </w:tc>
        <w:tc>
          <w:tcPr>
            <w:tcW w:w="0" w:type="auto"/>
            <w:tcBorders>
              <w:top w:val="nil"/>
              <w:left w:val="nil"/>
              <w:bottom w:val="single" w:sz="4" w:space="0" w:color="auto"/>
              <w:right w:val="single" w:sz="4" w:space="0" w:color="auto"/>
            </w:tcBorders>
            <w:shd w:val="clear" w:color="auto" w:fill="auto"/>
            <w:vAlign w:val="center"/>
            <w:hideMark/>
          </w:tcPr>
          <w:p w14:paraId="6B9B2A51"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Investičné náklady vyššie ako odhadované</w:t>
            </w:r>
          </w:p>
        </w:tc>
        <w:tc>
          <w:tcPr>
            <w:tcW w:w="0" w:type="auto"/>
            <w:tcBorders>
              <w:top w:val="nil"/>
              <w:left w:val="nil"/>
              <w:bottom w:val="single" w:sz="4" w:space="0" w:color="auto"/>
              <w:right w:val="single" w:sz="4" w:space="0" w:color="auto"/>
            </w:tcBorders>
            <w:shd w:val="clear" w:color="auto" w:fill="auto"/>
            <w:vAlign w:val="center"/>
            <w:hideMark/>
          </w:tcPr>
          <w:p w14:paraId="3AB3610F"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Vyššie investičné výdavky potrebné na realizáciu projektu</w:t>
            </w:r>
          </w:p>
        </w:tc>
        <w:tc>
          <w:tcPr>
            <w:tcW w:w="0" w:type="auto"/>
            <w:tcBorders>
              <w:top w:val="nil"/>
              <w:left w:val="nil"/>
              <w:bottom w:val="single" w:sz="4" w:space="0" w:color="auto"/>
              <w:right w:val="single" w:sz="4" w:space="0" w:color="auto"/>
            </w:tcBorders>
            <w:shd w:val="clear" w:color="auto" w:fill="auto"/>
            <w:vAlign w:val="center"/>
            <w:hideMark/>
          </w:tcPr>
          <w:p w14:paraId="0E9F4B34"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B</w:t>
            </w:r>
          </w:p>
        </w:tc>
        <w:tc>
          <w:tcPr>
            <w:tcW w:w="0" w:type="auto"/>
            <w:tcBorders>
              <w:top w:val="nil"/>
              <w:left w:val="nil"/>
              <w:bottom w:val="single" w:sz="4" w:space="0" w:color="auto"/>
              <w:right w:val="single" w:sz="4" w:space="0" w:color="auto"/>
            </w:tcBorders>
            <w:shd w:val="clear" w:color="auto" w:fill="auto"/>
            <w:vAlign w:val="center"/>
            <w:hideMark/>
          </w:tcPr>
          <w:p w14:paraId="1014B9B3"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0624B729"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49935D09"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Projektová dokumentácia v čo najdetailnejšom stupni</w:t>
            </w:r>
            <w:r w:rsidRPr="00DF31E7">
              <w:rPr>
                <w:rFonts w:ascii="Times New Roman" w:eastAsia="Times New Roman" w:hAnsi="Times New Roman" w:cs="Times New Roman"/>
                <w:sz w:val="12"/>
                <w:szCs w:val="12"/>
                <w:lang w:eastAsia="sk-SK"/>
              </w:rPr>
              <w:br/>
              <w:t>Prieskum trhu pri príprave PHZ</w:t>
            </w:r>
            <w:r w:rsidRPr="00DF31E7">
              <w:rPr>
                <w:rFonts w:ascii="Times New Roman" w:eastAsia="Times New Roman" w:hAnsi="Times New Roman" w:cs="Times New Roman"/>
                <w:sz w:val="12"/>
                <w:szCs w:val="12"/>
                <w:lang w:eastAsia="sk-SK"/>
              </w:rPr>
              <w:br/>
              <w:t>Kvalitne nastavené zmluvné vzťahy s budúcim  Zhotoviteľom stavebných prác</w:t>
            </w:r>
          </w:p>
        </w:tc>
        <w:tc>
          <w:tcPr>
            <w:tcW w:w="0" w:type="auto"/>
            <w:tcBorders>
              <w:top w:val="nil"/>
              <w:left w:val="nil"/>
              <w:bottom w:val="single" w:sz="4" w:space="0" w:color="auto"/>
              <w:right w:val="single" w:sz="8" w:space="0" w:color="auto"/>
            </w:tcBorders>
            <w:shd w:val="clear" w:color="000000" w:fill="92D050"/>
            <w:vAlign w:val="center"/>
            <w:hideMark/>
          </w:tcPr>
          <w:p w14:paraId="35650480"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Nízke</w:t>
            </w:r>
          </w:p>
        </w:tc>
      </w:tr>
      <w:tr w:rsidR="001A24C3" w:rsidRPr="00DF31E7" w14:paraId="52931EEE"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33F17E9D" w14:textId="77777777" w:rsidR="001A24C3" w:rsidRPr="00DF31E7" w:rsidRDefault="001A24C3" w:rsidP="00300963">
            <w:pPr>
              <w:jc w:val="center"/>
              <w:rPr>
                <w:rFonts w:ascii="Times New Roman" w:eastAsia="Times New Roman" w:hAnsi="Times New Roman" w:cs="Times New Roman"/>
                <w:b/>
                <w:bCs/>
                <w:sz w:val="12"/>
                <w:szCs w:val="12"/>
                <w:lang w:eastAsia="sk-SK"/>
              </w:rPr>
            </w:pPr>
            <w:r w:rsidRPr="00DF31E7">
              <w:rPr>
                <w:rFonts w:ascii="Times New Roman" w:eastAsia="Times New Roman" w:hAnsi="Times New Roman" w:cs="Times New Roman"/>
                <w:b/>
                <w:bCs/>
                <w:sz w:val="12"/>
                <w:szCs w:val="12"/>
                <w:lang w:eastAsia="sk-SK"/>
              </w:rPr>
              <w:t>Prevádzka</w:t>
            </w:r>
          </w:p>
        </w:tc>
      </w:tr>
      <w:tr w:rsidR="001A24C3" w:rsidRPr="00DF31E7" w14:paraId="1492CBE5" w14:textId="77777777" w:rsidTr="00300963">
        <w:trPr>
          <w:trHeight w:val="574"/>
        </w:trPr>
        <w:tc>
          <w:tcPr>
            <w:tcW w:w="0" w:type="auto"/>
            <w:tcBorders>
              <w:top w:val="nil"/>
              <w:left w:val="single" w:sz="8" w:space="0" w:color="auto"/>
              <w:bottom w:val="single" w:sz="8" w:space="0" w:color="auto"/>
              <w:right w:val="single" w:sz="4" w:space="0" w:color="auto"/>
            </w:tcBorders>
            <w:shd w:val="clear" w:color="auto" w:fill="auto"/>
            <w:vAlign w:val="center"/>
            <w:hideMark/>
          </w:tcPr>
          <w:p w14:paraId="71167EC1"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Úspory prevádzkových výdavkov menšie jako predpokladané</w:t>
            </w:r>
          </w:p>
        </w:tc>
        <w:tc>
          <w:tcPr>
            <w:tcW w:w="0" w:type="auto"/>
            <w:tcBorders>
              <w:top w:val="nil"/>
              <w:left w:val="nil"/>
              <w:bottom w:val="single" w:sz="8" w:space="0" w:color="auto"/>
              <w:right w:val="single" w:sz="4" w:space="0" w:color="auto"/>
            </w:tcBorders>
            <w:shd w:val="clear" w:color="auto" w:fill="auto"/>
            <w:vAlign w:val="center"/>
            <w:hideMark/>
          </w:tcPr>
          <w:p w14:paraId="07099A58"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Prevádzkové výdavky</w:t>
            </w:r>
          </w:p>
        </w:tc>
        <w:tc>
          <w:tcPr>
            <w:tcW w:w="0" w:type="auto"/>
            <w:tcBorders>
              <w:top w:val="nil"/>
              <w:left w:val="nil"/>
              <w:bottom w:val="single" w:sz="8" w:space="0" w:color="auto"/>
              <w:right w:val="single" w:sz="4" w:space="0" w:color="auto"/>
            </w:tcBorders>
            <w:shd w:val="clear" w:color="auto" w:fill="auto"/>
            <w:vAlign w:val="center"/>
            <w:hideMark/>
          </w:tcPr>
          <w:p w14:paraId="1672C88F"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Nepresne vyčíslené úspory prevádzkových výdavkov projektu</w:t>
            </w:r>
          </w:p>
        </w:tc>
        <w:tc>
          <w:tcPr>
            <w:tcW w:w="0" w:type="auto"/>
            <w:tcBorders>
              <w:top w:val="nil"/>
              <w:left w:val="nil"/>
              <w:bottom w:val="single" w:sz="8" w:space="0" w:color="auto"/>
              <w:right w:val="single" w:sz="4" w:space="0" w:color="auto"/>
            </w:tcBorders>
            <w:shd w:val="clear" w:color="auto" w:fill="auto"/>
            <w:vAlign w:val="center"/>
            <w:hideMark/>
          </w:tcPr>
          <w:p w14:paraId="4C84DE54"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Znížene úspory prevádzkových výdavkov projektu</w:t>
            </w:r>
          </w:p>
        </w:tc>
        <w:tc>
          <w:tcPr>
            <w:tcW w:w="0" w:type="auto"/>
            <w:tcBorders>
              <w:top w:val="nil"/>
              <w:left w:val="nil"/>
              <w:bottom w:val="single" w:sz="8" w:space="0" w:color="auto"/>
              <w:right w:val="single" w:sz="4" w:space="0" w:color="auto"/>
            </w:tcBorders>
            <w:shd w:val="clear" w:color="auto" w:fill="auto"/>
            <w:vAlign w:val="center"/>
            <w:hideMark/>
          </w:tcPr>
          <w:p w14:paraId="20522831"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br/>
              <w:t>Zhoršenie socio-ekonomických ukazovateľov projektu</w:t>
            </w:r>
          </w:p>
        </w:tc>
        <w:tc>
          <w:tcPr>
            <w:tcW w:w="0" w:type="auto"/>
            <w:tcBorders>
              <w:top w:val="nil"/>
              <w:left w:val="nil"/>
              <w:bottom w:val="single" w:sz="8" w:space="0" w:color="auto"/>
              <w:right w:val="single" w:sz="4" w:space="0" w:color="auto"/>
            </w:tcBorders>
            <w:shd w:val="clear" w:color="auto" w:fill="auto"/>
            <w:vAlign w:val="center"/>
            <w:hideMark/>
          </w:tcPr>
          <w:p w14:paraId="0ADC93F4"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A</w:t>
            </w:r>
          </w:p>
        </w:tc>
        <w:tc>
          <w:tcPr>
            <w:tcW w:w="0" w:type="auto"/>
            <w:tcBorders>
              <w:top w:val="nil"/>
              <w:left w:val="nil"/>
              <w:bottom w:val="single" w:sz="8" w:space="0" w:color="auto"/>
              <w:right w:val="single" w:sz="4" w:space="0" w:color="auto"/>
            </w:tcBorders>
            <w:shd w:val="clear" w:color="auto" w:fill="auto"/>
            <w:vAlign w:val="center"/>
            <w:hideMark/>
          </w:tcPr>
          <w:p w14:paraId="4B24BB4D"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III</w:t>
            </w:r>
          </w:p>
        </w:tc>
        <w:tc>
          <w:tcPr>
            <w:tcW w:w="0" w:type="auto"/>
            <w:tcBorders>
              <w:top w:val="nil"/>
              <w:left w:val="nil"/>
              <w:bottom w:val="single" w:sz="8" w:space="0" w:color="auto"/>
              <w:right w:val="single" w:sz="4" w:space="0" w:color="auto"/>
            </w:tcBorders>
            <w:shd w:val="clear" w:color="000000" w:fill="92D050"/>
            <w:vAlign w:val="center"/>
            <w:hideMark/>
          </w:tcPr>
          <w:p w14:paraId="5B3253A2"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Nízke</w:t>
            </w:r>
          </w:p>
        </w:tc>
        <w:tc>
          <w:tcPr>
            <w:tcW w:w="0" w:type="auto"/>
            <w:tcBorders>
              <w:top w:val="nil"/>
              <w:left w:val="nil"/>
              <w:bottom w:val="single" w:sz="8" w:space="0" w:color="auto"/>
              <w:right w:val="single" w:sz="4" w:space="0" w:color="auto"/>
            </w:tcBorders>
            <w:shd w:val="clear" w:color="auto" w:fill="auto"/>
            <w:vAlign w:val="center"/>
            <w:hideMark/>
          </w:tcPr>
          <w:p w14:paraId="34BF65D0"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 xml:space="preserve">Pri tvorbe scenárov vývoja prevádzkových výdavkov   je potrebné vychádzať z čo najpresnejších údajov </w:t>
            </w:r>
          </w:p>
        </w:tc>
        <w:tc>
          <w:tcPr>
            <w:tcW w:w="0" w:type="auto"/>
            <w:tcBorders>
              <w:top w:val="nil"/>
              <w:left w:val="nil"/>
              <w:bottom w:val="single" w:sz="8" w:space="0" w:color="auto"/>
              <w:right w:val="single" w:sz="8" w:space="0" w:color="auto"/>
            </w:tcBorders>
            <w:shd w:val="clear" w:color="000000" w:fill="92D050"/>
            <w:vAlign w:val="center"/>
            <w:hideMark/>
          </w:tcPr>
          <w:p w14:paraId="2DB1AEFC" w14:textId="77777777" w:rsidR="001A24C3" w:rsidRPr="00DF31E7" w:rsidRDefault="001A24C3" w:rsidP="00300963">
            <w:pPr>
              <w:jc w:val="center"/>
              <w:rPr>
                <w:rFonts w:ascii="Times New Roman" w:eastAsia="Times New Roman" w:hAnsi="Times New Roman" w:cs="Times New Roman"/>
                <w:sz w:val="12"/>
                <w:szCs w:val="12"/>
                <w:lang w:eastAsia="sk-SK"/>
              </w:rPr>
            </w:pPr>
            <w:r w:rsidRPr="00DF31E7">
              <w:rPr>
                <w:rFonts w:ascii="Times New Roman" w:eastAsia="Times New Roman" w:hAnsi="Times New Roman" w:cs="Times New Roman"/>
                <w:sz w:val="12"/>
                <w:szCs w:val="12"/>
                <w:lang w:eastAsia="sk-SK"/>
              </w:rPr>
              <w:t>Nízke</w:t>
            </w:r>
          </w:p>
        </w:tc>
      </w:tr>
    </w:tbl>
    <w:p w14:paraId="06FA6043" w14:textId="571B09E2" w:rsidR="001A24C3" w:rsidRPr="005A3F88" w:rsidRDefault="001A24C3" w:rsidP="005A3F88">
      <w:pPr>
        <w:suppressAutoHyphens/>
        <w:rPr>
          <w:rFonts w:ascii="Calibri" w:eastAsia="Calibri" w:hAnsi="Calibri" w:cs="Calibri"/>
          <w:lang w:eastAsia="sk-SK" w:bidi="sk-SK"/>
        </w:rPr>
        <w:sectPr w:rsidR="001A24C3" w:rsidRPr="005A3F88" w:rsidSect="00AF44EA">
          <w:pgSz w:w="16838" w:h="11906" w:orient="landscape"/>
          <w:pgMar w:top="1418" w:right="1418" w:bottom="1418" w:left="1418" w:header="794" w:footer="106" w:gutter="0"/>
          <w:cols w:space="708"/>
          <w:formProt w:val="0"/>
          <w:titlePg/>
          <w:docGrid w:linePitch="360" w:charSpace="4096"/>
        </w:sectPr>
      </w:pPr>
    </w:p>
    <w:p w14:paraId="4E4B969F" w14:textId="77777777" w:rsidR="001A24C3" w:rsidRPr="005A3F88" w:rsidRDefault="001A24C3" w:rsidP="005A3F88">
      <w:pPr>
        <w:pStyle w:val="Nadpis41"/>
        <w:ind w:left="993" w:hanging="993"/>
        <w:rPr>
          <w:color w:val="auto"/>
          <w:sz w:val="24"/>
          <w:szCs w:val="24"/>
        </w:rPr>
      </w:pPr>
      <w:bookmarkStart w:id="428" w:name="_Toc88653049"/>
      <w:r w:rsidRPr="005A3F88">
        <w:rPr>
          <w:color w:val="auto"/>
          <w:sz w:val="24"/>
          <w:szCs w:val="24"/>
        </w:rPr>
        <w:lastRenderedPageBreak/>
        <w:t>Pravdepodobnostná riziková analýza</w:t>
      </w:r>
      <w:bookmarkEnd w:id="428"/>
    </w:p>
    <w:p w14:paraId="44DE3903" w14:textId="77777777" w:rsidR="001A24C3" w:rsidRPr="000A41CE" w:rsidRDefault="001A24C3" w:rsidP="001A24C3">
      <w:pPr>
        <w:rPr>
          <w:b/>
          <w:lang w:eastAsia="sk-SK" w:bidi="sk-SK"/>
        </w:rPr>
      </w:pPr>
      <w:r w:rsidRPr="000A41CE">
        <w:rPr>
          <w:lang w:eastAsia="sk-SK" w:bidi="sk-SK"/>
        </w:rPr>
        <w:t xml:space="preserve">V predchádzajúcich kapitolách sme si identifikovali citlivé premenné a zároveň vypočítali hodnoty, ako by sa tieto citlivé premenné museli zmeniť, aby to ohrozilo realizáciu projektu. Následná analýza scenárov preukázala, že </w:t>
      </w:r>
      <w:r>
        <w:rPr>
          <w:lang w:eastAsia="sk-SK" w:bidi="sk-SK"/>
        </w:rPr>
        <w:t>v pesimistickom scenári sa</w:t>
      </w:r>
      <w:r w:rsidRPr="000A41CE">
        <w:rPr>
          <w:lang w:eastAsia="sk-SK" w:bidi="sk-SK"/>
        </w:rPr>
        <w:t xml:space="preserve"> dostávame do pásma nemožnosti realizovať projekt</w:t>
      </w:r>
      <w:r>
        <w:rPr>
          <w:lang w:eastAsia="sk-SK" w:bidi="sk-SK"/>
        </w:rPr>
        <w:t xml:space="preserve">, pričom v žiadnom scenári sa nedostávame do </w:t>
      </w:r>
      <w:r w:rsidRPr="000A41CE">
        <w:rPr>
          <w:lang w:eastAsia="sk-SK" w:bidi="sk-SK"/>
        </w:rPr>
        <w:t xml:space="preserve">pásma nemožnosti financovať ho zo zdrojov Operačného Programu Integrovaná Infraštruktúra 2014 – 2020 z dôvodu schopnosti samofinancovania. </w:t>
      </w:r>
    </w:p>
    <w:p w14:paraId="1C3E0D78" w14:textId="77777777" w:rsidR="001A24C3" w:rsidRPr="000A41CE" w:rsidRDefault="001A24C3" w:rsidP="001A24C3">
      <w:pPr>
        <w:rPr>
          <w:b/>
          <w:lang w:eastAsia="sk-SK" w:bidi="sk-SK"/>
        </w:rPr>
      </w:pPr>
    </w:p>
    <w:p w14:paraId="13978538" w14:textId="2D10E1C1" w:rsidR="001A24C3" w:rsidRPr="000A41CE" w:rsidRDefault="001A24C3" w:rsidP="005A3F88">
      <w:pPr>
        <w:pStyle w:val="Popis"/>
        <w:jc w:val="both"/>
      </w:pPr>
      <w:bookmarkStart w:id="429" w:name="_Toc83678000"/>
      <w:r w:rsidRPr="000A41CE">
        <w:t xml:space="preserve">Graf </w:t>
      </w:r>
      <w:r w:rsidRPr="000A41CE">
        <w:rPr>
          <w:noProof/>
        </w:rPr>
        <w:fldChar w:fldCharType="begin"/>
      </w:r>
      <w:r w:rsidRPr="000A41CE">
        <w:rPr>
          <w:noProof/>
        </w:rPr>
        <w:instrText xml:space="preserve"> SEQ Graf \* ARABIC </w:instrText>
      </w:r>
      <w:r w:rsidRPr="000A41CE">
        <w:rPr>
          <w:noProof/>
        </w:rPr>
        <w:fldChar w:fldCharType="separate"/>
      </w:r>
      <w:r w:rsidR="008208F3">
        <w:rPr>
          <w:noProof/>
        </w:rPr>
        <w:t>3</w:t>
      </w:r>
      <w:r w:rsidRPr="000A41CE">
        <w:rPr>
          <w:noProof/>
        </w:rPr>
        <w:fldChar w:fldCharType="end"/>
      </w:r>
      <w:r w:rsidRPr="000A41CE">
        <w:tab/>
        <w:t>Rozdelenie pravdepodobnosti rizika FNPV</w:t>
      </w:r>
      <w:bookmarkEnd w:id="429"/>
    </w:p>
    <w:p w14:paraId="36DE79E7" w14:textId="77777777" w:rsidR="001A24C3" w:rsidRPr="000A41CE" w:rsidRDefault="001A24C3" w:rsidP="001A24C3">
      <w:r>
        <w:rPr>
          <w:noProof/>
          <w:lang w:eastAsia="sk-SK"/>
        </w:rPr>
        <w:drawing>
          <wp:inline distT="0" distB="0" distL="0" distR="0" wp14:anchorId="2D026980" wp14:editId="50962B3E">
            <wp:extent cx="5760720" cy="2232660"/>
            <wp:effectExtent l="0" t="0" r="11430" b="15240"/>
            <wp:docPr id="5" name="Graf 5">
              <a:extLst xmlns:a="http://schemas.openxmlformats.org/drawingml/2006/main">
                <a:ext uri="{FF2B5EF4-FFF2-40B4-BE49-F238E27FC236}">
                  <a16:creationId xmlns:a16="http://schemas.microsoft.com/office/drawing/2014/main" id="{FBDA2A3E-C1B6-4243-911F-998AF730A19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233C32D4" w14:textId="5DB80FE0" w:rsidR="001A24C3" w:rsidRPr="000A41CE" w:rsidRDefault="001A24C3" w:rsidP="005A3F88">
      <w:pPr>
        <w:pStyle w:val="TextKoice0"/>
        <w:spacing w:before="240" w:after="240"/>
        <w:ind w:left="0"/>
      </w:pPr>
      <w:r w:rsidRPr="000A41CE">
        <w:t xml:space="preserve">Pravdepodobnosť, že by hodnota FNPV bola väčšia ako 0 a zároveň hodnota FRR by bola väčšia ako diskontná sadzba, ktorá je stanovená na úrovni 4 % je </w:t>
      </w:r>
      <w:r>
        <w:t>14,29</w:t>
      </w:r>
      <w:r w:rsidRPr="000A41CE">
        <w:t xml:space="preserve"> %. Takáto pravdepodobnosť je </w:t>
      </w:r>
      <w:r>
        <w:t xml:space="preserve">značne akceptovateľná. </w:t>
      </w:r>
    </w:p>
    <w:p w14:paraId="5776C5EE" w14:textId="4EDDBACF" w:rsidR="001A24C3" w:rsidRPr="000A41CE" w:rsidRDefault="001A24C3" w:rsidP="005A3F88">
      <w:pPr>
        <w:pStyle w:val="Popis"/>
        <w:jc w:val="both"/>
      </w:pPr>
      <w:bookmarkStart w:id="430" w:name="_Toc83678001"/>
      <w:r w:rsidRPr="000A41CE">
        <w:t xml:space="preserve">Graf </w:t>
      </w:r>
      <w:r w:rsidRPr="000A41CE">
        <w:rPr>
          <w:noProof/>
        </w:rPr>
        <w:fldChar w:fldCharType="begin"/>
      </w:r>
      <w:r w:rsidRPr="000A41CE">
        <w:rPr>
          <w:noProof/>
        </w:rPr>
        <w:instrText xml:space="preserve"> SEQ Graf \* ARABIC </w:instrText>
      </w:r>
      <w:r w:rsidRPr="000A41CE">
        <w:rPr>
          <w:noProof/>
        </w:rPr>
        <w:fldChar w:fldCharType="separate"/>
      </w:r>
      <w:r w:rsidR="008208F3">
        <w:rPr>
          <w:noProof/>
        </w:rPr>
        <w:t>4</w:t>
      </w:r>
      <w:r w:rsidRPr="000A41CE">
        <w:rPr>
          <w:noProof/>
        </w:rPr>
        <w:fldChar w:fldCharType="end"/>
      </w:r>
      <w:r w:rsidRPr="000A41CE">
        <w:tab/>
        <w:t>Rozdelenie pravdepodobnosti rizika ENPV</w:t>
      </w:r>
      <w:bookmarkEnd w:id="430"/>
    </w:p>
    <w:p w14:paraId="02943047" w14:textId="77777777" w:rsidR="001A24C3" w:rsidRPr="000A41CE" w:rsidRDefault="001A24C3" w:rsidP="001A24C3">
      <w:r>
        <w:rPr>
          <w:noProof/>
          <w:lang w:eastAsia="sk-SK"/>
        </w:rPr>
        <w:drawing>
          <wp:inline distT="0" distB="0" distL="0" distR="0" wp14:anchorId="2C05B7E6" wp14:editId="726CCC3E">
            <wp:extent cx="5760720" cy="2149475"/>
            <wp:effectExtent l="0" t="0" r="11430" b="3175"/>
            <wp:docPr id="6" name="Graf 6">
              <a:extLst xmlns:a="http://schemas.openxmlformats.org/drawingml/2006/main">
                <a:ext uri="{FF2B5EF4-FFF2-40B4-BE49-F238E27FC236}">
                  <a16:creationId xmlns:a16="http://schemas.microsoft.com/office/drawing/2014/main" id="{C2751D68-A509-4E8E-ACC0-4D4AB2F56FA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0A0CCE17" w14:textId="77777777" w:rsidR="001A24C3" w:rsidRPr="000A41CE" w:rsidRDefault="001A24C3" w:rsidP="001A24C3"/>
    <w:p w14:paraId="284B07F9" w14:textId="77777777" w:rsidR="001A24C3" w:rsidRDefault="001A24C3" w:rsidP="001A24C3">
      <w:pPr>
        <w:pStyle w:val="TextKoice0"/>
      </w:pPr>
      <w:r w:rsidRPr="000A41CE">
        <w:t>Pravdepodobnosť, že by celospoločenské benefity projektu klesli tak, že by hodnota ENPV bola menšia ako 1 a zároveň hodnota ERR menšia ako diskontná sadzba je 5</w:t>
      </w:r>
      <w:r>
        <w:t>1,28</w:t>
      </w:r>
      <w:r w:rsidRPr="000A41CE">
        <w:t xml:space="preserve"> %, teda môže nastať, </w:t>
      </w:r>
      <w:r w:rsidRPr="000A41CE">
        <w:lastRenderedPageBreak/>
        <w:t xml:space="preserve">pričom pravdepodobnosť </w:t>
      </w:r>
      <w:r>
        <w:t>je viac ako ½, čo zaraďuje tento variant medzi citlivý na zmeny, resp. rizikový aj keď podľa výsledkov ekonomickej analýzy sa umiestnil ako realizovateľný na 2 mieste z 3.</w:t>
      </w:r>
    </w:p>
    <w:p w14:paraId="617DAE18" w14:textId="77777777" w:rsidR="001A24C3" w:rsidRDefault="001A24C3" w:rsidP="001A24C3">
      <w:pPr>
        <w:pStyle w:val="TextKoice0"/>
      </w:pPr>
    </w:p>
    <w:p w14:paraId="2D8CA6B9" w14:textId="3D32BA3B" w:rsidR="001A24C3" w:rsidRPr="005A3F88" w:rsidRDefault="001A24C3" w:rsidP="001A24C3">
      <w:pPr>
        <w:pStyle w:val="Nadpis31"/>
        <w:rPr>
          <w:color w:val="auto"/>
        </w:rPr>
      </w:pPr>
      <w:bookmarkStart w:id="431" w:name="_Toc88653050"/>
      <w:r w:rsidRPr="005A3F88">
        <w:rPr>
          <w:color w:val="auto"/>
        </w:rPr>
        <w:t xml:space="preserve">Variant </w:t>
      </w:r>
      <w:r w:rsidR="005A3F88">
        <w:rPr>
          <w:color w:val="auto"/>
        </w:rPr>
        <w:t xml:space="preserve">B </w:t>
      </w:r>
      <w:r w:rsidRPr="005A3F88">
        <w:rPr>
          <w:color w:val="auto"/>
        </w:rPr>
        <w:t>„</w:t>
      </w:r>
      <w:r w:rsidR="005A3F88">
        <w:rPr>
          <w:color w:val="auto"/>
        </w:rPr>
        <w:t>MODERNIZÁCIA žel. trate na rýchlosť 120 až 160 km/hod</w:t>
      </w:r>
      <w:r w:rsidRPr="005A3F88">
        <w:rPr>
          <w:color w:val="auto"/>
        </w:rPr>
        <w:t>“</w:t>
      </w:r>
      <w:bookmarkEnd w:id="431"/>
    </w:p>
    <w:p w14:paraId="07E4DAD5" w14:textId="77777777" w:rsidR="001A24C3" w:rsidRPr="005A3F88" w:rsidRDefault="001A24C3" w:rsidP="005A3F88">
      <w:pPr>
        <w:pStyle w:val="Nadpis41"/>
        <w:ind w:left="993" w:hanging="851"/>
        <w:rPr>
          <w:color w:val="auto"/>
          <w:sz w:val="24"/>
          <w:szCs w:val="24"/>
        </w:rPr>
      </w:pPr>
      <w:bookmarkStart w:id="432" w:name="_Toc88653051"/>
      <w:r w:rsidRPr="005A3F88">
        <w:rPr>
          <w:color w:val="auto"/>
          <w:sz w:val="24"/>
          <w:szCs w:val="24"/>
        </w:rPr>
        <w:t>Citlivostná analýza</w:t>
      </w:r>
      <w:bookmarkEnd w:id="432"/>
    </w:p>
    <w:p w14:paraId="71ABC5C3" w14:textId="77777777" w:rsidR="001A24C3" w:rsidRPr="00612785" w:rsidRDefault="001A24C3" w:rsidP="001A24C3">
      <w:pPr>
        <w:pStyle w:val="TextKoice0"/>
        <w:ind w:left="0"/>
      </w:pPr>
      <w:r w:rsidRPr="00612785">
        <w:t>V rámci citlivostnej analýzy sa sleduje citlivosť výstupných ukazovateľov CBA analýzy ako:</w:t>
      </w:r>
    </w:p>
    <w:p w14:paraId="65CEC65E" w14:textId="77777777" w:rsidR="001A24C3" w:rsidRPr="00612785" w:rsidRDefault="001A24C3" w:rsidP="001A24C3">
      <w:pPr>
        <w:pStyle w:val="ODRKY"/>
      </w:pPr>
      <w:r w:rsidRPr="00612785">
        <w:t>FNPV/C</w:t>
      </w:r>
    </w:p>
    <w:p w14:paraId="489D0028" w14:textId="77777777" w:rsidR="001A24C3" w:rsidRPr="00612785" w:rsidRDefault="001A24C3" w:rsidP="001A24C3">
      <w:pPr>
        <w:pStyle w:val="ODRKY"/>
      </w:pPr>
      <w:r w:rsidRPr="00612785">
        <w:t>ENPV</w:t>
      </w:r>
    </w:p>
    <w:p w14:paraId="4A1BC99C" w14:textId="77777777" w:rsidR="001A24C3" w:rsidRPr="00612785" w:rsidRDefault="001A24C3" w:rsidP="001A24C3">
      <w:pPr>
        <w:pStyle w:val="Odsekzoznamu"/>
        <w:spacing w:after="0" w:line="240" w:lineRule="auto"/>
        <w:jc w:val="both"/>
        <w:rPr>
          <w:rFonts w:ascii="Times New Roman" w:hAnsi="Times New Roman"/>
          <w:szCs w:val="24"/>
        </w:rPr>
      </w:pPr>
    </w:p>
    <w:p w14:paraId="02211602" w14:textId="2FDBF7B7" w:rsidR="001A24C3" w:rsidRPr="00612785" w:rsidRDefault="001A24C3" w:rsidP="001A24C3">
      <w:pPr>
        <w:pStyle w:val="TextKoice0"/>
        <w:ind w:left="0"/>
      </w:pPr>
      <w:r w:rsidRPr="00612785">
        <w:t>na zmenu vstupných premenných. Sledované vstupné premenné pre posúdenie citlivosti výstupných premenných v CBA analýze projektu sú:</w:t>
      </w:r>
    </w:p>
    <w:p w14:paraId="4A55F583" w14:textId="77777777" w:rsidR="001A24C3" w:rsidRPr="000A41CE" w:rsidRDefault="001A24C3" w:rsidP="001A24C3">
      <w:pPr>
        <w:pStyle w:val="ODRKY"/>
      </w:pPr>
      <w:r>
        <w:t>i</w:t>
      </w:r>
      <w:r w:rsidRPr="000A41CE">
        <w:t>nvestičné</w:t>
      </w:r>
      <w:r>
        <w:t xml:space="preserve"> výdavky</w:t>
      </w:r>
      <w:r w:rsidRPr="000A41CE">
        <w:t xml:space="preserve"> </w:t>
      </w:r>
      <w:r>
        <w:rPr>
          <w:lang w:val="en-US"/>
        </w:rPr>
        <w:t>(</w:t>
      </w:r>
      <w:r>
        <w:t>náklady)</w:t>
      </w:r>
      <w:r w:rsidRPr="000A41CE">
        <w:t>,</w:t>
      </w:r>
    </w:p>
    <w:p w14:paraId="5EB87191" w14:textId="77777777" w:rsidR="001A24C3" w:rsidRDefault="001A24C3" w:rsidP="001A24C3">
      <w:pPr>
        <w:pStyle w:val="ODRKY"/>
      </w:pPr>
      <w:r>
        <w:t>p</w:t>
      </w:r>
      <w:r w:rsidRPr="000A41CE">
        <w:t>revádzkové</w:t>
      </w:r>
      <w:r>
        <w:rPr>
          <w:lang w:val="cs-CZ"/>
        </w:rPr>
        <w:t xml:space="preserve"> výdavky</w:t>
      </w:r>
      <w:r w:rsidRPr="000A41CE">
        <w:t xml:space="preserve"> </w:t>
      </w:r>
      <w:r>
        <w:t>(náklady)</w:t>
      </w:r>
      <w:r w:rsidRPr="000A41CE">
        <w:t>,</w:t>
      </w:r>
    </w:p>
    <w:p w14:paraId="64E9A363" w14:textId="77777777" w:rsidR="001A24C3" w:rsidRDefault="001A24C3" w:rsidP="001A24C3">
      <w:pPr>
        <w:pStyle w:val="ODRKY"/>
      </w:pPr>
      <w:r>
        <w:t>úspora času - osobná doprava,</w:t>
      </w:r>
    </w:p>
    <w:p w14:paraId="722DF364" w14:textId="77777777" w:rsidR="001A24C3" w:rsidRDefault="001A24C3" w:rsidP="001A24C3">
      <w:pPr>
        <w:pStyle w:val="ODRKY"/>
      </w:pPr>
      <w:r>
        <w:t>vlkm – osobná doprava,</w:t>
      </w:r>
    </w:p>
    <w:p w14:paraId="67DF28C7" w14:textId="77777777" w:rsidR="001A24C3" w:rsidRPr="000A41CE" w:rsidRDefault="001A24C3" w:rsidP="001A24C3">
      <w:pPr>
        <w:pStyle w:val="ODRKY"/>
      </w:pPr>
      <w:r>
        <w:t>vzkm – prevedená doprava,</w:t>
      </w:r>
    </w:p>
    <w:p w14:paraId="772C5865" w14:textId="77777777" w:rsidR="001A24C3" w:rsidRDefault="001A24C3" w:rsidP="001A24C3">
      <w:pPr>
        <w:pStyle w:val="ODRKY"/>
      </w:pPr>
      <w:r>
        <w:t>úspora času - nákladná doprava,</w:t>
      </w:r>
    </w:p>
    <w:p w14:paraId="7B480F6D" w14:textId="77777777" w:rsidR="001A24C3" w:rsidRDefault="001A24C3" w:rsidP="001A24C3">
      <w:pPr>
        <w:pStyle w:val="ODRKY"/>
      </w:pPr>
      <w:r>
        <w:t>vlkm – nákladná doprava,</w:t>
      </w:r>
    </w:p>
    <w:p w14:paraId="1684C8CE" w14:textId="77777777" w:rsidR="001A24C3" w:rsidRDefault="001A24C3" w:rsidP="001A24C3">
      <w:pPr>
        <w:pStyle w:val="ODRKY"/>
      </w:pPr>
      <w:r>
        <w:t>množstvo prepraveného tovaru – nákladná doprava,</w:t>
      </w:r>
    </w:p>
    <w:p w14:paraId="7F183237" w14:textId="77777777" w:rsidR="001A24C3" w:rsidRPr="000A41CE" w:rsidRDefault="001A24C3" w:rsidP="001A24C3">
      <w:pPr>
        <w:pStyle w:val="ODRKY"/>
      </w:pPr>
      <w:r>
        <w:t>zostatková hodnota.</w:t>
      </w:r>
    </w:p>
    <w:p w14:paraId="5E4B6EB3" w14:textId="77777777" w:rsidR="001A24C3" w:rsidRPr="00612785" w:rsidRDefault="001A24C3" w:rsidP="001A24C3">
      <w:pPr>
        <w:rPr>
          <w:rFonts w:ascii="Times New Roman" w:hAnsi="Times New Roman"/>
          <w:szCs w:val="24"/>
        </w:rPr>
      </w:pPr>
    </w:p>
    <w:p w14:paraId="0EE2B9A6" w14:textId="77777777" w:rsidR="001A24C3" w:rsidRPr="00612785" w:rsidRDefault="001A24C3" w:rsidP="001A24C3">
      <w:pPr>
        <w:pStyle w:val="TextKoice0"/>
        <w:spacing w:after="240"/>
        <w:ind w:left="0"/>
      </w:pPr>
      <w:r w:rsidRPr="00612785">
        <w:t>V rámci spracovaného modelu boli vypočítané hodnoty o koľko % sa zmenia výstupné ukazovatele, ak dôjde k zmene vstupnej hodnoty o 1%, 5% a 10% smerom nahor alebo o 1%, 5% a 10% smerom nadol, pričom sa sledujú zmeny iba u jednej vstupnej premennej, kým ostatné v čase testovania ostávajú nezmenené.</w:t>
      </w:r>
    </w:p>
    <w:p w14:paraId="2AF8C902" w14:textId="77777777" w:rsidR="001A24C3" w:rsidRPr="00612785" w:rsidRDefault="001A24C3" w:rsidP="001A24C3">
      <w:pPr>
        <w:pStyle w:val="TextKoice0"/>
        <w:spacing w:after="240"/>
        <w:ind w:left="0"/>
      </w:pPr>
      <w:r w:rsidRPr="00612785">
        <w:t>V prípade, že 1%, 5% a 10%zmena vstupnej premennej smerom nahor alebo smerom nadol spôsobí väčšiu zmenu výstupného ukazovateľa, považujeme premennú za kritickú. V takom prípade je potrebné vstupnú premennú ďalej testovať prostredníctvom rizikovej analýzy a určiť hodnotu, pod ktorú nesmie klesnúť, respektíve nad ktorú nesmie stúpnuť, aby sa projekt podľa stanovených pravidiel nestal nerealizovateľným/nefinancovateľným.</w:t>
      </w:r>
    </w:p>
    <w:p w14:paraId="254411F1" w14:textId="77777777" w:rsidR="001A24C3" w:rsidRPr="00612785" w:rsidRDefault="001A24C3" w:rsidP="001A24C3">
      <w:pPr>
        <w:pStyle w:val="TextKoice0"/>
        <w:spacing w:after="240"/>
        <w:ind w:left="0"/>
      </w:pPr>
      <w:r w:rsidRPr="00612785">
        <w:t xml:space="preserve">Na základe vykonaného testovania je možné konštatovať, že vo vzťahu k výstupnému ukazovateľu FNPV/C sú citlivé </w:t>
      </w:r>
      <w:r>
        <w:t>investičné výdavky.</w:t>
      </w:r>
      <w:r w:rsidRPr="00612785">
        <w:t xml:space="preserve"> Vo vzťahu k výstupnému ukazovateľu ENPV  sú citlivé investičné náklady, prevádzkové náklady,</w:t>
      </w:r>
      <w:r>
        <w:t xml:space="preserve"> úspora času – osobná doprava, vlkm – osobná doprava, vzkm – prevedená doprava, úspora času – nákladná doprava, vlkm – nákladná doprava, množstvo prepraveného tovaru – nákladná doprava a zostatková hodnota. </w:t>
      </w:r>
    </w:p>
    <w:p w14:paraId="3F711794" w14:textId="77777777" w:rsidR="001A24C3" w:rsidRPr="00612785" w:rsidRDefault="001A24C3" w:rsidP="001A24C3">
      <w:r w:rsidRPr="00612785">
        <w:t>V nasledujúcich kapitolách sme pre ilustráciu uviedli len 1% zmenu vstupnej premennej. Kompletná citlivostná a riziková analýza so zmenami vstupných premenných 1%, 5% a 10% je v excelovskej časti.</w:t>
      </w:r>
    </w:p>
    <w:p w14:paraId="70A2581D" w14:textId="77777777" w:rsidR="001A24C3" w:rsidRPr="005A3F88" w:rsidRDefault="001A24C3" w:rsidP="005A3F88">
      <w:pPr>
        <w:pStyle w:val="Nadpis51"/>
        <w:spacing w:after="240"/>
        <w:ind w:left="1134" w:hanging="992"/>
        <w:rPr>
          <w:color w:val="auto"/>
          <w:sz w:val="24"/>
          <w:szCs w:val="24"/>
        </w:rPr>
      </w:pPr>
      <w:r w:rsidRPr="005A3F88">
        <w:rPr>
          <w:color w:val="auto"/>
          <w:sz w:val="24"/>
          <w:szCs w:val="24"/>
        </w:rPr>
        <w:lastRenderedPageBreak/>
        <w:t>Citlivosť na zmenu FNPV/C</w:t>
      </w:r>
    </w:p>
    <w:p w14:paraId="1F1B3817" w14:textId="77777777" w:rsidR="001A24C3" w:rsidRPr="00612785" w:rsidRDefault="001A24C3" w:rsidP="001A24C3">
      <w:r w:rsidRPr="00612785">
        <w:t>Za kritické (citlivé) premenné, ktoré majú vplyv na FNPV/C sú investičné náklady</w:t>
      </w:r>
      <w:r>
        <w:t>.</w:t>
      </w:r>
      <w:r w:rsidRPr="00612785">
        <w:t xml:space="preserve"> Tak ako je možné vidieť v nasledujúcich tabuľkách a grafe. V prípade, že by investičné náklady klesli o</w:t>
      </w:r>
      <w:r>
        <w:t> 84,82</w:t>
      </w:r>
      <w:r w:rsidRPr="00612785">
        <w:t xml:space="preserve"> %</w:t>
      </w:r>
      <w:r>
        <w:t xml:space="preserve"> </w:t>
      </w:r>
      <w:r w:rsidRPr="00612785">
        <w:t>došlo by k situácií, že by sa projekt stal samofinancovateľným a nebolo by potrebné jeho financovanie z fondov Európskej únie.</w:t>
      </w:r>
    </w:p>
    <w:p w14:paraId="72437F07" w14:textId="20A21707" w:rsidR="001A24C3" w:rsidRPr="00612785" w:rsidRDefault="001A24C3" w:rsidP="005A3F88">
      <w:pPr>
        <w:pStyle w:val="Popis"/>
        <w:jc w:val="both"/>
      </w:pPr>
      <w:bookmarkStart w:id="433" w:name="_Toc83677972"/>
      <w:r w:rsidRPr="00612785">
        <w:t xml:space="preserve">Tabuľka </w:t>
      </w:r>
      <w:r w:rsidR="00091EB3">
        <w:rPr>
          <w:noProof/>
        </w:rPr>
        <w:t>101</w:t>
      </w:r>
      <w:r w:rsidRPr="00612785">
        <w:tab/>
      </w:r>
      <w:r w:rsidRPr="00612785">
        <w:rPr>
          <w:noProof/>
        </w:rPr>
        <w:t>Citlivosť vstupných premenných na FNPV/C</w:t>
      </w:r>
      <w:bookmarkEnd w:id="433"/>
    </w:p>
    <w:tbl>
      <w:tblPr>
        <w:tblW w:w="0" w:type="auto"/>
        <w:tblCellMar>
          <w:left w:w="70" w:type="dxa"/>
          <w:right w:w="70" w:type="dxa"/>
        </w:tblCellMar>
        <w:tblLook w:val="04A0" w:firstRow="1" w:lastRow="0" w:firstColumn="1" w:lastColumn="0" w:noHBand="0" w:noVBand="1"/>
      </w:tblPr>
      <w:tblGrid>
        <w:gridCol w:w="2314"/>
        <w:gridCol w:w="885"/>
        <w:gridCol w:w="819"/>
        <w:gridCol w:w="885"/>
      </w:tblGrid>
      <w:tr w:rsidR="001A24C3" w:rsidRPr="00D468CB" w14:paraId="5F02AE1A" w14:textId="77777777" w:rsidTr="00300963">
        <w:trPr>
          <w:trHeight w:val="600"/>
        </w:trPr>
        <w:tc>
          <w:tcPr>
            <w:tcW w:w="0" w:type="auto"/>
            <w:tcBorders>
              <w:top w:val="single" w:sz="8" w:space="0" w:color="auto"/>
              <w:left w:val="single" w:sz="8" w:space="0" w:color="auto"/>
              <w:bottom w:val="single" w:sz="8" w:space="0" w:color="auto"/>
              <w:right w:val="single" w:sz="8" w:space="0" w:color="auto"/>
            </w:tcBorders>
            <w:shd w:val="clear" w:color="000000" w:fill="B1A0C7"/>
            <w:noWrap/>
            <w:vAlign w:val="center"/>
            <w:hideMark/>
          </w:tcPr>
          <w:p w14:paraId="226D23FC" w14:textId="77777777" w:rsidR="001A24C3" w:rsidRPr="00D468CB" w:rsidRDefault="001A24C3" w:rsidP="00300963">
            <w:pPr>
              <w:rPr>
                <w:rFonts w:ascii="Calibri" w:eastAsia="Times New Roman" w:hAnsi="Calibri" w:cs="Arial"/>
                <w:b/>
                <w:bCs/>
                <w:sz w:val="20"/>
                <w:szCs w:val="20"/>
                <w:lang w:eastAsia="sk-SK"/>
              </w:rPr>
            </w:pPr>
            <w:r w:rsidRPr="00D468CB">
              <w:rPr>
                <w:rFonts w:ascii="Calibri" w:eastAsia="Times New Roman" w:hAnsi="Calibri" w:cs="Arial"/>
                <w:b/>
                <w:bCs/>
                <w:sz w:val="20"/>
                <w:szCs w:val="20"/>
                <w:lang w:eastAsia="sk-SK"/>
              </w:rPr>
              <w:t>Zmena FNPV_C (% zmena)</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500A3883" w14:textId="77777777" w:rsidR="001A24C3" w:rsidRPr="00D468CB" w:rsidRDefault="001A24C3" w:rsidP="00300963">
            <w:pPr>
              <w:jc w:val="center"/>
              <w:rPr>
                <w:rFonts w:ascii="Calibri" w:eastAsia="Times New Roman" w:hAnsi="Calibri" w:cs="Arial"/>
                <w:b/>
                <w:bCs/>
                <w:sz w:val="20"/>
                <w:szCs w:val="20"/>
                <w:lang w:eastAsia="sk-SK"/>
              </w:rPr>
            </w:pPr>
            <w:r w:rsidRPr="00D468CB">
              <w:rPr>
                <w:rFonts w:ascii="Calibri" w:eastAsia="Times New Roman" w:hAnsi="Calibri" w:cs="Arial"/>
                <w:b/>
                <w:bCs/>
                <w:sz w:val="20"/>
                <w:szCs w:val="20"/>
                <w:lang w:eastAsia="sk-SK"/>
              </w:rPr>
              <w:t>-1%</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3326DBBF" w14:textId="77777777" w:rsidR="001A24C3" w:rsidRPr="00D468CB" w:rsidRDefault="001A24C3" w:rsidP="00300963">
            <w:pPr>
              <w:jc w:val="center"/>
              <w:rPr>
                <w:rFonts w:ascii="Calibri" w:eastAsia="Times New Roman" w:hAnsi="Calibri" w:cs="Arial"/>
                <w:b/>
                <w:bCs/>
                <w:sz w:val="20"/>
                <w:szCs w:val="20"/>
                <w:lang w:eastAsia="sk-SK"/>
              </w:rPr>
            </w:pPr>
            <w:r w:rsidRPr="00D468CB">
              <w:rPr>
                <w:rFonts w:ascii="Calibri" w:eastAsia="Times New Roman" w:hAnsi="Calibri" w:cs="Arial"/>
                <w:b/>
                <w:bCs/>
                <w:sz w:val="20"/>
                <w:szCs w:val="20"/>
                <w:lang w:eastAsia="sk-SK"/>
              </w:rPr>
              <w:t>0%</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74C90646" w14:textId="77777777" w:rsidR="001A24C3" w:rsidRPr="00D468CB" w:rsidRDefault="001A24C3" w:rsidP="00300963">
            <w:pPr>
              <w:jc w:val="center"/>
              <w:rPr>
                <w:rFonts w:ascii="Calibri" w:eastAsia="Times New Roman" w:hAnsi="Calibri" w:cs="Arial"/>
                <w:b/>
                <w:bCs/>
                <w:sz w:val="20"/>
                <w:szCs w:val="20"/>
                <w:lang w:eastAsia="sk-SK"/>
              </w:rPr>
            </w:pPr>
            <w:r w:rsidRPr="00D468CB">
              <w:rPr>
                <w:rFonts w:ascii="Calibri" w:eastAsia="Times New Roman" w:hAnsi="Calibri" w:cs="Arial"/>
                <w:b/>
                <w:bCs/>
                <w:sz w:val="20"/>
                <w:szCs w:val="20"/>
                <w:lang w:eastAsia="sk-SK"/>
              </w:rPr>
              <w:t>1%</w:t>
            </w:r>
          </w:p>
        </w:tc>
      </w:tr>
      <w:tr w:rsidR="001A24C3" w:rsidRPr="00D468CB" w14:paraId="682A71E4"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04DE1342" w14:textId="77777777" w:rsidR="001A24C3" w:rsidRPr="00D468CB" w:rsidRDefault="001A24C3" w:rsidP="00300963">
            <w:pPr>
              <w:rPr>
                <w:rFonts w:ascii="Calibri" w:eastAsia="Times New Roman" w:hAnsi="Calibri" w:cs="Arial"/>
                <w:sz w:val="20"/>
                <w:szCs w:val="20"/>
                <w:lang w:eastAsia="sk-SK"/>
              </w:rPr>
            </w:pPr>
            <w:r w:rsidRPr="00D468CB">
              <w:rPr>
                <w:rFonts w:ascii="Calibri" w:eastAsia="Times New Roman" w:hAnsi="Calibri" w:cs="Arial"/>
                <w:sz w:val="20"/>
                <w:szCs w:val="20"/>
                <w:lang w:eastAsia="sk-SK"/>
              </w:rPr>
              <w:t>Investičné výdavky</w:t>
            </w:r>
          </w:p>
        </w:tc>
        <w:tc>
          <w:tcPr>
            <w:tcW w:w="0" w:type="auto"/>
            <w:tcBorders>
              <w:top w:val="nil"/>
              <w:left w:val="nil"/>
              <w:bottom w:val="single" w:sz="4" w:space="0" w:color="auto"/>
              <w:right w:val="single" w:sz="4" w:space="0" w:color="auto"/>
            </w:tcBorders>
            <w:shd w:val="clear" w:color="auto" w:fill="auto"/>
            <w:noWrap/>
            <w:vAlign w:val="center"/>
            <w:hideMark/>
          </w:tcPr>
          <w:p w14:paraId="56958F76"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1,185%</w:t>
            </w:r>
          </w:p>
        </w:tc>
        <w:tc>
          <w:tcPr>
            <w:tcW w:w="0" w:type="auto"/>
            <w:tcBorders>
              <w:top w:val="nil"/>
              <w:left w:val="nil"/>
              <w:bottom w:val="single" w:sz="4" w:space="0" w:color="auto"/>
              <w:right w:val="single" w:sz="4" w:space="0" w:color="auto"/>
            </w:tcBorders>
            <w:shd w:val="clear" w:color="auto" w:fill="auto"/>
            <w:noWrap/>
            <w:vAlign w:val="center"/>
            <w:hideMark/>
          </w:tcPr>
          <w:p w14:paraId="42AD7C75"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148C5F23"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-1,185%</w:t>
            </w:r>
          </w:p>
        </w:tc>
      </w:tr>
      <w:tr w:rsidR="001A24C3" w:rsidRPr="00D468CB" w14:paraId="2174EF7D"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3F60302A" w14:textId="77777777" w:rsidR="001A24C3" w:rsidRPr="00D468CB" w:rsidRDefault="001A24C3" w:rsidP="00300963">
            <w:pPr>
              <w:rPr>
                <w:rFonts w:ascii="Calibri" w:eastAsia="Times New Roman" w:hAnsi="Calibri" w:cs="Arial"/>
                <w:sz w:val="20"/>
                <w:szCs w:val="20"/>
                <w:lang w:eastAsia="sk-SK"/>
              </w:rPr>
            </w:pPr>
            <w:r w:rsidRPr="00D468CB">
              <w:rPr>
                <w:rFonts w:ascii="Calibri" w:eastAsia="Times New Roman" w:hAnsi="Calibri" w:cs="Arial"/>
                <w:sz w:val="20"/>
                <w:szCs w:val="20"/>
                <w:lang w:eastAsia="sk-SK"/>
              </w:rPr>
              <w:t>Prevádzkové výdavky</w:t>
            </w:r>
          </w:p>
        </w:tc>
        <w:tc>
          <w:tcPr>
            <w:tcW w:w="0" w:type="auto"/>
            <w:tcBorders>
              <w:top w:val="nil"/>
              <w:left w:val="nil"/>
              <w:bottom w:val="single" w:sz="4" w:space="0" w:color="auto"/>
              <w:right w:val="single" w:sz="4" w:space="0" w:color="auto"/>
            </w:tcBorders>
            <w:shd w:val="clear" w:color="auto" w:fill="auto"/>
            <w:noWrap/>
            <w:vAlign w:val="center"/>
            <w:hideMark/>
          </w:tcPr>
          <w:p w14:paraId="68248A28"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-0,167%</w:t>
            </w:r>
          </w:p>
        </w:tc>
        <w:tc>
          <w:tcPr>
            <w:tcW w:w="0" w:type="auto"/>
            <w:tcBorders>
              <w:top w:val="nil"/>
              <w:left w:val="nil"/>
              <w:bottom w:val="single" w:sz="4" w:space="0" w:color="auto"/>
              <w:right w:val="single" w:sz="4" w:space="0" w:color="auto"/>
            </w:tcBorders>
            <w:shd w:val="clear" w:color="auto" w:fill="auto"/>
            <w:noWrap/>
            <w:vAlign w:val="center"/>
            <w:hideMark/>
          </w:tcPr>
          <w:p w14:paraId="5CD504A2"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31FAE77"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0,167%</w:t>
            </w:r>
          </w:p>
        </w:tc>
      </w:tr>
      <w:tr w:rsidR="001A24C3" w:rsidRPr="00D468CB" w14:paraId="4FD14167"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1E144363" w14:textId="77777777" w:rsidR="001A24C3" w:rsidRPr="00D468CB" w:rsidRDefault="001A24C3" w:rsidP="00300963">
            <w:pPr>
              <w:rPr>
                <w:rFonts w:ascii="Calibri" w:eastAsia="Times New Roman" w:hAnsi="Calibri" w:cs="Arial"/>
                <w:sz w:val="20"/>
                <w:szCs w:val="20"/>
                <w:lang w:eastAsia="sk-SK"/>
              </w:rPr>
            </w:pPr>
            <w:r w:rsidRPr="00D468CB">
              <w:rPr>
                <w:rFonts w:ascii="Calibri" w:eastAsia="Times New Roman" w:hAnsi="Calibri" w:cs="Arial"/>
                <w:sz w:val="20"/>
                <w:szCs w:val="20"/>
                <w:lang w:eastAsia="sk-SK"/>
              </w:rPr>
              <w:t>Prevádzkové príjmy</w:t>
            </w:r>
          </w:p>
        </w:tc>
        <w:tc>
          <w:tcPr>
            <w:tcW w:w="0" w:type="auto"/>
            <w:tcBorders>
              <w:top w:val="nil"/>
              <w:left w:val="nil"/>
              <w:bottom w:val="single" w:sz="4" w:space="0" w:color="auto"/>
              <w:right w:val="single" w:sz="4" w:space="0" w:color="auto"/>
            </w:tcBorders>
            <w:shd w:val="clear" w:color="auto" w:fill="auto"/>
            <w:noWrap/>
            <w:vAlign w:val="center"/>
            <w:hideMark/>
          </w:tcPr>
          <w:p w14:paraId="0A69F08E"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-0,012%</w:t>
            </w:r>
          </w:p>
        </w:tc>
        <w:tc>
          <w:tcPr>
            <w:tcW w:w="0" w:type="auto"/>
            <w:tcBorders>
              <w:top w:val="nil"/>
              <w:left w:val="nil"/>
              <w:bottom w:val="single" w:sz="4" w:space="0" w:color="auto"/>
              <w:right w:val="single" w:sz="4" w:space="0" w:color="auto"/>
            </w:tcBorders>
            <w:shd w:val="clear" w:color="auto" w:fill="auto"/>
            <w:noWrap/>
            <w:vAlign w:val="center"/>
            <w:hideMark/>
          </w:tcPr>
          <w:p w14:paraId="1D3E24EC"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741B2116"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0,012%</w:t>
            </w:r>
          </w:p>
        </w:tc>
      </w:tr>
      <w:tr w:rsidR="001A24C3" w:rsidRPr="00D468CB" w14:paraId="02EF1966" w14:textId="77777777" w:rsidTr="00300963">
        <w:trPr>
          <w:trHeight w:val="67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29C6E25D" w14:textId="77777777" w:rsidR="001A24C3" w:rsidRPr="00D468CB" w:rsidRDefault="001A24C3" w:rsidP="00300963">
            <w:pPr>
              <w:rPr>
                <w:rFonts w:ascii="Calibri" w:eastAsia="Times New Roman" w:hAnsi="Calibri" w:cs="Arial"/>
                <w:sz w:val="20"/>
                <w:szCs w:val="20"/>
                <w:lang w:eastAsia="sk-SK"/>
              </w:rPr>
            </w:pPr>
            <w:r w:rsidRPr="00D468CB">
              <w:rPr>
                <w:rFonts w:ascii="Calibri" w:eastAsia="Times New Roman" w:hAnsi="Calibri" w:cs="Arial"/>
                <w:sz w:val="20"/>
                <w:szCs w:val="20"/>
                <w:lang w:eastAsia="sk-SK"/>
              </w:rPr>
              <w:t>Zostatková hodnota</w:t>
            </w:r>
          </w:p>
        </w:tc>
        <w:tc>
          <w:tcPr>
            <w:tcW w:w="0" w:type="auto"/>
            <w:tcBorders>
              <w:top w:val="nil"/>
              <w:left w:val="nil"/>
              <w:bottom w:val="single" w:sz="8" w:space="0" w:color="auto"/>
              <w:right w:val="single" w:sz="4" w:space="0" w:color="auto"/>
            </w:tcBorders>
            <w:shd w:val="clear" w:color="auto" w:fill="auto"/>
            <w:noWrap/>
            <w:vAlign w:val="center"/>
            <w:hideMark/>
          </w:tcPr>
          <w:p w14:paraId="4DE6CA5F"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-0,006%</w:t>
            </w:r>
          </w:p>
        </w:tc>
        <w:tc>
          <w:tcPr>
            <w:tcW w:w="0" w:type="auto"/>
            <w:tcBorders>
              <w:top w:val="nil"/>
              <w:left w:val="nil"/>
              <w:bottom w:val="single" w:sz="8" w:space="0" w:color="auto"/>
              <w:right w:val="single" w:sz="4" w:space="0" w:color="auto"/>
            </w:tcBorders>
            <w:shd w:val="clear" w:color="auto" w:fill="auto"/>
            <w:noWrap/>
            <w:vAlign w:val="center"/>
            <w:hideMark/>
          </w:tcPr>
          <w:p w14:paraId="29EE8E62"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0,000%</w:t>
            </w:r>
          </w:p>
        </w:tc>
        <w:tc>
          <w:tcPr>
            <w:tcW w:w="0" w:type="auto"/>
            <w:tcBorders>
              <w:top w:val="nil"/>
              <w:left w:val="nil"/>
              <w:bottom w:val="single" w:sz="8" w:space="0" w:color="auto"/>
              <w:right w:val="single" w:sz="4" w:space="0" w:color="auto"/>
            </w:tcBorders>
            <w:shd w:val="clear" w:color="auto" w:fill="auto"/>
            <w:noWrap/>
            <w:vAlign w:val="center"/>
            <w:hideMark/>
          </w:tcPr>
          <w:p w14:paraId="3FD90058" w14:textId="77777777" w:rsidR="001A24C3" w:rsidRPr="00D468CB" w:rsidRDefault="001A24C3" w:rsidP="00300963">
            <w:pPr>
              <w:jc w:val="center"/>
              <w:rPr>
                <w:rFonts w:ascii="Arial" w:eastAsia="Times New Roman" w:hAnsi="Arial" w:cs="Arial"/>
                <w:color w:val="000000"/>
                <w:sz w:val="20"/>
                <w:szCs w:val="20"/>
                <w:lang w:eastAsia="sk-SK"/>
              </w:rPr>
            </w:pPr>
            <w:r w:rsidRPr="00D468CB">
              <w:rPr>
                <w:rFonts w:ascii="Arial" w:eastAsia="Times New Roman" w:hAnsi="Arial" w:cs="Arial"/>
                <w:color w:val="000000"/>
                <w:sz w:val="20"/>
                <w:szCs w:val="20"/>
                <w:lang w:eastAsia="sk-SK"/>
              </w:rPr>
              <w:t>0,006%</w:t>
            </w:r>
          </w:p>
        </w:tc>
      </w:tr>
    </w:tbl>
    <w:p w14:paraId="29AE00F9" w14:textId="77777777" w:rsidR="001A24C3" w:rsidRPr="00612785" w:rsidRDefault="001A24C3" w:rsidP="001A24C3"/>
    <w:p w14:paraId="13681CAA" w14:textId="216EFE5F" w:rsidR="001A24C3" w:rsidRPr="00612785" w:rsidRDefault="001A24C3" w:rsidP="005A3F88">
      <w:pPr>
        <w:pStyle w:val="Popis"/>
        <w:jc w:val="both"/>
      </w:pPr>
      <w:bookmarkStart w:id="434" w:name="_Toc83677973"/>
      <w:r w:rsidRPr="00612785">
        <w:t xml:space="preserve">Tabuľka </w:t>
      </w:r>
      <w:r w:rsidR="00091EB3">
        <w:t>102</w:t>
      </w:r>
      <w:r w:rsidRPr="00612785">
        <w:tab/>
        <w:t>Prepínacie hodnoty pri FNPV/C</w:t>
      </w:r>
      <w:bookmarkEnd w:id="434"/>
    </w:p>
    <w:tbl>
      <w:tblPr>
        <w:tblW w:w="0" w:type="auto"/>
        <w:tblCellMar>
          <w:left w:w="70" w:type="dxa"/>
          <w:right w:w="70" w:type="dxa"/>
        </w:tblCellMar>
        <w:tblLook w:val="04A0" w:firstRow="1" w:lastRow="0" w:firstColumn="1" w:lastColumn="0" w:noHBand="0" w:noVBand="1"/>
      </w:tblPr>
      <w:tblGrid>
        <w:gridCol w:w="1462"/>
        <w:gridCol w:w="661"/>
        <w:gridCol w:w="775"/>
        <w:gridCol w:w="6154"/>
      </w:tblGrid>
      <w:tr w:rsidR="001A24C3" w:rsidRPr="0034304D" w14:paraId="59B1A2AC" w14:textId="77777777" w:rsidTr="00300963">
        <w:trPr>
          <w:trHeight w:val="600"/>
        </w:trPr>
        <w:tc>
          <w:tcPr>
            <w:tcW w:w="0" w:type="auto"/>
            <w:tcBorders>
              <w:top w:val="single" w:sz="8" w:space="0" w:color="auto"/>
              <w:left w:val="single" w:sz="8" w:space="0" w:color="auto"/>
              <w:bottom w:val="single" w:sz="8" w:space="0" w:color="auto"/>
              <w:right w:val="single" w:sz="8" w:space="0" w:color="auto"/>
            </w:tcBorders>
            <w:shd w:val="clear" w:color="000000" w:fill="B1A0C7"/>
            <w:noWrap/>
            <w:vAlign w:val="center"/>
            <w:hideMark/>
          </w:tcPr>
          <w:p w14:paraId="1C2065D3" w14:textId="77777777" w:rsidR="001A24C3" w:rsidRPr="0034304D" w:rsidRDefault="001A24C3" w:rsidP="00300963">
            <w:pP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Zmena FNPV_C (% zmena)</w:t>
            </w:r>
          </w:p>
        </w:tc>
        <w:tc>
          <w:tcPr>
            <w:tcW w:w="0" w:type="auto"/>
            <w:tcBorders>
              <w:top w:val="single" w:sz="8" w:space="0" w:color="auto"/>
              <w:left w:val="single" w:sz="8" w:space="0" w:color="auto"/>
              <w:bottom w:val="single" w:sz="8" w:space="0" w:color="auto"/>
              <w:right w:val="single" w:sz="4" w:space="0" w:color="auto"/>
            </w:tcBorders>
            <w:shd w:val="clear" w:color="000000" w:fill="B1A0C7"/>
            <w:vAlign w:val="center"/>
            <w:hideMark/>
          </w:tcPr>
          <w:p w14:paraId="21EF0EBE"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Kritická premenná</w:t>
            </w:r>
          </w:p>
        </w:tc>
        <w:tc>
          <w:tcPr>
            <w:tcW w:w="0" w:type="auto"/>
            <w:tcBorders>
              <w:top w:val="single" w:sz="8" w:space="0" w:color="auto"/>
              <w:left w:val="nil"/>
              <w:bottom w:val="single" w:sz="8" w:space="0" w:color="auto"/>
              <w:right w:val="single" w:sz="8" w:space="0" w:color="auto"/>
            </w:tcBorders>
            <w:shd w:val="clear" w:color="000000" w:fill="B1A0C7"/>
            <w:noWrap/>
            <w:vAlign w:val="center"/>
            <w:hideMark/>
          </w:tcPr>
          <w:p w14:paraId="6B15669D"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FNPV_C &gt;= 0</w:t>
            </w:r>
          </w:p>
        </w:tc>
        <w:tc>
          <w:tcPr>
            <w:tcW w:w="0" w:type="auto"/>
            <w:tcBorders>
              <w:top w:val="single" w:sz="8" w:space="0" w:color="auto"/>
              <w:left w:val="nil"/>
              <w:bottom w:val="single" w:sz="8" w:space="0" w:color="auto"/>
              <w:right w:val="single" w:sz="8" w:space="0" w:color="000000"/>
            </w:tcBorders>
            <w:shd w:val="clear" w:color="000000" w:fill="B1A0C7"/>
            <w:noWrap/>
            <w:vAlign w:val="center"/>
            <w:hideMark/>
          </w:tcPr>
          <w:p w14:paraId="2F0E7BD7"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Poznámka</w:t>
            </w:r>
          </w:p>
        </w:tc>
      </w:tr>
      <w:tr w:rsidR="001A24C3" w:rsidRPr="0034304D" w14:paraId="45B7B6D7"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0EBA89D6"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Investičné výdavky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546990E"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206A7E69"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-84,82%</w:t>
            </w:r>
          </w:p>
        </w:tc>
        <w:tc>
          <w:tcPr>
            <w:tcW w:w="0" w:type="auto"/>
            <w:tcBorders>
              <w:top w:val="nil"/>
              <w:left w:val="nil"/>
              <w:bottom w:val="single" w:sz="4" w:space="0" w:color="auto"/>
              <w:right w:val="single" w:sz="8" w:space="0" w:color="000000"/>
            </w:tcBorders>
            <w:shd w:val="clear" w:color="auto" w:fill="auto"/>
            <w:noWrap/>
            <w:vAlign w:val="center"/>
            <w:hideMark/>
          </w:tcPr>
          <w:p w14:paraId="30805132"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Investičné výdavky by museli klesnúť o 84,82% aby  hodnota FNPV_C bola 0 alebo viac. Ide o nereálny scenár.</w:t>
            </w:r>
          </w:p>
        </w:tc>
      </w:tr>
      <w:tr w:rsidR="001A24C3" w:rsidRPr="0034304D" w14:paraId="1158AD9E"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33EE417B"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výdavky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652CA53"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4128A64C"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noWrap/>
            <w:vAlign w:val="center"/>
            <w:hideMark/>
          </w:tcPr>
          <w:p w14:paraId="4F808AC6" w14:textId="77777777" w:rsidR="001A24C3" w:rsidRPr="0034304D" w:rsidRDefault="001A24C3" w:rsidP="00300963">
            <w:pPr>
              <w:rPr>
                <w:rFonts w:ascii="Arial" w:eastAsia="Times New Roman" w:hAnsi="Arial" w:cs="Arial"/>
                <w:color w:val="FF0000"/>
                <w:sz w:val="16"/>
                <w:szCs w:val="16"/>
                <w:lang w:eastAsia="sk-SK"/>
              </w:rPr>
            </w:pPr>
            <w:r w:rsidRPr="0034304D">
              <w:rPr>
                <w:rFonts w:ascii="Arial" w:eastAsia="Times New Roman" w:hAnsi="Arial" w:cs="Arial"/>
                <w:color w:val="FF0000"/>
                <w:sz w:val="16"/>
                <w:szCs w:val="16"/>
                <w:lang w:eastAsia="sk-SK"/>
              </w:rPr>
              <w:t> </w:t>
            </w:r>
          </w:p>
        </w:tc>
      </w:tr>
      <w:tr w:rsidR="001A24C3" w:rsidRPr="0034304D" w14:paraId="23B2552A"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12093827"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príjmy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6BBFB06"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7499DA43"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noWrap/>
            <w:vAlign w:val="center"/>
            <w:hideMark/>
          </w:tcPr>
          <w:p w14:paraId="4D572850" w14:textId="77777777" w:rsidR="001A24C3" w:rsidRPr="0034304D" w:rsidRDefault="001A24C3" w:rsidP="00300963">
            <w:pPr>
              <w:rPr>
                <w:rFonts w:ascii="Arial" w:eastAsia="Times New Roman" w:hAnsi="Arial" w:cs="Arial"/>
                <w:color w:val="FF0000"/>
                <w:sz w:val="16"/>
                <w:szCs w:val="16"/>
                <w:lang w:eastAsia="sk-SK"/>
              </w:rPr>
            </w:pPr>
            <w:r w:rsidRPr="0034304D">
              <w:rPr>
                <w:rFonts w:ascii="Arial" w:eastAsia="Times New Roman" w:hAnsi="Arial" w:cs="Arial"/>
                <w:color w:val="FF0000"/>
                <w:sz w:val="16"/>
                <w:szCs w:val="16"/>
                <w:lang w:eastAsia="sk-SK"/>
              </w:rPr>
              <w:t> </w:t>
            </w:r>
          </w:p>
        </w:tc>
      </w:tr>
      <w:tr w:rsidR="001A24C3" w:rsidRPr="0034304D" w14:paraId="4B437B06" w14:textId="77777777" w:rsidTr="00300963">
        <w:trPr>
          <w:trHeight w:val="67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0B79E668"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Zostatková hodnota</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5E88D575"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8" w:space="0" w:color="auto"/>
              <w:right w:val="single" w:sz="8" w:space="0" w:color="auto"/>
            </w:tcBorders>
            <w:shd w:val="clear" w:color="auto" w:fill="auto"/>
            <w:noWrap/>
            <w:vAlign w:val="center"/>
            <w:hideMark/>
          </w:tcPr>
          <w:p w14:paraId="4271D3C1"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8" w:space="0" w:color="auto"/>
              <w:right w:val="single" w:sz="8" w:space="0" w:color="000000"/>
              <w:tl2br w:val="single" w:sz="4" w:space="0" w:color="auto"/>
              <w:tr2bl w:val="single" w:sz="4" w:space="0" w:color="auto"/>
            </w:tcBorders>
            <w:shd w:val="clear" w:color="auto" w:fill="auto"/>
            <w:noWrap/>
            <w:vAlign w:val="center"/>
            <w:hideMark/>
          </w:tcPr>
          <w:p w14:paraId="23D55C52" w14:textId="77777777" w:rsidR="001A24C3" w:rsidRPr="0034304D" w:rsidRDefault="001A24C3" w:rsidP="00300963">
            <w:pPr>
              <w:rPr>
                <w:rFonts w:ascii="Arial" w:eastAsia="Times New Roman" w:hAnsi="Arial" w:cs="Arial"/>
                <w:color w:val="FF0000"/>
                <w:sz w:val="16"/>
                <w:szCs w:val="16"/>
                <w:lang w:eastAsia="sk-SK"/>
              </w:rPr>
            </w:pPr>
            <w:r w:rsidRPr="0034304D">
              <w:rPr>
                <w:rFonts w:ascii="Arial" w:eastAsia="Times New Roman" w:hAnsi="Arial" w:cs="Arial"/>
                <w:color w:val="FF0000"/>
                <w:sz w:val="16"/>
                <w:szCs w:val="16"/>
                <w:lang w:eastAsia="sk-SK"/>
              </w:rPr>
              <w:t> </w:t>
            </w:r>
          </w:p>
        </w:tc>
      </w:tr>
    </w:tbl>
    <w:p w14:paraId="770B4534" w14:textId="77777777" w:rsidR="005A3F88" w:rsidRDefault="005A3F88" w:rsidP="005A3F88">
      <w:pPr>
        <w:pStyle w:val="Popis"/>
        <w:jc w:val="both"/>
      </w:pPr>
      <w:bookmarkStart w:id="435" w:name="_Toc83678002"/>
    </w:p>
    <w:p w14:paraId="48D00167" w14:textId="77777777" w:rsidR="005A3F88" w:rsidRDefault="005A3F88" w:rsidP="005A3F88">
      <w:pPr>
        <w:pStyle w:val="Popis"/>
        <w:jc w:val="both"/>
      </w:pPr>
    </w:p>
    <w:p w14:paraId="214CAEA5" w14:textId="77777777" w:rsidR="005A3F88" w:rsidRDefault="005A3F88" w:rsidP="005A3F88">
      <w:pPr>
        <w:pStyle w:val="Popis"/>
        <w:jc w:val="both"/>
      </w:pPr>
    </w:p>
    <w:p w14:paraId="1A404987" w14:textId="77777777" w:rsidR="005A3F88" w:rsidRDefault="005A3F88" w:rsidP="005A3F88">
      <w:pPr>
        <w:pStyle w:val="Popis"/>
        <w:jc w:val="both"/>
      </w:pPr>
    </w:p>
    <w:p w14:paraId="64AC7142" w14:textId="77777777" w:rsidR="005A3F88" w:rsidRDefault="005A3F88" w:rsidP="005A3F88">
      <w:pPr>
        <w:pStyle w:val="Popis"/>
        <w:jc w:val="both"/>
      </w:pPr>
    </w:p>
    <w:p w14:paraId="01B80744" w14:textId="77777777" w:rsidR="005A3F88" w:rsidRDefault="005A3F88" w:rsidP="005A3F88">
      <w:pPr>
        <w:pStyle w:val="Popis"/>
        <w:jc w:val="both"/>
      </w:pPr>
    </w:p>
    <w:p w14:paraId="491B7B6B" w14:textId="77777777" w:rsidR="005A3F88" w:rsidRDefault="005A3F88" w:rsidP="005A3F88">
      <w:pPr>
        <w:pStyle w:val="Popis"/>
        <w:jc w:val="both"/>
      </w:pPr>
    </w:p>
    <w:p w14:paraId="338049AF" w14:textId="77777777" w:rsidR="005A3F88" w:rsidRDefault="005A3F88" w:rsidP="005A3F88">
      <w:pPr>
        <w:pStyle w:val="Popis"/>
        <w:jc w:val="both"/>
      </w:pPr>
    </w:p>
    <w:p w14:paraId="1393F871" w14:textId="2AA10D53" w:rsidR="001A24C3" w:rsidRPr="00612785" w:rsidRDefault="001A24C3" w:rsidP="005A3F88">
      <w:pPr>
        <w:pStyle w:val="Popis"/>
        <w:jc w:val="both"/>
      </w:pPr>
      <w:r w:rsidRPr="00612785">
        <w:lastRenderedPageBreak/>
        <w:t xml:space="preserve">Graf </w:t>
      </w:r>
      <w:r w:rsidRPr="00612785">
        <w:rPr>
          <w:noProof/>
        </w:rPr>
        <w:fldChar w:fldCharType="begin"/>
      </w:r>
      <w:r w:rsidRPr="00612785">
        <w:rPr>
          <w:noProof/>
        </w:rPr>
        <w:instrText xml:space="preserve"> SEQ Graf \* ARABIC </w:instrText>
      </w:r>
      <w:r w:rsidRPr="00612785">
        <w:rPr>
          <w:noProof/>
        </w:rPr>
        <w:fldChar w:fldCharType="separate"/>
      </w:r>
      <w:r w:rsidR="008208F3">
        <w:rPr>
          <w:noProof/>
        </w:rPr>
        <w:t>5</w:t>
      </w:r>
      <w:r w:rsidRPr="00612785">
        <w:rPr>
          <w:noProof/>
        </w:rPr>
        <w:fldChar w:fldCharType="end"/>
      </w:r>
      <w:r w:rsidRPr="00612785">
        <w:tab/>
        <w:t>Citlivosť vstupných premenných na FNPV/C</w:t>
      </w:r>
      <w:bookmarkEnd w:id="435"/>
    </w:p>
    <w:p w14:paraId="2EAEC1F2" w14:textId="77777777" w:rsidR="001A24C3" w:rsidRPr="00612785" w:rsidRDefault="001A24C3" w:rsidP="001A24C3">
      <w:r>
        <w:rPr>
          <w:noProof/>
          <w:lang w:eastAsia="sk-SK"/>
        </w:rPr>
        <w:drawing>
          <wp:inline distT="0" distB="0" distL="0" distR="0" wp14:anchorId="52E4509F" wp14:editId="1BF5C565">
            <wp:extent cx="5760720" cy="3036570"/>
            <wp:effectExtent l="0" t="0" r="11430" b="11430"/>
            <wp:docPr id="7" name="Graf 7">
              <a:extLst xmlns:a="http://schemas.openxmlformats.org/drawingml/2006/main">
                <a:ext uri="{FF2B5EF4-FFF2-40B4-BE49-F238E27FC236}">
                  <a16:creationId xmlns:a16="http://schemas.microsoft.com/office/drawing/2014/main" id="{187BFFE8-2A31-43DF-9C2A-E79FC54F21A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14:paraId="015331EA" w14:textId="77777777" w:rsidR="001A24C3" w:rsidRPr="00612785" w:rsidRDefault="001A24C3" w:rsidP="001A24C3"/>
    <w:p w14:paraId="6FAE9F0B" w14:textId="77777777" w:rsidR="001A24C3" w:rsidRPr="005A3F88" w:rsidRDefault="001A24C3" w:rsidP="005A3F88">
      <w:pPr>
        <w:pStyle w:val="Nadpis51"/>
        <w:tabs>
          <w:tab w:val="clear" w:pos="2269"/>
        </w:tabs>
        <w:spacing w:after="240"/>
        <w:ind w:left="1134" w:hanging="992"/>
        <w:rPr>
          <w:color w:val="auto"/>
          <w:sz w:val="24"/>
          <w:szCs w:val="24"/>
        </w:rPr>
      </w:pPr>
      <w:r w:rsidRPr="005A3F88">
        <w:rPr>
          <w:color w:val="auto"/>
          <w:sz w:val="24"/>
          <w:szCs w:val="24"/>
        </w:rPr>
        <w:t>Citlivosť na zmenu ENPV</w:t>
      </w:r>
    </w:p>
    <w:p w14:paraId="20D70695" w14:textId="77777777" w:rsidR="006D4862" w:rsidRDefault="001A24C3" w:rsidP="006D4862">
      <w:pPr>
        <w:pStyle w:val="TextKoice0"/>
        <w:spacing w:after="240"/>
        <w:ind w:left="-142"/>
      </w:pPr>
      <w:r w:rsidRPr="00612785">
        <w:t xml:space="preserve">V prípade ekonomickej analýzy a teda vplyvu na ENPV existuje v tomto </w:t>
      </w:r>
      <w:r>
        <w:t xml:space="preserve">variante až 9 premenných, teda všetky testované premenné, ktoré </w:t>
      </w:r>
      <w:r w:rsidRPr="00612785">
        <w:t>by mohl</w:t>
      </w:r>
      <w:r>
        <w:t>i</w:t>
      </w:r>
      <w:r w:rsidRPr="00612785">
        <w:t xml:space="preserve"> spôsobiť, že by projekt nebol prínosný z celospoločenského hľadiska a nebolo by ho možné vôbec realizovať. Ide </w:t>
      </w:r>
      <w:r>
        <w:t>investičné náklady pri ktorých by stačil nárast o 0,23 %, alebo pokles úspory prevádzkových nákladov o 2,30 %, alebo úspora času  v osobnej doprave by musela klesnúť 3,44 %, alebo vlkm v osobnej dopravy by museli klesnúť o 15,50 %, alebo  vzkm z prevedenej dopravy by museli klesnúť o 14,40 %, alebo  úspora času v nákladnej doprave by musela klesnúť o 0,34 %, alebo vlkm v nákladnej doprave by museli klesnúť o 0,50 %, alebo množstvo prepraveného tovaru by muselo klesnúť o 0,540 %, alebo zostatková hodnota by musela klesnúť o 1,97 %.</w:t>
      </w:r>
      <w:r w:rsidRPr="00612785">
        <w:t xml:space="preserve"> </w:t>
      </w:r>
      <w:bookmarkStart w:id="436" w:name="_Toc83677974"/>
    </w:p>
    <w:p w14:paraId="0DF7C8CB" w14:textId="18D08DF3" w:rsidR="001A24C3" w:rsidRPr="00612785" w:rsidRDefault="001A24C3" w:rsidP="006D4862">
      <w:pPr>
        <w:pStyle w:val="TextKoice0"/>
        <w:spacing w:after="240"/>
        <w:ind w:left="-142"/>
      </w:pPr>
      <w:r w:rsidRPr="00612785">
        <w:t xml:space="preserve">Tabuľka </w:t>
      </w:r>
      <w:r w:rsidR="00091EB3">
        <w:rPr>
          <w:noProof/>
        </w:rPr>
        <w:t>103</w:t>
      </w:r>
      <w:r w:rsidRPr="00612785">
        <w:tab/>
        <w:t>Citlivosť vstupných premenných na ENPV</w:t>
      </w:r>
      <w:bookmarkEnd w:id="436"/>
    </w:p>
    <w:tbl>
      <w:tblPr>
        <w:tblW w:w="0" w:type="auto"/>
        <w:tblCellMar>
          <w:left w:w="70" w:type="dxa"/>
          <w:right w:w="70" w:type="dxa"/>
        </w:tblCellMar>
        <w:tblLook w:val="04A0" w:firstRow="1" w:lastRow="0" w:firstColumn="1" w:lastColumn="0" w:noHBand="0" w:noVBand="1"/>
      </w:tblPr>
      <w:tblGrid>
        <w:gridCol w:w="4308"/>
        <w:gridCol w:w="1108"/>
        <w:gridCol w:w="708"/>
        <w:gridCol w:w="1108"/>
      </w:tblGrid>
      <w:tr w:rsidR="001A24C3" w:rsidRPr="002D0B5A" w14:paraId="13A7EBE4" w14:textId="77777777" w:rsidTr="00300963">
        <w:trPr>
          <w:trHeight w:val="660"/>
        </w:trPr>
        <w:tc>
          <w:tcPr>
            <w:tcW w:w="0" w:type="auto"/>
            <w:tcBorders>
              <w:top w:val="single" w:sz="8" w:space="0" w:color="auto"/>
              <w:left w:val="single" w:sz="8" w:space="0" w:color="auto"/>
              <w:bottom w:val="nil"/>
              <w:right w:val="single" w:sz="8" w:space="0" w:color="auto"/>
            </w:tcBorders>
            <w:shd w:val="clear" w:color="000000" w:fill="B1A0C7"/>
            <w:noWrap/>
            <w:vAlign w:val="center"/>
            <w:hideMark/>
          </w:tcPr>
          <w:p w14:paraId="75DED54E" w14:textId="77777777" w:rsidR="001A24C3" w:rsidRPr="002D0B5A" w:rsidRDefault="001A24C3" w:rsidP="00300963">
            <w:pPr>
              <w:rPr>
                <w:rFonts w:ascii="Calibri" w:eastAsia="Times New Roman" w:hAnsi="Calibri" w:cs="Arial"/>
                <w:b/>
                <w:bCs/>
                <w:sz w:val="20"/>
                <w:szCs w:val="20"/>
                <w:lang w:eastAsia="sk-SK"/>
              </w:rPr>
            </w:pPr>
            <w:r w:rsidRPr="002D0B5A">
              <w:rPr>
                <w:rFonts w:ascii="Calibri" w:eastAsia="Times New Roman" w:hAnsi="Calibri" w:cs="Arial"/>
                <w:b/>
                <w:bCs/>
                <w:sz w:val="20"/>
                <w:szCs w:val="20"/>
                <w:lang w:eastAsia="sk-SK"/>
              </w:rPr>
              <w:t>Zmena ENPV (% zmena)</w:t>
            </w:r>
          </w:p>
        </w:tc>
        <w:tc>
          <w:tcPr>
            <w:tcW w:w="0" w:type="auto"/>
            <w:tcBorders>
              <w:top w:val="single" w:sz="8" w:space="0" w:color="auto"/>
              <w:left w:val="nil"/>
              <w:bottom w:val="nil"/>
              <w:right w:val="single" w:sz="4" w:space="0" w:color="auto"/>
            </w:tcBorders>
            <w:shd w:val="clear" w:color="000000" w:fill="B1A0C7"/>
            <w:noWrap/>
            <w:vAlign w:val="center"/>
            <w:hideMark/>
          </w:tcPr>
          <w:p w14:paraId="00AA0F12" w14:textId="77777777" w:rsidR="001A24C3" w:rsidRPr="002D0B5A" w:rsidRDefault="001A24C3" w:rsidP="00300963">
            <w:pPr>
              <w:jc w:val="center"/>
              <w:rPr>
                <w:rFonts w:ascii="Calibri" w:eastAsia="Times New Roman" w:hAnsi="Calibri" w:cs="Arial"/>
                <w:b/>
                <w:bCs/>
                <w:sz w:val="20"/>
                <w:szCs w:val="20"/>
                <w:lang w:eastAsia="sk-SK"/>
              </w:rPr>
            </w:pPr>
            <w:r w:rsidRPr="002D0B5A">
              <w:rPr>
                <w:rFonts w:ascii="Calibri" w:eastAsia="Times New Roman" w:hAnsi="Calibri" w:cs="Arial"/>
                <w:b/>
                <w:bCs/>
                <w:sz w:val="20"/>
                <w:szCs w:val="20"/>
                <w:lang w:eastAsia="sk-SK"/>
              </w:rPr>
              <w:t>-1%</w:t>
            </w:r>
          </w:p>
        </w:tc>
        <w:tc>
          <w:tcPr>
            <w:tcW w:w="0" w:type="auto"/>
            <w:tcBorders>
              <w:top w:val="single" w:sz="8" w:space="0" w:color="auto"/>
              <w:left w:val="nil"/>
              <w:bottom w:val="nil"/>
              <w:right w:val="single" w:sz="4" w:space="0" w:color="auto"/>
            </w:tcBorders>
            <w:shd w:val="clear" w:color="000000" w:fill="B1A0C7"/>
            <w:noWrap/>
            <w:vAlign w:val="center"/>
            <w:hideMark/>
          </w:tcPr>
          <w:p w14:paraId="1710D13A" w14:textId="77777777" w:rsidR="001A24C3" w:rsidRPr="002D0B5A" w:rsidRDefault="001A24C3" w:rsidP="00300963">
            <w:pPr>
              <w:jc w:val="center"/>
              <w:rPr>
                <w:rFonts w:ascii="Calibri" w:eastAsia="Times New Roman" w:hAnsi="Calibri" w:cs="Arial"/>
                <w:b/>
                <w:bCs/>
                <w:sz w:val="20"/>
                <w:szCs w:val="20"/>
                <w:lang w:eastAsia="sk-SK"/>
              </w:rPr>
            </w:pPr>
            <w:r w:rsidRPr="002D0B5A">
              <w:rPr>
                <w:rFonts w:ascii="Calibri" w:eastAsia="Times New Roman" w:hAnsi="Calibri" w:cs="Arial"/>
                <w:b/>
                <w:bCs/>
                <w:sz w:val="20"/>
                <w:szCs w:val="20"/>
                <w:lang w:eastAsia="sk-SK"/>
              </w:rPr>
              <w:t>0%</w:t>
            </w:r>
          </w:p>
        </w:tc>
        <w:tc>
          <w:tcPr>
            <w:tcW w:w="0" w:type="auto"/>
            <w:tcBorders>
              <w:top w:val="single" w:sz="8" w:space="0" w:color="auto"/>
              <w:left w:val="nil"/>
              <w:bottom w:val="nil"/>
              <w:right w:val="single" w:sz="4" w:space="0" w:color="auto"/>
            </w:tcBorders>
            <w:shd w:val="clear" w:color="000000" w:fill="B1A0C7"/>
            <w:noWrap/>
            <w:vAlign w:val="center"/>
            <w:hideMark/>
          </w:tcPr>
          <w:p w14:paraId="7B374D93" w14:textId="77777777" w:rsidR="001A24C3" w:rsidRPr="002D0B5A" w:rsidRDefault="001A24C3" w:rsidP="00300963">
            <w:pPr>
              <w:jc w:val="center"/>
              <w:rPr>
                <w:rFonts w:ascii="Calibri" w:eastAsia="Times New Roman" w:hAnsi="Calibri" w:cs="Arial"/>
                <w:b/>
                <w:bCs/>
                <w:sz w:val="20"/>
                <w:szCs w:val="20"/>
                <w:lang w:eastAsia="sk-SK"/>
              </w:rPr>
            </w:pPr>
            <w:r w:rsidRPr="002D0B5A">
              <w:rPr>
                <w:rFonts w:ascii="Calibri" w:eastAsia="Times New Roman" w:hAnsi="Calibri" w:cs="Arial"/>
                <w:b/>
                <w:bCs/>
                <w:sz w:val="20"/>
                <w:szCs w:val="20"/>
                <w:lang w:eastAsia="sk-SK"/>
              </w:rPr>
              <w:t>1%</w:t>
            </w:r>
          </w:p>
        </w:tc>
      </w:tr>
      <w:tr w:rsidR="001A24C3" w:rsidRPr="002D0B5A" w14:paraId="0C2E57ED" w14:textId="77777777" w:rsidTr="00300963">
        <w:trPr>
          <w:trHeight w:val="276"/>
        </w:trPr>
        <w:tc>
          <w:tcPr>
            <w:tcW w:w="0" w:type="auto"/>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2C113FDA"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Investičné náklady</w:t>
            </w:r>
          </w:p>
        </w:tc>
        <w:tc>
          <w:tcPr>
            <w:tcW w:w="0" w:type="auto"/>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CCB669D"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446,157%</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122C5567"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49D50504"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-446,157%</w:t>
            </w:r>
          </w:p>
        </w:tc>
      </w:tr>
      <w:tr w:rsidR="001A24C3" w:rsidRPr="002D0B5A" w14:paraId="2CFABBED" w14:textId="77777777" w:rsidTr="00300963">
        <w:trPr>
          <w:trHeight w:val="27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8EFE108"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Prevádzkové náklady</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598EA1D"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-62,192%</w:t>
            </w:r>
          </w:p>
        </w:tc>
        <w:tc>
          <w:tcPr>
            <w:tcW w:w="0" w:type="auto"/>
            <w:tcBorders>
              <w:top w:val="nil"/>
              <w:left w:val="nil"/>
              <w:bottom w:val="single" w:sz="4" w:space="0" w:color="auto"/>
              <w:right w:val="single" w:sz="4" w:space="0" w:color="auto"/>
            </w:tcBorders>
            <w:shd w:val="clear" w:color="auto" w:fill="auto"/>
            <w:noWrap/>
            <w:vAlign w:val="center"/>
            <w:hideMark/>
          </w:tcPr>
          <w:p w14:paraId="665A3E30"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2F10A79B"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62,192%</w:t>
            </w:r>
          </w:p>
        </w:tc>
      </w:tr>
      <w:tr w:rsidR="001A24C3" w:rsidRPr="002D0B5A" w14:paraId="0E859636" w14:textId="77777777" w:rsidTr="00300963">
        <w:trPr>
          <w:trHeight w:val="26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A084C0A"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úspora času - osobná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B59E66A"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-25,361%</w:t>
            </w:r>
          </w:p>
        </w:tc>
        <w:tc>
          <w:tcPr>
            <w:tcW w:w="0" w:type="auto"/>
            <w:tcBorders>
              <w:top w:val="nil"/>
              <w:left w:val="nil"/>
              <w:bottom w:val="single" w:sz="4" w:space="0" w:color="auto"/>
              <w:right w:val="single" w:sz="4" w:space="0" w:color="auto"/>
            </w:tcBorders>
            <w:shd w:val="clear" w:color="auto" w:fill="auto"/>
            <w:noWrap/>
            <w:vAlign w:val="center"/>
            <w:hideMark/>
          </w:tcPr>
          <w:p w14:paraId="62E92E9F"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26AE79DB"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25,361%</w:t>
            </w:r>
          </w:p>
        </w:tc>
      </w:tr>
      <w:tr w:rsidR="001A24C3" w:rsidRPr="002D0B5A" w14:paraId="65DCD028" w14:textId="77777777" w:rsidTr="00300963">
        <w:trPr>
          <w:trHeight w:val="282"/>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5E04C51"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vlkm - osobná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8DC89D4"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-12,750%</w:t>
            </w:r>
          </w:p>
        </w:tc>
        <w:tc>
          <w:tcPr>
            <w:tcW w:w="0" w:type="auto"/>
            <w:tcBorders>
              <w:top w:val="nil"/>
              <w:left w:val="nil"/>
              <w:bottom w:val="single" w:sz="4" w:space="0" w:color="auto"/>
              <w:right w:val="single" w:sz="4" w:space="0" w:color="auto"/>
            </w:tcBorders>
            <w:shd w:val="clear" w:color="auto" w:fill="auto"/>
            <w:noWrap/>
            <w:vAlign w:val="center"/>
            <w:hideMark/>
          </w:tcPr>
          <w:p w14:paraId="3FA07204"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0942E1CB"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12,750%</w:t>
            </w:r>
          </w:p>
        </w:tc>
      </w:tr>
      <w:tr w:rsidR="001A24C3" w:rsidRPr="002D0B5A" w14:paraId="7BFE7DC8" w14:textId="77777777" w:rsidTr="00300963">
        <w:trPr>
          <w:trHeight w:val="415"/>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32A7D33"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vzkm - prevedená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011F23A"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-10,838%</w:t>
            </w:r>
          </w:p>
        </w:tc>
        <w:tc>
          <w:tcPr>
            <w:tcW w:w="0" w:type="auto"/>
            <w:tcBorders>
              <w:top w:val="nil"/>
              <w:left w:val="nil"/>
              <w:bottom w:val="single" w:sz="4" w:space="0" w:color="auto"/>
              <w:right w:val="single" w:sz="4" w:space="0" w:color="auto"/>
            </w:tcBorders>
            <w:shd w:val="clear" w:color="auto" w:fill="auto"/>
            <w:noWrap/>
            <w:vAlign w:val="center"/>
            <w:hideMark/>
          </w:tcPr>
          <w:p w14:paraId="7B86A011"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76B795E6"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10,838%</w:t>
            </w:r>
          </w:p>
        </w:tc>
      </w:tr>
      <w:tr w:rsidR="001A24C3" w:rsidRPr="002D0B5A" w14:paraId="5E7F53E6" w14:textId="77777777" w:rsidTr="00300963">
        <w:trPr>
          <w:trHeight w:val="407"/>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D2C4AC7"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úspora času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73DAE80"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-261,179%</w:t>
            </w:r>
          </w:p>
        </w:tc>
        <w:tc>
          <w:tcPr>
            <w:tcW w:w="0" w:type="auto"/>
            <w:tcBorders>
              <w:top w:val="nil"/>
              <w:left w:val="nil"/>
              <w:bottom w:val="single" w:sz="4" w:space="0" w:color="auto"/>
              <w:right w:val="single" w:sz="4" w:space="0" w:color="auto"/>
            </w:tcBorders>
            <w:shd w:val="clear" w:color="auto" w:fill="auto"/>
            <w:noWrap/>
            <w:vAlign w:val="center"/>
            <w:hideMark/>
          </w:tcPr>
          <w:p w14:paraId="745C483A"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134BD036"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261,179%</w:t>
            </w:r>
          </w:p>
        </w:tc>
      </w:tr>
      <w:tr w:rsidR="001A24C3" w:rsidRPr="002D0B5A" w14:paraId="3C1FD335" w14:textId="77777777" w:rsidTr="00300963">
        <w:trPr>
          <w:trHeight w:val="41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5C285CE"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vlkm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2941537"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-267,621%</w:t>
            </w:r>
          </w:p>
        </w:tc>
        <w:tc>
          <w:tcPr>
            <w:tcW w:w="0" w:type="auto"/>
            <w:tcBorders>
              <w:top w:val="nil"/>
              <w:left w:val="nil"/>
              <w:bottom w:val="single" w:sz="4" w:space="0" w:color="auto"/>
              <w:right w:val="single" w:sz="4" w:space="0" w:color="auto"/>
            </w:tcBorders>
            <w:shd w:val="clear" w:color="auto" w:fill="auto"/>
            <w:noWrap/>
            <w:vAlign w:val="center"/>
            <w:hideMark/>
          </w:tcPr>
          <w:p w14:paraId="25FEAF9B"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36A391DE"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267,621%</w:t>
            </w:r>
          </w:p>
        </w:tc>
      </w:tr>
      <w:tr w:rsidR="001A24C3" w:rsidRPr="002D0B5A" w14:paraId="0D560F18" w14:textId="77777777" w:rsidTr="00300963">
        <w:trPr>
          <w:trHeight w:val="277"/>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BF65EC3"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množstvo prepraveného tovaru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59E35C2"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-261,179%</w:t>
            </w:r>
          </w:p>
        </w:tc>
        <w:tc>
          <w:tcPr>
            <w:tcW w:w="0" w:type="auto"/>
            <w:tcBorders>
              <w:top w:val="nil"/>
              <w:left w:val="nil"/>
              <w:bottom w:val="single" w:sz="4" w:space="0" w:color="auto"/>
              <w:right w:val="single" w:sz="4" w:space="0" w:color="auto"/>
            </w:tcBorders>
            <w:shd w:val="clear" w:color="auto" w:fill="auto"/>
            <w:noWrap/>
            <w:vAlign w:val="center"/>
            <w:hideMark/>
          </w:tcPr>
          <w:p w14:paraId="418121ED"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11FF61C2"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261,179%</w:t>
            </w:r>
          </w:p>
        </w:tc>
      </w:tr>
      <w:tr w:rsidR="001A24C3" w:rsidRPr="002D0B5A" w14:paraId="26B637BE" w14:textId="77777777" w:rsidTr="00300963">
        <w:trPr>
          <w:trHeight w:val="409"/>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98DC75D" w14:textId="77777777" w:rsidR="001A24C3" w:rsidRPr="002D0B5A" w:rsidRDefault="001A24C3" w:rsidP="00300963">
            <w:pPr>
              <w:rPr>
                <w:rFonts w:ascii="Calibri" w:eastAsia="Times New Roman" w:hAnsi="Calibri" w:cs="Arial"/>
                <w:sz w:val="20"/>
                <w:szCs w:val="20"/>
                <w:lang w:eastAsia="sk-SK"/>
              </w:rPr>
            </w:pPr>
            <w:r w:rsidRPr="002D0B5A">
              <w:rPr>
                <w:rFonts w:ascii="Calibri" w:eastAsia="Times New Roman" w:hAnsi="Calibri" w:cs="Arial"/>
                <w:sz w:val="20"/>
                <w:szCs w:val="20"/>
                <w:lang w:eastAsia="sk-SK"/>
              </w:rPr>
              <w:t>Zostatková hodnota</w:t>
            </w:r>
          </w:p>
        </w:tc>
        <w:tc>
          <w:tcPr>
            <w:tcW w:w="0" w:type="auto"/>
            <w:tcBorders>
              <w:top w:val="nil"/>
              <w:left w:val="single" w:sz="4" w:space="0" w:color="auto"/>
              <w:bottom w:val="single" w:sz="8" w:space="0" w:color="auto"/>
              <w:right w:val="single" w:sz="4" w:space="0" w:color="auto"/>
            </w:tcBorders>
            <w:shd w:val="clear" w:color="auto" w:fill="auto"/>
            <w:noWrap/>
            <w:vAlign w:val="center"/>
            <w:hideMark/>
          </w:tcPr>
          <w:p w14:paraId="0F2604BE"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-50,811%</w:t>
            </w:r>
          </w:p>
        </w:tc>
        <w:tc>
          <w:tcPr>
            <w:tcW w:w="0" w:type="auto"/>
            <w:tcBorders>
              <w:top w:val="nil"/>
              <w:left w:val="nil"/>
              <w:bottom w:val="single" w:sz="8" w:space="0" w:color="auto"/>
              <w:right w:val="single" w:sz="4" w:space="0" w:color="auto"/>
            </w:tcBorders>
            <w:shd w:val="clear" w:color="auto" w:fill="auto"/>
            <w:noWrap/>
            <w:vAlign w:val="center"/>
            <w:hideMark/>
          </w:tcPr>
          <w:p w14:paraId="4090AB37"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0,00%</w:t>
            </w:r>
          </w:p>
        </w:tc>
        <w:tc>
          <w:tcPr>
            <w:tcW w:w="0" w:type="auto"/>
            <w:tcBorders>
              <w:top w:val="nil"/>
              <w:left w:val="nil"/>
              <w:bottom w:val="single" w:sz="8" w:space="0" w:color="auto"/>
              <w:right w:val="single" w:sz="4" w:space="0" w:color="auto"/>
            </w:tcBorders>
            <w:shd w:val="clear" w:color="auto" w:fill="auto"/>
            <w:noWrap/>
            <w:vAlign w:val="center"/>
            <w:hideMark/>
          </w:tcPr>
          <w:p w14:paraId="09052DAF" w14:textId="77777777" w:rsidR="001A24C3" w:rsidRPr="002D0B5A" w:rsidRDefault="001A24C3" w:rsidP="00300963">
            <w:pPr>
              <w:jc w:val="center"/>
              <w:rPr>
                <w:rFonts w:ascii="Arial" w:eastAsia="Times New Roman" w:hAnsi="Arial" w:cs="Arial"/>
                <w:color w:val="000000"/>
                <w:sz w:val="20"/>
                <w:szCs w:val="20"/>
                <w:lang w:eastAsia="sk-SK"/>
              </w:rPr>
            </w:pPr>
            <w:r w:rsidRPr="002D0B5A">
              <w:rPr>
                <w:rFonts w:ascii="Arial" w:eastAsia="Times New Roman" w:hAnsi="Arial" w:cs="Arial"/>
                <w:color w:val="000000"/>
                <w:sz w:val="20"/>
                <w:szCs w:val="20"/>
                <w:lang w:eastAsia="sk-SK"/>
              </w:rPr>
              <w:t>50,811%</w:t>
            </w:r>
          </w:p>
        </w:tc>
      </w:tr>
    </w:tbl>
    <w:p w14:paraId="31797A54" w14:textId="183B9C52" w:rsidR="001A24C3" w:rsidRPr="00612785" w:rsidRDefault="001A24C3" w:rsidP="006D4862">
      <w:pPr>
        <w:pStyle w:val="Popis"/>
        <w:jc w:val="both"/>
      </w:pPr>
      <w:bookmarkStart w:id="437" w:name="_Toc83677975"/>
      <w:r w:rsidRPr="00612785">
        <w:lastRenderedPageBreak/>
        <w:t xml:space="preserve">Tabuľka </w:t>
      </w:r>
      <w:r w:rsidR="00091EB3">
        <w:rPr>
          <w:noProof/>
        </w:rPr>
        <w:t>104</w:t>
      </w:r>
      <w:r w:rsidRPr="00612785">
        <w:tab/>
        <w:t>Prepínacie hodnoty pri ENPV</w:t>
      </w:r>
      <w:bookmarkEnd w:id="437"/>
    </w:p>
    <w:tbl>
      <w:tblPr>
        <w:tblW w:w="0" w:type="auto"/>
        <w:tblCellMar>
          <w:left w:w="70" w:type="dxa"/>
          <w:right w:w="70" w:type="dxa"/>
        </w:tblCellMar>
        <w:tblLook w:val="04A0" w:firstRow="1" w:lastRow="0" w:firstColumn="1" w:lastColumn="0" w:noHBand="0" w:noVBand="1"/>
      </w:tblPr>
      <w:tblGrid>
        <w:gridCol w:w="3475"/>
        <w:gridCol w:w="864"/>
        <w:gridCol w:w="817"/>
        <w:gridCol w:w="3896"/>
      </w:tblGrid>
      <w:tr w:rsidR="001A24C3" w:rsidRPr="002D0B5A" w14:paraId="7653463C" w14:textId="77777777" w:rsidTr="00300963">
        <w:trPr>
          <w:trHeight w:val="660"/>
        </w:trPr>
        <w:tc>
          <w:tcPr>
            <w:tcW w:w="0" w:type="auto"/>
            <w:tcBorders>
              <w:top w:val="single" w:sz="8" w:space="0" w:color="auto"/>
              <w:left w:val="single" w:sz="8" w:space="0" w:color="auto"/>
              <w:bottom w:val="nil"/>
              <w:right w:val="single" w:sz="8" w:space="0" w:color="auto"/>
            </w:tcBorders>
            <w:shd w:val="clear" w:color="000000" w:fill="B1A0C7"/>
            <w:noWrap/>
            <w:vAlign w:val="center"/>
            <w:hideMark/>
          </w:tcPr>
          <w:p w14:paraId="1C56B911" w14:textId="77777777" w:rsidR="001A24C3" w:rsidRPr="002D0B5A" w:rsidRDefault="001A24C3" w:rsidP="00300963">
            <w:pPr>
              <w:rPr>
                <w:rFonts w:ascii="Calibri" w:eastAsia="Times New Roman" w:hAnsi="Calibri" w:cs="Arial"/>
                <w:b/>
                <w:bCs/>
                <w:sz w:val="16"/>
                <w:szCs w:val="16"/>
                <w:lang w:eastAsia="sk-SK"/>
              </w:rPr>
            </w:pPr>
            <w:r w:rsidRPr="002D0B5A">
              <w:rPr>
                <w:rFonts w:ascii="Calibri" w:eastAsia="Times New Roman" w:hAnsi="Calibri" w:cs="Arial"/>
                <w:b/>
                <w:bCs/>
                <w:sz w:val="16"/>
                <w:szCs w:val="16"/>
                <w:lang w:eastAsia="sk-SK"/>
              </w:rPr>
              <w:t>Zmena ENPV (% zmena)</w:t>
            </w:r>
          </w:p>
        </w:tc>
        <w:tc>
          <w:tcPr>
            <w:tcW w:w="0" w:type="auto"/>
            <w:tcBorders>
              <w:top w:val="single" w:sz="8" w:space="0" w:color="auto"/>
              <w:left w:val="nil"/>
              <w:bottom w:val="nil"/>
              <w:right w:val="single" w:sz="4" w:space="0" w:color="auto"/>
            </w:tcBorders>
            <w:shd w:val="clear" w:color="000000" w:fill="B1A0C7"/>
            <w:vAlign w:val="center"/>
            <w:hideMark/>
          </w:tcPr>
          <w:p w14:paraId="46067EC4" w14:textId="77777777" w:rsidR="001A24C3" w:rsidRPr="002D0B5A" w:rsidRDefault="001A24C3" w:rsidP="00300963">
            <w:pPr>
              <w:jc w:val="center"/>
              <w:rPr>
                <w:rFonts w:ascii="Calibri" w:eastAsia="Times New Roman" w:hAnsi="Calibri" w:cs="Arial"/>
                <w:b/>
                <w:bCs/>
                <w:sz w:val="16"/>
                <w:szCs w:val="16"/>
                <w:lang w:eastAsia="sk-SK"/>
              </w:rPr>
            </w:pPr>
            <w:r w:rsidRPr="002D0B5A">
              <w:rPr>
                <w:rFonts w:ascii="Calibri" w:eastAsia="Times New Roman" w:hAnsi="Calibri" w:cs="Arial"/>
                <w:b/>
                <w:bCs/>
                <w:sz w:val="16"/>
                <w:szCs w:val="16"/>
                <w:lang w:eastAsia="sk-SK"/>
              </w:rPr>
              <w:t>Kritická premenná</w:t>
            </w:r>
          </w:p>
        </w:tc>
        <w:tc>
          <w:tcPr>
            <w:tcW w:w="0" w:type="auto"/>
            <w:tcBorders>
              <w:top w:val="single" w:sz="8" w:space="0" w:color="auto"/>
              <w:left w:val="nil"/>
              <w:bottom w:val="nil"/>
              <w:right w:val="single" w:sz="8" w:space="0" w:color="auto"/>
            </w:tcBorders>
            <w:shd w:val="clear" w:color="000000" w:fill="B1A0C7"/>
            <w:noWrap/>
            <w:vAlign w:val="center"/>
            <w:hideMark/>
          </w:tcPr>
          <w:p w14:paraId="023A0AE3" w14:textId="77777777" w:rsidR="001A24C3" w:rsidRPr="002D0B5A" w:rsidRDefault="001A24C3" w:rsidP="00300963">
            <w:pPr>
              <w:jc w:val="center"/>
              <w:rPr>
                <w:rFonts w:ascii="Calibri" w:eastAsia="Times New Roman" w:hAnsi="Calibri" w:cs="Arial"/>
                <w:b/>
                <w:bCs/>
                <w:sz w:val="16"/>
                <w:szCs w:val="16"/>
                <w:lang w:eastAsia="sk-SK"/>
              </w:rPr>
            </w:pPr>
            <w:r w:rsidRPr="002D0B5A">
              <w:rPr>
                <w:rFonts w:ascii="Calibri" w:eastAsia="Times New Roman" w:hAnsi="Calibri" w:cs="Arial"/>
                <w:b/>
                <w:bCs/>
                <w:sz w:val="16"/>
                <w:szCs w:val="16"/>
                <w:lang w:eastAsia="sk-SK"/>
              </w:rPr>
              <w:t>ENPV &lt;= 0</w:t>
            </w:r>
          </w:p>
        </w:tc>
        <w:tc>
          <w:tcPr>
            <w:tcW w:w="0" w:type="auto"/>
            <w:tcBorders>
              <w:top w:val="single" w:sz="8" w:space="0" w:color="auto"/>
              <w:left w:val="nil"/>
              <w:bottom w:val="nil"/>
              <w:right w:val="single" w:sz="8" w:space="0" w:color="000000"/>
            </w:tcBorders>
            <w:shd w:val="clear" w:color="000000" w:fill="B1A0C7"/>
            <w:noWrap/>
            <w:vAlign w:val="center"/>
            <w:hideMark/>
          </w:tcPr>
          <w:p w14:paraId="07C0463D" w14:textId="77777777" w:rsidR="001A24C3" w:rsidRPr="002D0B5A" w:rsidRDefault="001A24C3" w:rsidP="00300963">
            <w:pPr>
              <w:jc w:val="center"/>
              <w:rPr>
                <w:rFonts w:ascii="Calibri" w:eastAsia="Times New Roman" w:hAnsi="Calibri" w:cs="Arial"/>
                <w:b/>
                <w:bCs/>
                <w:sz w:val="16"/>
                <w:szCs w:val="16"/>
                <w:lang w:eastAsia="sk-SK"/>
              </w:rPr>
            </w:pPr>
            <w:r w:rsidRPr="002D0B5A">
              <w:rPr>
                <w:rFonts w:ascii="Calibri" w:eastAsia="Times New Roman" w:hAnsi="Calibri" w:cs="Arial"/>
                <w:b/>
                <w:bCs/>
                <w:sz w:val="16"/>
                <w:szCs w:val="16"/>
                <w:lang w:eastAsia="sk-SK"/>
              </w:rPr>
              <w:t>Poznámka</w:t>
            </w:r>
          </w:p>
        </w:tc>
      </w:tr>
      <w:tr w:rsidR="001A24C3" w:rsidRPr="002D0B5A" w14:paraId="1CF77F8A" w14:textId="77777777" w:rsidTr="00300963">
        <w:trPr>
          <w:trHeight w:val="945"/>
        </w:trPr>
        <w:tc>
          <w:tcPr>
            <w:tcW w:w="0" w:type="auto"/>
            <w:tcBorders>
              <w:top w:val="single" w:sz="4" w:space="0" w:color="auto"/>
              <w:left w:val="single" w:sz="8" w:space="0" w:color="auto"/>
              <w:bottom w:val="single" w:sz="4" w:space="0" w:color="auto"/>
              <w:right w:val="nil"/>
            </w:tcBorders>
            <w:shd w:val="clear" w:color="auto" w:fill="auto"/>
            <w:noWrap/>
            <w:vAlign w:val="center"/>
            <w:hideMark/>
          </w:tcPr>
          <w:p w14:paraId="73BA65D8"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Investičné náklady</w:t>
            </w:r>
          </w:p>
        </w:tc>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0E1FC57"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single" w:sz="8" w:space="0" w:color="auto"/>
              <w:left w:val="nil"/>
              <w:bottom w:val="single" w:sz="4" w:space="0" w:color="auto"/>
              <w:right w:val="single" w:sz="8" w:space="0" w:color="auto"/>
            </w:tcBorders>
            <w:shd w:val="clear" w:color="auto" w:fill="auto"/>
            <w:noWrap/>
            <w:vAlign w:val="center"/>
            <w:hideMark/>
          </w:tcPr>
          <w:p w14:paraId="089A6C9A"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0,23%</w:t>
            </w:r>
          </w:p>
        </w:tc>
        <w:tc>
          <w:tcPr>
            <w:tcW w:w="0" w:type="auto"/>
            <w:tcBorders>
              <w:top w:val="single" w:sz="8" w:space="0" w:color="auto"/>
              <w:left w:val="nil"/>
              <w:bottom w:val="single" w:sz="4" w:space="0" w:color="auto"/>
              <w:right w:val="single" w:sz="8" w:space="0" w:color="000000"/>
            </w:tcBorders>
            <w:shd w:val="clear" w:color="auto" w:fill="auto"/>
            <w:vAlign w:val="center"/>
            <w:hideMark/>
          </w:tcPr>
          <w:p w14:paraId="2744FF01"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Nárast investičných nákladov v socio-ekonomickej analýze o 0,23%  by znamenal, že socio-ekonomické prínosy by sa dostali na 0 resp. aj na mínusovú hodnotu. Ide o vysoko rizikovú premennú vzhľadom na fakt, že v súčasťou modernizácie trate má byť aj výstavba tunela čo so sebou prínáša riziká v podobe nepredvídateľných zmien v geológií.</w:t>
            </w:r>
          </w:p>
        </w:tc>
      </w:tr>
      <w:tr w:rsidR="001A24C3" w:rsidRPr="002D0B5A" w14:paraId="0DABD4AF"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5DE4911F"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Prevádzkové náklady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4A030C0"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307AEB1A"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-2,30%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769A0482"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úspory prevádzkových nákladov v socio-ekonomickej analýze o 2,30%  by znamenal, že socio-ekonomické prínosy by sa dostali na 0 resp. aj na mínusovú hodnotu. Ide o rizikovú premennú, ktorej malá zmena môže výrazne ovplzvniť výstupy projektu.</w:t>
            </w:r>
          </w:p>
        </w:tc>
      </w:tr>
      <w:tr w:rsidR="001A24C3" w:rsidRPr="002D0B5A" w14:paraId="0AC7DDFC"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140AEEF4"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úspora času - osobná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27DD505"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3061D425"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-3,44%</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3414532E"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úspory času v osobnej doprave v rámci socio-ekonomickej analýzy o 3,44%  by znamenal, že socio-ekonomické prínosy by sa dostali na 0 resp. aj na mínusovú hodnotu. Ide o rizkovú premennú pri ktorej miernom poklese už môžu byť prínosy projektu nedostatočné</w:t>
            </w:r>
          </w:p>
        </w:tc>
      </w:tr>
      <w:tr w:rsidR="001A24C3" w:rsidRPr="002D0B5A" w14:paraId="677C9EFD"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309BD0F5"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vlkm - osobná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64AC1A9F"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39863AE0"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-15,50%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6D8D798A"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vlkm v osobnej doprave v rámci socio-ekonomickej analýzy o 15,50%  by znamenal, že socio-ekonomické prínosy by sa dostali na 0 resp. aj na mínusovú hodnotu. Uvedený pokles vlkm osobnej dopravy je málo pravdepodobný nakoľko dopyt po vlakovej doprave má rastúci trend a tomuto trendu sa dopravcovia/objednávatelia dopravy vo verejnom záujme snažia prispôsobiť.</w:t>
            </w:r>
          </w:p>
        </w:tc>
      </w:tr>
      <w:tr w:rsidR="001A24C3" w:rsidRPr="002D0B5A" w14:paraId="2D9C026B"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32EC337E"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vzkm - prevedená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A802B9C"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1215DA6A"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-14,40%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6B68C6B5"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vzkm prevedenej dopravy v rámci socio-ekonomickej analýzy o 14,40%  by znamenal, že socio-ekonomické prínosy by sa dostali na 0 resp. aj na mínusovú hodnotu. Uvedený pokles vzkm prevedenej dopravy je málo pravdepodobný nakoľko dopyt po vlakovej doprave má rastúci trend a tým rastie aj motivácia presadnúť z IAD do verejnej dopravy.</w:t>
            </w:r>
          </w:p>
        </w:tc>
      </w:tr>
      <w:tr w:rsidR="001A24C3" w:rsidRPr="002D0B5A" w14:paraId="5BB76499" w14:textId="77777777" w:rsidTr="00300963">
        <w:trPr>
          <w:trHeight w:val="1185"/>
        </w:trPr>
        <w:tc>
          <w:tcPr>
            <w:tcW w:w="0" w:type="auto"/>
            <w:tcBorders>
              <w:top w:val="nil"/>
              <w:left w:val="single" w:sz="8" w:space="0" w:color="auto"/>
              <w:bottom w:val="single" w:sz="4" w:space="0" w:color="auto"/>
              <w:right w:val="nil"/>
            </w:tcBorders>
            <w:shd w:val="clear" w:color="auto" w:fill="auto"/>
            <w:noWrap/>
            <w:vAlign w:val="center"/>
            <w:hideMark/>
          </w:tcPr>
          <w:p w14:paraId="551595AA"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úspora času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81B8FF2"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146E140E"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-0,34%</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5E040818"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úspory času v nákladnej doprave v rámci socio-ekonomickej analýzy o 0,34%  by znamenal, že socio-ekonomické prínosy by sa dostali na 0 resp. aj na mínusovú hodnotu. Ide o vysoko rizikovú premennú pri ktorej minimálnom poklese už môžu byť prínosy projektu nedostatočné.</w:t>
            </w:r>
          </w:p>
        </w:tc>
      </w:tr>
      <w:tr w:rsidR="001A24C3" w:rsidRPr="002D0B5A" w14:paraId="2E54D4EE"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259B204B"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vlkm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B32A780"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7150B390"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-0,50%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400581E4"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množstva vlkm nákladnej dopravy v rámci  v socio-ekonomickej analýze o 0,50%  by znamenal, že socio-ekonomické prínosy by sa dostali na 0 resp. aj na mínusovú hodnotu.  Ide o vysoko rizikovú premennú pri ktorej minimálnom poklese už môžu byť prínosy projektu nedostatočné.</w:t>
            </w:r>
          </w:p>
        </w:tc>
      </w:tr>
      <w:tr w:rsidR="001A24C3" w:rsidRPr="002D0B5A" w14:paraId="50FC0638"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077984C8"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množstvo prepraveného tovaru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BE7A9B9"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6166F978"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-0,50%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467D5393"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množstva prepraveného tovaru v rámci  v socio-ekonomickej analýze o 0,50%  by znamenal, že socio-ekonomické prínosy by sa dostali na 0 resp. aj na mínusovú hodnotu.  Ide o vysoko rizikovú premennú pri ktorej minimálnom poklese už môžu byť prínosy projektu nedostatočné.</w:t>
            </w:r>
          </w:p>
        </w:tc>
      </w:tr>
      <w:tr w:rsidR="001A24C3" w:rsidRPr="002D0B5A" w14:paraId="7EA4E3B5" w14:textId="77777777" w:rsidTr="00300963">
        <w:trPr>
          <w:trHeight w:val="945"/>
        </w:trPr>
        <w:tc>
          <w:tcPr>
            <w:tcW w:w="0" w:type="auto"/>
            <w:tcBorders>
              <w:top w:val="nil"/>
              <w:left w:val="single" w:sz="8" w:space="0" w:color="auto"/>
              <w:bottom w:val="single" w:sz="8" w:space="0" w:color="auto"/>
              <w:right w:val="nil"/>
            </w:tcBorders>
            <w:shd w:val="clear" w:color="auto" w:fill="auto"/>
            <w:noWrap/>
            <w:vAlign w:val="center"/>
            <w:hideMark/>
          </w:tcPr>
          <w:p w14:paraId="6F8767AF"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Zostatková hodnota</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8A1A082"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Áno</w:t>
            </w:r>
          </w:p>
        </w:tc>
        <w:tc>
          <w:tcPr>
            <w:tcW w:w="0" w:type="auto"/>
            <w:tcBorders>
              <w:top w:val="nil"/>
              <w:left w:val="nil"/>
              <w:bottom w:val="single" w:sz="8" w:space="0" w:color="auto"/>
              <w:right w:val="single" w:sz="8" w:space="0" w:color="auto"/>
            </w:tcBorders>
            <w:shd w:val="clear" w:color="auto" w:fill="auto"/>
            <w:noWrap/>
            <w:vAlign w:val="center"/>
            <w:hideMark/>
          </w:tcPr>
          <w:p w14:paraId="2B975F7D" w14:textId="77777777" w:rsidR="001A24C3" w:rsidRPr="002D0B5A" w:rsidRDefault="001A24C3" w:rsidP="00300963">
            <w:pPr>
              <w:jc w:val="center"/>
              <w:rPr>
                <w:rFonts w:ascii="Arial" w:eastAsia="Times New Roman" w:hAnsi="Arial" w:cs="Arial"/>
                <w:b/>
                <w:bCs/>
                <w:sz w:val="16"/>
                <w:szCs w:val="16"/>
                <w:lang w:eastAsia="sk-SK"/>
              </w:rPr>
            </w:pPr>
            <w:r w:rsidRPr="002D0B5A">
              <w:rPr>
                <w:rFonts w:ascii="Arial" w:eastAsia="Times New Roman" w:hAnsi="Arial" w:cs="Arial"/>
                <w:b/>
                <w:bCs/>
                <w:sz w:val="16"/>
                <w:szCs w:val="16"/>
                <w:lang w:eastAsia="sk-SK"/>
              </w:rPr>
              <w:t>-1,97</w:t>
            </w:r>
          </w:p>
        </w:tc>
        <w:tc>
          <w:tcPr>
            <w:tcW w:w="0" w:type="auto"/>
            <w:tcBorders>
              <w:top w:val="single" w:sz="4" w:space="0" w:color="auto"/>
              <w:left w:val="nil"/>
              <w:bottom w:val="single" w:sz="8" w:space="0" w:color="auto"/>
              <w:right w:val="single" w:sz="8" w:space="0" w:color="000000"/>
            </w:tcBorders>
            <w:shd w:val="clear" w:color="auto" w:fill="auto"/>
            <w:vAlign w:val="center"/>
            <w:hideMark/>
          </w:tcPr>
          <w:p w14:paraId="69370417" w14:textId="77777777" w:rsidR="001A24C3" w:rsidRPr="002D0B5A" w:rsidRDefault="001A24C3" w:rsidP="00300963">
            <w:pPr>
              <w:rPr>
                <w:rFonts w:ascii="Arial" w:eastAsia="Times New Roman" w:hAnsi="Arial" w:cs="Arial"/>
                <w:sz w:val="16"/>
                <w:szCs w:val="16"/>
                <w:lang w:eastAsia="sk-SK"/>
              </w:rPr>
            </w:pPr>
            <w:r w:rsidRPr="002D0B5A">
              <w:rPr>
                <w:rFonts w:ascii="Arial" w:eastAsia="Times New Roman" w:hAnsi="Arial" w:cs="Arial"/>
                <w:sz w:val="16"/>
                <w:szCs w:val="16"/>
                <w:lang w:eastAsia="sk-SK"/>
              </w:rPr>
              <w:t>Pokles zostatkovej hodnoty v socio-ekonomickej analýze o 1,97%  by znamenal, že socio-ekonomické prínosy by sa dostali na 0 resp. aj na mínusovú hodnotu. Ide o rizikovú premennú.</w:t>
            </w:r>
          </w:p>
        </w:tc>
      </w:tr>
    </w:tbl>
    <w:p w14:paraId="16C0928A" w14:textId="77777777" w:rsidR="001A24C3" w:rsidRPr="00612785" w:rsidRDefault="001A24C3" w:rsidP="001A24C3"/>
    <w:p w14:paraId="74C26E4E" w14:textId="77777777" w:rsidR="001A24C3" w:rsidRDefault="001A24C3" w:rsidP="001A24C3">
      <w:pPr>
        <w:pStyle w:val="Popis"/>
      </w:pPr>
    </w:p>
    <w:p w14:paraId="620E8CB0" w14:textId="77777777" w:rsidR="001A24C3" w:rsidRDefault="001A24C3" w:rsidP="001A24C3"/>
    <w:p w14:paraId="63381A92" w14:textId="77777777" w:rsidR="001A24C3" w:rsidRDefault="001A24C3" w:rsidP="001A24C3"/>
    <w:p w14:paraId="7A603CAF" w14:textId="77777777" w:rsidR="001A24C3" w:rsidRPr="002D0B5A" w:rsidRDefault="001A24C3" w:rsidP="001A24C3"/>
    <w:p w14:paraId="59050A1F" w14:textId="360DDB69" w:rsidR="001A24C3" w:rsidRPr="00612785" w:rsidRDefault="001A24C3" w:rsidP="006D4862">
      <w:pPr>
        <w:pStyle w:val="Popis"/>
        <w:jc w:val="both"/>
      </w:pPr>
      <w:bookmarkStart w:id="438" w:name="_Toc83678003"/>
      <w:r w:rsidRPr="00612785">
        <w:t xml:space="preserve">Graf </w:t>
      </w:r>
      <w:r w:rsidRPr="00612785">
        <w:rPr>
          <w:noProof/>
        </w:rPr>
        <w:fldChar w:fldCharType="begin"/>
      </w:r>
      <w:r w:rsidRPr="00612785">
        <w:rPr>
          <w:noProof/>
        </w:rPr>
        <w:instrText xml:space="preserve"> SEQ Graf \* ARABIC </w:instrText>
      </w:r>
      <w:r w:rsidRPr="00612785">
        <w:rPr>
          <w:noProof/>
        </w:rPr>
        <w:fldChar w:fldCharType="separate"/>
      </w:r>
      <w:r w:rsidR="008208F3">
        <w:rPr>
          <w:noProof/>
        </w:rPr>
        <w:t>6</w:t>
      </w:r>
      <w:r w:rsidRPr="00612785">
        <w:rPr>
          <w:noProof/>
        </w:rPr>
        <w:fldChar w:fldCharType="end"/>
      </w:r>
      <w:r w:rsidRPr="00612785">
        <w:tab/>
        <w:t>Citlivosť vstupných premenných na ENPV</w:t>
      </w:r>
      <w:bookmarkEnd w:id="438"/>
    </w:p>
    <w:p w14:paraId="31622D8A" w14:textId="77777777" w:rsidR="001A24C3" w:rsidRPr="00612785" w:rsidRDefault="001A24C3" w:rsidP="001A24C3">
      <w:r>
        <w:rPr>
          <w:noProof/>
          <w:lang w:eastAsia="sk-SK"/>
        </w:rPr>
        <w:drawing>
          <wp:inline distT="0" distB="0" distL="0" distR="0" wp14:anchorId="3EA2812B" wp14:editId="7B42216A">
            <wp:extent cx="5760720" cy="3291840"/>
            <wp:effectExtent l="0" t="0" r="11430" b="3810"/>
            <wp:docPr id="41" name="Graf 41">
              <a:extLst xmlns:a="http://schemas.openxmlformats.org/drawingml/2006/main">
                <a:ext uri="{FF2B5EF4-FFF2-40B4-BE49-F238E27FC236}">
                  <a16:creationId xmlns:a16="http://schemas.microsoft.com/office/drawing/2014/main" id="{B7F58A55-1B95-402F-9FD7-711B890440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14:paraId="1E79DEA7" w14:textId="77777777" w:rsidR="001A24C3" w:rsidRPr="00612785" w:rsidRDefault="001A24C3" w:rsidP="001A24C3">
      <w:pPr>
        <w:ind w:firstLine="708"/>
      </w:pPr>
    </w:p>
    <w:p w14:paraId="445F6623" w14:textId="77777777" w:rsidR="001A24C3" w:rsidRPr="006D4862" w:rsidRDefault="001A24C3" w:rsidP="006D4862">
      <w:pPr>
        <w:pStyle w:val="Nadpis41"/>
        <w:ind w:left="851" w:hanging="851"/>
        <w:rPr>
          <w:color w:val="auto"/>
          <w:sz w:val="24"/>
          <w:szCs w:val="24"/>
        </w:rPr>
      </w:pPr>
      <w:bookmarkStart w:id="439" w:name="_Toc88653052"/>
      <w:r w:rsidRPr="006D4862">
        <w:rPr>
          <w:color w:val="auto"/>
          <w:sz w:val="24"/>
          <w:szCs w:val="24"/>
        </w:rPr>
        <w:t>Analýza scenárov</w:t>
      </w:r>
      <w:bookmarkEnd w:id="439"/>
    </w:p>
    <w:p w14:paraId="1ADE32C5" w14:textId="77777777" w:rsidR="001A24C3" w:rsidRPr="000A41CE" w:rsidRDefault="001A24C3" w:rsidP="001A24C3">
      <w:pPr>
        <w:pStyle w:val="TextKoice0"/>
      </w:pPr>
      <w:r w:rsidRPr="000A41CE">
        <w:t>Keďže boli identifikované kritické premenné a hodnoty o koľko by sa museli zmeniť, aby bol projekt nerealizovateľný, boli namodelované aj tri scenáre:</w:t>
      </w:r>
    </w:p>
    <w:p w14:paraId="594E722D" w14:textId="77777777" w:rsidR="001A24C3" w:rsidRPr="000A41CE" w:rsidRDefault="001A24C3" w:rsidP="001A24C3">
      <w:pPr>
        <w:pStyle w:val="ODRKY"/>
      </w:pPr>
      <w:r w:rsidRPr="000A41CE">
        <w:t>Pesimistický,</w:t>
      </w:r>
    </w:p>
    <w:p w14:paraId="317F148C" w14:textId="77777777" w:rsidR="001A24C3" w:rsidRPr="000A41CE" w:rsidRDefault="001A24C3" w:rsidP="001A24C3">
      <w:pPr>
        <w:pStyle w:val="ODRKY"/>
      </w:pPr>
      <w:r w:rsidRPr="000A41CE">
        <w:t>Realistický,</w:t>
      </w:r>
    </w:p>
    <w:p w14:paraId="7343FD6C" w14:textId="77777777" w:rsidR="001A24C3" w:rsidRPr="000A41CE" w:rsidRDefault="001A24C3" w:rsidP="001A24C3">
      <w:pPr>
        <w:pStyle w:val="ODRKY"/>
      </w:pPr>
      <w:r w:rsidRPr="000A41CE">
        <w:t>Optimistický.</w:t>
      </w:r>
    </w:p>
    <w:p w14:paraId="125E0BC7" w14:textId="77777777" w:rsidR="001A24C3" w:rsidRPr="000A41CE" w:rsidRDefault="001A24C3" w:rsidP="001A24C3">
      <w:pPr>
        <w:pStyle w:val="Odsekzoznamu"/>
        <w:spacing w:after="0" w:line="240" w:lineRule="auto"/>
        <w:jc w:val="both"/>
        <w:rPr>
          <w:rFonts w:ascii="Times New Roman" w:hAnsi="Times New Roman"/>
          <w:szCs w:val="24"/>
        </w:rPr>
      </w:pPr>
    </w:p>
    <w:p w14:paraId="3CF6885E" w14:textId="77777777" w:rsidR="001A24C3" w:rsidRPr="000A41CE" w:rsidRDefault="001A24C3" w:rsidP="001A24C3">
      <w:pPr>
        <w:pStyle w:val="TextKoice0"/>
        <w:spacing w:after="240"/>
      </w:pPr>
      <w:r w:rsidRPr="000A41CE">
        <w:t>Pri týchto scenároch boli určené teoretické hodnoty odchýlok jednotlivých premenných, pričom pozornosť sa sústredila predovšetkým na tie, ktoré boli identifikované ako citlivé a bol posúdený ich vplyv na výstupné ukazovatele finančnej a ekonomickej analýzy.</w:t>
      </w:r>
    </w:p>
    <w:p w14:paraId="58DA4508" w14:textId="77777777" w:rsidR="001A24C3" w:rsidRPr="000A41CE" w:rsidRDefault="001A24C3" w:rsidP="001A24C3">
      <w:pPr>
        <w:pStyle w:val="TextKoice0"/>
        <w:spacing w:after="240"/>
      </w:pPr>
      <w:r w:rsidRPr="000A41CE">
        <w:t>V žiadnom zo stanovených scenárov neprichádza k v rámci finančnej analýzy k situácií, že by bol projekt samofinancovateľný. V prípade ekonomickej analýzy sú hodnoty ERR nad úrovňou diskontnej sadzby</w:t>
      </w:r>
      <w:r>
        <w:t xml:space="preserve"> iba v optimistickom scenári, čo už môže pri tomto variante vyvolávať oprávnene znepokojenie. </w:t>
      </w:r>
      <w:r w:rsidRPr="000A41CE">
        <w:t xml:space="preserve"> </w:t>
      </w:r>
    </w:p>
    <w:p w14:paraId="4897174D" w14:textId="434A0421" w:rsidR="001A24C3" w:rsidRPr="00612785" w:rsidRDefault="001A24C3" w:rsidP="001A24C3">
      <w:pPr>
        <w:suppressAutoHyphens/>
        <w:rPr>
          <w:rFonts w:ascii="Calibri" w:eastAsia="Calibri" w:hAnsi="Calibri" w:cs="Calibri"/>
          <w:lang w:eastAsia="sk-SK" w:bidi="sk-SK"/>
        </w:rPr>
      </w:pPr>
      <w:r w:rsidRPr="00612785">
        <w:br w:type="page"/>
      </w:r>
    </w:p>
    <w:p w14:paraId="6765C52E" w14:textId="135EE867" w:rsidR="001A24C3" w:rsidRPr="00612785" w:rsidRDefault="001A24C3" w:rsidP="006D4862">
      <w:pPr>
        <w:pStyle w:val="Popis"/>
        <w:jc w:val="both"/>
      </w:pPr>
      <w:bookmarkStart w:id="440" w:name="_Toc83677976"/>
      <w:r w:rsidRPr="00612785">
        <w:lastRenderedPageBreak/>
        <w:t xml:space="preserve">Tabuľka </w:t>
      </w:r>
      <w:r w:rsidR="00091EB3">
        <w:rPr>
          <w:noProof/>
        </w:rPr>
        <w:t>105</w:t>
      </w:r>
      <w:r w:rsidRPr="00612785">
        <w:tab/>
        <w:t xml:space="preserve"> Analýza scenárov a jej dopad na finančnú analýzu</w:t>
      </w:r>
      <w:bookmarkEnd w:id="440"/>
    </w:p>
    <w:tbl>
      <w:tblPr>
        <w:tblW w:w="0" w:type="auto"/>
        <w:tblCellMar>
          <w:left w:w="70" w:type="dxa"/>
          <w:right w:w="70" w:type="dxa"/>
        </w:tblCellMar>
        <w:tblLook w:val="04A0" w:firstRow="1" w:lastRow="0" w:firstColumn="1" w:lastColumn="0" w:noHBand="0" w:noVBand="1"/>
      </w:tblPr>
      <w:tblGrid>
        <w:gridCol w:w="1076"/>
        <w:gridCol w:w="1084"/>
        <w:gridCol w:w="1084"/>
        <w:gridCol w:w="1084"/>
      </w:tblGrid>
      <w:tr w:rsidR="001A24C3" w:rsidRPr="002D0B5A" w14:paraId="5A02929D" w14:textId="77777777" w:rsidTr="00300963">
        <w:trPr>
          <w:trHeight w:val="4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464A583E" w14:textId="77777777" w:rsidR="001A24C3" w:rsidRPr="002D0B5A" w:rsidRDefault="001A24C3" w:rsidP="00300963">
            <w:pPr>
              <w:jc w:val="center"/>
              <w:rPr>
                <w:rFonts w:ascii="Calibri" w:eastAsia="Times New Roman" w:hAnsi="Calibri" w:cs="Arial"/>
                <w:b/>
                <w:bCs/>
                <w:sz w:val="16"/>
                <w:szCs w:val="16"/>
                <w:lang w:eastAsia="sk-SK"/>
              </w:rPr>
            </w:pPr>
            <w:r w:rsidRPr="002D0B5A">
              <w:rPr>
                <w:rFonts w:ascii="Calibri" w:eastAsia="Times New Roman" w:hAnsi="Calibri" w:cs="Arial"/>
                <w:b/>
                <w:bCs/>
                <w:sz w:val="16"/>
                <w:szCs w:val="16"/>
                <w:lang w:eastAsia="sk-SK"/>
              </w:rPr>
              <w:t>Scenár</w:t>
            </w:r>
          </w:p>
        </w:tc>
        <w:tc>
          <w:tcPr>
            <w:tcW w:w="0" w:type="auto"/>
            <w:tcBorders>
              <w:top w:val="single" w:sz="8" w:space="0" w:color="auto"/>
              <w:left w:val="nil"/>
              <w:bottom w:val="single" w:sz="8" w:space="0" w:color="auto"/>
              <w:right w:val="nil"/>
            </w:tcBorders>
            <w:shd w:val="clear" w:color="000000" w:fill="0070C0"/>
            <w:vAlign w:val="center"/>
            <w:hideMark/>
          </w:tcPr>
          <w:p w14:paraId="2D2816E5" w14:textId="77777777" w:rsidR="001A24C3" w:rsidRPr="002D0B5A" w:rsidRDefault="001A24C3" w:rsidP="00300963">
            <w:pPr>
              <w:jc w:val="center"/>
              <w:rPr>
                <w:rFonts w:ascii="Calibri" w:eastAsia="Times New Roman" w:hAnsi="Calibri" w:cs="Arial"/>
                <w:color w:val="FFFFFF"/>
                <w:sz w:val="16"/>
                <w:szCs w:val="16"/>
                <w:lang w:eastAsia="sk-SK"/>
              </w:rPr>
            </w:pPr>
            <w:r w:rsidRPr="002D0B5A">
              <w:rPr>
                <w:rFonts w:ascii="Calibri" w:eastAsia="Times New Roman" w:hAnsi="Calibri" w:cs="Arial"/>
                <w:color w:val="FFFFFF"/>
                <w:sz w:val="16"/>
                <w:szCs w:val="16"/>
                <w:lang w:eastAsia="sk-SK"/>
              </w:rPr>
              <w:t xml:space="preserve">Pesimistický </w:t>
            </w:r>
          </w:p>
        </w:tc>
        <w:tc>
          <w:tcPr>
            <w:tcW w:w="0" w:type="auto"/>
            <w:tcBorders>
              <w:top w:val="single" w:sz="8" w:space="0" w:color="auto"/>
              <w:left w:val="single" w:sz="8" w:space="0" w:color="auto"/>
              <w:bottom w:val="single" w:sz="8" w:space="0" w:color="auto"/>
              <w:right w:val="nil"/>
            </w:tcBorders>
            <w:shd w:val="clear" w:color="000000" w:fill="C0504D"/>
            <w:vAlign w:val="center"/>
            <w:hideMark/>
          </w:tcPr>
          <w:p w14:paraId="760316E5" w14:textId="77777777" w:rsidR="001A24C3" w:rsidRPr="002D0B5A" w:rsidRDefault="001A24C3" w:rsidP="00300963">
            <w:pPr>
              <w:jc w:val="center"/>
              <w:rPr>
                <w:rFonts w:ascii="Calibri" w:eastAsia="Times New Roman" w:hAnsi="Calibri" w:cs="Arial"/>
                <w:color w:val="FFFFFF"/>
                <w:sz w:val="16"/>
                <w:szCs w:val="16"/>
                <w:lang w:eastAsia="sk-SK"/>
              </w:rPr>
            </w:pPr>
            <w:r w:rsidRPr="002D0B5A">
              <w:rPr>
                <w:rFonts w:ascii="Calibri" w:eastAsia="Times New Roman" w:hAnsi="Calibri" w:cs="Arial"/>
                <w:color w:val="FFFFFF"/>
                <w:sz w:val="16"/>
                <w:szCs w:val="16"/>
                <w:lang w:eastAsia="sk-SK"/>
              </w:rPr>
              <w:t xml:space="preserve">Realistický </w:t>
            </w:r>
          </w:p>
        </w:tc>
        <w:tc>
          <w:tcPr>
            <w:tcW w:w="0" w:type="auto"/>
            <w:tcBorders>
              <w:top w:val="single" w:sz="8" w:space="0" w:color="auto"/>
              <w:left w:val="single" w:sz="8" w:space="0" w:color="auto"/>
              <w:bottom w:val="single" w:sz="8" w:space="0" w:color="auto"/>
              <w:right w:val="single" w:sz="8" w:space="0" w:color="auto"/>
            </w:tcBorders>
            <w:shd w:val="clear" w:color="000000" w:fill="76933C"/>
            <w:vAlign w:val="center"/>
            <w:hideMark/>
          </w:tcPr>
          <w:p w14:paraId="6F9248DF" w14:textId="77777777" w:rsidR="001A24C3" w:rsidRPr="002D0B5A" w:rsidRDefault="001A24C3" w:rsidP="00300963">
            <w:pPr>
              <w:jc w:val="center"/>
              <w:rPr>
                <w:rFonts w:ascii="Calibri" w:eastAsia="Times New Roman" w:hAnsi="Calibri" w:cs="Arial"/>
                <w:color w:val="FFFFFF"/>
                <w:sz w:val="16"/>
                <w:szCs w:val="16"/>
                <w:lang w:eastAsia="sk-SK"/>
              </w:rPr>
            </w:pPr>
            <w:r w:rsidRPr="002D0B5A">
              <w:rPr>
                <w:rFonts w:ascii="Calibri" w:eastAsia="Times New Roman" w:hAnsi="Calibri" w:cs="Arial"/>
                <w:color w:val="FFFFFF"/>
                <w:sz w:val="16"/>
                <w:szCs w:val="16"/>
                <w:lang w:eastAsia="sk-SK"/>
              </w:rPr>
              <w:t xml:space="preserve">Optimistický </w:t>
            </w:r>
          </w:p>
        </w:tc>
      </w:tr>
      <w:tr w:rsidR="001A24C3" w:rsidRPr="002D0B5A" w14:paraId="5FAB630A" w14:textId="77777777" w:rsidTr="00300963">
        <w:trPr>
          <w:trHeight w:val="405"/>
        </w:trPr>
        <w:tc>
          <w:tcPr>
            <w:tcW w:w="0" w:type="auto"/>
            <w:tcBorders>
              <w:top w:val="nil"/>
              <w:left w:val="single" w:sz="8" w:space="0" w:color="auto"/>
              <w:bottom w:val="single" w:sz="4" w:space="0" w:color="auto"/>
              <w:right w:val="nil"/>
            </w:tcBorders>
            <w:shd w:val="clear" w:color="auto" w:fill="auto"/>
            <w:noWrap/>
            <w:vAlign w:val="center"/>
            <w:hideMark/>
          </w:tcPr>
          <w:p w14:paraId="2FBF77C3"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 xml:space="preserve">FRR/C [%] </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F624ECD"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-12,59%</w:t>
            </w:r>
          </w:p>
        </w:tc>
        <w:tc>
          <w:tcPr>
            <w:tcW w:w="0" w:type="auto"/>
            <w:tcBorders>
              <w:top w:val="nil"/>
              <w:left w:val="nil"/>
              <w:bottom w:val="single" w:sz="4" w:space="0" w:color="auto"/>
              <w:right w:val="single" w:sz="4" w:space="0" w:color="auto"/>
            </w:tcBorders>
            <w:shd w:val="clear" w:color="auto" w:fill="auto"/>
            <w:noWrap/>
            <w:vAlign w:val="center"/>
            <w:hideMark/>
          </w:tcPr>
          <w:p w14:paraId="5975FBF1"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-12,39%</w:t>
            </w:r>
          </w:p>
        </w:tc>
        <w:tc>
          <w:tcPr>
            <w:tcW w:w="0" w:type="auto"/>
            <w:tcBorders>
              <w:top w:val="nil"/>
              <w:left w:val="nil"/>
              <w:bottom w:val="single" w:sz="4" w:space="0" w:color="auto"/>
              <w:right w:val="single" w:sz="8" w:space="0" w:color="auto"/>
            </w:tcBorders>
            <w:shd w:val="clear" w:color="auto" w:fill="auto"/>
            <w:noWrap/>
            <w:vAlign w:val="center"/>
            <w:hideMark/>
          </w:tcPr>
          <w:p w14:paraId="1E4F34DA"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-12,03%</w:t>
            </w:r>
          </w:p>
        </w:tc>
      </w:tr>
      <w:tr w:rsidR="001A24C3" w:rsidRPr="002D0B5A" w14:paraId="5D57E5D2" w14:textId="77777777" w:rsidTr="00300963">
        <w:trPr>
          <w:trHeight w:val="405"/>
        </w:trPr>
        <w:tc>
          <w:tcPr>
            <w:tcW w:w="0" w:type="auto"/>
            <w:tcBorders>
              <w:top w:val="nil"/>
              <w:left w:val="single" w:sz="8" w:space="0" w:color="auto"/>
              <w:bottom w:val="single" w:sz="8" w:space="0" w:color="auto"/>
              <w:right w:val="nil"/>
            </w:tcBorders>
            <w:shd w:val="clear" w:color="auto" w:fill="auto"/>
            <w:noWrap/>
            <w:vAlign w:val="center"/>
            <w:hideMark/>
          </w:tcPr>
          <w:p w14:paraId="4D035A49"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FNPV/C  [EUR]</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14AB92B1"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-365 873 681</w:t>
            </w:r>
          </w:p>
        </w:tc>
        <w:tc>
          <w:tcPr>
            <w:tcW w:w="0" w:type="auto"/>
            <w:tcBorders>
              <w:top w:val="nil"/>
              <w:left w:val="nil"/>
              <w:bottom w:val="single" w:sz="8" w:space="0" w:color="auto"/>
              <w:right w:val="nil"/>
            </w:tcBorders>
            <w:shd w:val="clear" w:color="auto" w:fill="auto"/>
            <w:noWrap/>
            <w:vAlign w:val="center"/>
            <w:hideMark/>
          </w:tcPr>
          <w:p w14:paraId="1527408F"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-344 471 862</w:t>
            </w:r>
          </w:p>
        </w:tc>
        <w:tc>
          <w:tcPr>
            <w:tcW w:w="0" w:type="auto"/>
            <w:tcBorders>
              <w:top w:val="nil"/>
              <w:left w:val="single" w:sz="4" w:space="0" w:color="auto"/>
              <w:bottom w:val="single" w:sz="8" w:space="0" w:color="auto"/>
              <w:right w:val="single" w:sz="8" w:space="0" w:color="auto"/>
            </w:tcBorders>
            <w:shd w:val="clear" w:color="auto" w:fill="auto"/>
            <w:noWrap/>
            <w:vAlign w:val="center"/>
            <w:hideMark/>
          </w:tcPr>
          <w:p w14:paraId="1DE46087"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-292 042 818</w:t>
            </w:r>
          </w:p>
        </w:tc>
      </w:tr>
    </w:tbl>
    <w:p w14:paraId="10188DC5" w14:textId="77777777" w:rsidR="001A24C3" w:rsidRPr="00612785" w:rsidRDefault="001A24C3" w:rsidP="001A24C3">
      <w:pPr>
        <w:pStyle w:val="Popis"/>
        <w:keepNext/>
      </w:pPr>
      <w:r w:rsidRPr="00612785">
        <w:tab/>
      </w:r>
    </w:p>
    <w:p w14:paraId="1903884C" w14:textId="1942076B" w:rsidR="001A24C3" w:rsidRPr="00612785" w:rsidRDefault="001A24C3" w:rsidP="006D4862">
      <w:pPr>
        <w:pStyle w:val="Popis"/>
        <w:jc w:val="both"/>
      </w:pPr>
      <w:bookmarkStart w:id="441" w:name="_Toc83677977"/>
      <w:r w:rsidRPr="00612785">
        <w:t xml:space="preserve">Tabuľka </w:t>
      </w:r>
      <w:r w:rsidR="00091EB3">
        <w:t>106</w:t>
      </w:r>
      <w:r w:rsidRPr="00612785">
        <w:t xml:space="preserve"> </w:t>
      </w:r>
      <w:r w:rsidRPr="00612785">
        <w:tab/>
        <w:t>Analýza scenárov a jej dopad na ekonomickú analýzu</w:t>
      </w:r>
      <w:bookmarkEnd w:id="441"/>
    </w:p>
    <w:tbl>
      <w:tblPr>
        <w:tblW w:w="0" w:type="auto"/>
        <w:tblCellMar>
          <w:left w:w="70" w:type="dxa"/>
          <w:right w:w="70" w:type="dxa"/>
        </w:tblCellMar>
        <w:tblLook w:val="04A0" w:firstRow="1" w:lastRow="0" w:firstColumn="1" w:lastColumn="0" w:noHBand="0" w:noVBand="1"/>
      </w:tblPr>
      <w:tblGrid>
        <w:gridCol w:w="933"/>
        <w:gridCol w:w="995"/>
        <w:gridCol w:w="995"/>
        <w:gridCol w:w="951"/>
      </w:tblGrid>
      <w:tr w:rsidR="001A24C3" w:rsidRPr="002D0B5A" w14:paraId="5A6A3C66" w14:textId="77777777" w:rsidTr="00300963">
        <w:trPr>
          <w:trHeight w:val="4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37909B42" w14:textId="77777777" w:rsidR="001A24C3" w:rsidRPr="002D0B5A" w:rsidRDefault="001A24C3" w:rsidP="00300963">
            <w:pPr>
              <w:jc w:val="center"/>
              <w:rPr>
                <w:rFonts w:ascii="Calibri" w:eastAsia="Times New Roman" w:hAnsi="Calibri" w:cs="Arial"/>
                <w:b/>
                <w:bCs/>
                <w:sz w:val="16"/>
                <w:szCs w:val="16"/>
                <w:lang w:eastAsia="sk-SK"/>
              </w:rPr>
            </w:pPr>
            <w:r w:rsidRPr="002D0B5A">
              <w:rPr>
                <w:rFonts w:ascii="Calibri" w:eastAsia="Times New Roman" w:hAnsi="Calibri" w:cs="Arial"/>
                <w:b/>
                <w:bCs/>
                <w:sz w:val="16"/>
                <w:szCs w:val="16"/>
                <w:lang w:eastAsia="sk-SK"/>
              </w:rPr>
              <w:t>Scenár</w:t>
            </w:r>
          </w:p>
        </w:tc>
        <w:tc>
          <w:tcPr>
            <w:tcW w:w="0" w:type="auto"/>
            <w:tcBorders>
              <w:top w:val="single" w:sz="8" w:space="0" w:color="auto"/>
              <w:left w:val="nil"/>
              <w:bottom w:val="single" w:sz="8" w:space="0" w:color="auto"/>
              <w:right w:val="nil"/>
            </w:tcBorders>
            <w:shd w:val="clear" w:color="000000" w:fill="0070C0"/>
            <w:vAlign w:val="center"/>
            <w:hideMark/>
          </w:tcPr>
          <w:p w14:paraId="41A1100A" w14:textId="77777777" w:rsidR="001A24C3" w:rsidRPr="002D0B5A" w:rsidRDefault="001A24C3" w:rsidP="00300963">
            <w:pPr>
              <w:jc w:val="center"/>
              <w:rPr>
                <w:rFonts w:ascii="Calibri" w:eastAsia="Times New Roman" w:hAnsi="Calibri" w:cs="Arial"/>
                <w:color w:val="FFFFFF"/>
                <w:sz w:val="16"/>
                <w:szCs w:val="16"/>
                <w:lang w:eastAsia="sk-SK"/>
              </w:rPr>
            </w:pPr>
            <w:r w:rsidRPr="002D0B5A">
              <w:rPr>
                <w:rFonts w:ascii="Calibri" w:eastAsia="Times New Roman" w:hAnsi="Calibri" w:cs="Arial"/>
                <w:color w:val="FFFFFF"/>
                <w:sz w:val="16"/>
                <w:szCs w:val="16"/>
                <w:lang w:eastAsia="sk-SK"/>
              </w:rPr>
              <w:t xml:space="preserve">Pesimistický </w:t>
            </w:r>
          </w:p>
        </w:tc>
        <w:tc>
          <w:tcPr>
            <w:tcW w:w="0" w:type="auto"/>
            <w:tcBorders>
              <w:top w:val="single" w:sz="8" w:space="0" w:color="auto"/>
              <w:left w:val="single" w:sz="8" w:space="0" w:color="auto"/>
              <w:bottom w:val="single" w:sz="8" w:space="0" w:color="auto"/>
              <w:right w:val="nil"/>
            </w:tcBorders>
            <w:shd w:val="clear" w:color="000000" w:fill="C0504D"/>
            <w:vAlign w:val="center"/>
            <w:hideMark/>
          </w:tcPr>
          <w:p w14:paraId="5AF11A09" w14:textId="77777777" w:rsidR="001A24C3" w:rsidRPr="002D0B5A" w:rsidRDefault="001A24C3" w:rsidP="00300963">
            <w:pPr>
              <w:jc w:val="center"/>
              <w:rPr>
                <w:rFonts w:ascii="Calibri" w:eastAsia="Times New Roman" w:hAnsi="Calibri" w:cs="Arial"/>
                <w:color w:val="FFFFFF"/>
                <w:sz w:val="16"/>
                <w:szCs w:val="16"/>
                <w:lang w:eastAsia="sk-SK"/>
              </w:rPr>
            </w:pPr>
            <w:r w:rsidRPr="002D0B5A">
              <w:rPr>
                <w:rFonts w:ascii="Calibri" w:eastAsia="Times New Roman" w:hAnsi="Calibri" w:cs="Arial"/>
                <w:color w:val="FFFFFF"/>
                <w:sz w:val="16"/>
                <w:szCs w:val="16"/>
                <w:lang w:eastAsia="sk-SK"/>
              </w:rPr>
              <w:t xml:space="preserve">Realistický </w:t>
            </w:r>
          </w:p>
        </w:tc>
        <w:tc>
          <w:tcPr>
            <w:tcW w:w="0" w:type="auto"/>
            <w:tcBorders>
              <w:top w:val="single" w:sz="8" w:space="0" w:color="auto"/>
              <w:left w:val="single" w:sz="8" w:space="0" w:color="auto"/>
              <w:bottom w:val="single" w:sz="8" w:space="0" w:color="auto"/>
              <w:right w:val="single" w:sz="8" w:space="0" w:color="auto"/>
            </w:tcBorders>
            <w:shd w:val="clear" w:color="000000" w:fill="76933C"/>
            <w:vAlign w:val="center"/>
            <w:hideMark/>
          </w:tcPr>
          <w:p w14:paraId="6E80B344" w14:textId="77777777" w:rsidR="001A24C3" w:rsidRPr="002D0B5A" w:rsidRDefault="001A24C3" w:rsidP="00300963">
            <w:pPr>
              <w:jc w:val="center"/>
              <w:rPr>
                <w:rFonts w:ascii="Calibri" w:eastAsia="Times New Roman" w:hAnsi="Calibri" w:cs="Arial"/>
                <w:color w:val="FFFFFF"/>
                <w:sz w:val="16"/>
                <w:szCs w:val="16"/>
                <w:lang w:eastAsia="sk-SK"/>
              </w:rPr>
            </w:pPr>
            <w:r w:rsidRPr="002D0B5A">
              <w:rPr>
                <w:rFonts w:ascii="Calibri" w:eastAsia="Times New Roman" w:hAnsi="Calibri" w:cs="Arial"/>
                <w:color w:val="FFFFFF"/>
                <w:sz w:val="16"/>
                <w:szCs w:val="16"/>
                <w:lang w:eastAsia="sk-SK"/>
              </w:rPr>
              <w:t xml:space="preserve">Optimistický </w:t>
            </w:r>
          </w:p>
        </w:tc>
      </w:tr>
      <w:tr w:rsidR="001A24C3" w:rsidRPr="002D0B5A" w14:paraId="79089C8A" w14:textId="77777777" w:rsidTr="00300963">
        <w:trPr>
          <w:trHeight w:val="405"/>
        </w:trPr>
        <w:tc>
          <w:tcPr>
            <w:tcW w:w="0" w:type="auto"/>
            <w:tcBorders>
              <w:top w:val="nil"/>
              <w:left w:val="single" w:sz="8" w:space="0" w:color="auto"/>
              <w:bottom w:val="single" w:sz="4" w:space="0" w:color="auto"/>
              <w:right w:val="nil"/>
            </w:tcBorders>
            <w:shd w:val="clear" w:color="auto" w:fill="auto"/>
            <w:noWrap/>
            <w:vAlign w:val="center"/>
            <w:hideMark/>
          </w:tcPr>
          <w:p w14:paraId="389C0945"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 xml:space="preserve">ERR [%] </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51C6B57"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3,78%</w:t>
            </w:r>
          </w:p>
        </w:tc>
        <w:tc>
          <w:tcPr>
            <w:tcW w:w="0" w:type="auto"/>
            <w:tcBorders>
              <w:top w:val="nil"/>
              <w:left w:val="nil"/>
              <w:bottom w:val="single" w:sz="4" w:space="0" w:color="auto"/>
              <w:right w:val="single" w:sz="4" w:space="0" w:color="auto"/>
            </w:tcBorders>
            <w:shd w:val="clear" w:color="auto" w:fill="auto"/>
            <w:noWrap/>
            <w:vAlign w:val="center"/>
            <w:hideMark/>
          </w:tcPr>
          <w:p w14:paraId="3E4EC930"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4,74%</w:t>
            </w:r>
          </w:p>
        </w:tc>
        <w:tc>
          <w:tcPr>
            <w:tcW w:w="0" w:type="auto"/>
            <w:tcBorders>
              <w:top w:val="nil"/>
              <w:left w:val="nil"/>
              <w:bottom w:val="single" w:sz="4" w:space="0" w:color="auto"/>
              <w:right w:val="single" w:sz="8" w:space="0" w:color="auto"/>
            </w:tcBorders>
            <w:shd w:val="clear" w:color="auto" w:fill="auto"/>
            <w:noWrap/>
            <w:vAlign w:val="center"/>
            <w:hideMark/>
          </w:tcPr>
          <w:p w14:paraId="6F891572"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6,44%</w:t>
            </w:r>
          </w:p>
        </w:tc>
      </w:tr>
      <w:tr w:rsidR="001A24C3" w:rsidRPr="002D0B5A" w14:paraId="2CD74169" w14:textId="77777777" w:rsidTr="00300963">
        <w:trPr>
          <w:trHeight w:val="405"/>
        </w:trPr>
        <w:tc>
          <w:tcPr>
            <w:tcW w:w="0" w:type="auto"/>
            <w:tcBorders>
              <w:top w:val="single" w:sz="4" w:space="0" w:color="auto"/>
              <w:left w:val="single" w:sz="8" w:space="0" w:color="auto"/>
              <w:bottom w:val="single" w:sz="8" w:space="0" w:color="auto"/>
              <w:right w:val="nil"/>
            </w:tcBorders>
            <w:shd w:val="clear" w:color="auto" w:fill="auto"/>
            <w:noWrap/>
            <w:vAlign w:val="center"/>
            <w:hideMark/>
          </w:tcPr>
          <w:p w14:paraId="5A6A4A26" w14:textId="77777777" w:rsidR="001A24C3" w:rsidRPr="002D0B5A" w:rsidRDefault="001A24C3" w:rsidP="00300963">
            <w:pPr>
              <w:rPr>
                <w:rFonts w:ascii="Calibri" w:eastAsia="Times New Roman" w:hAnsi="Calibri" w:cs="Arial"/>
                <w:sz w:val="16"/>
                <w:szCs w:val="16"/>
                <w:lang w:eastAsia="sk-SK"/>
              </w:rPr>
            </w:pPr>
            <w:r w:rsidRPr="002D0B5A">
              <w:rPr>
                <w:rFonts w:ascii="Calibri" w:eastAsia="Times New Roman" w:hAnsi="Calibri" w:cs="Arial"/>
                <w:sz w:val="16"/>
                <w:szCs w:val="16"/>
                <w:lang w:eastAsia="sk-SK"/>
              </w:rPr>
              <w:t>ENPV  [EUR]</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AAB82ED"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-54 488 345</w:t>
            </w:r>
          </w:p>
        </w:tc>
        <w:tc>
          <w:tcPr>
            <w:tcW w:w="0" w:type="auto"/>
            <w:tcBorders>
              <w:top w:val="nil"/>
              <w:left w:val="nil"/>
              <w:bottom w:val="single" w:sz="8" w:space="0" w:color="auto"/>
              <w:right w:val="single" w:sz="4" w:space="0" w:color="auto"/>
            </w:tcBorders>
            <w:shd w:val="clear" w:color="auto" w:fill="auto"/>
            <w:noWrap/>
            <w:vAlign w:val="center"/>
            <w:hideMark/>
          </w:tcPr>
          <w:p w14:paraId="60CA7FE2"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-11 409 715</w:t>
            </w:r>
          </w:p>
        </w:tc>
        <w:tc>
          <w:tcPr>
            <w:tcW w:w="0" w:type="auto"/>
            <w:tcBorders>
              <w:top w:val="nil"/>
              <w:left w:val="nil"/>
              <w:bottom w:val="single" w:sz="8" w:space="0" w:color="auto"/>
              <w:right w:val="single" w:sz="8" w:space="0" w:color="auto"/>
            </w:tcBorders>
            <w:shd w:val="clear" w:color="auto" w:fill="auto"/>
            <w:noWrap/>
            <w:vAlign w:val="center"/>
            <w:hideMark/>
          </w:tcPr>
          <w:p w14:paraId="5398ED5F" w14:textId="77777777" w:rsidR="001A24C3" w:rsidRPr="002D0B5A" w:rsidRDefault="001A24C3" w:rsidP="00300963">
            <w:pPr>
              <w:jc w:val="center"/>
              <w:rPr>
                <w:rFonts w:ascii="Arial" w:eastAsia="Times New Roman" w:hAnsi="Arial" w:cs="Arial"/>
                <w:sz w:val="16"/>
                <w:szCs w:val="16"/>
                <w:lang w:eastAsia="sk-SK"/>
              </w:rPr>
            </w:pPr>
            <w:r w:rsidRPr="002D0B5A">
              <w:rPr>
                <w:rFonts w:ascii="Arial" w:eastAsia="Times New Roman" w:hAnsi="Arial" w:cs="Arial"/>
                <w:sz w:val="16"/>
                <w:szCs w:val="16"/>
                <w:lang w:eastAsia="sk-SK"/>
              </w:rPr>
              <w:t>55 656 880</w:t>
            </w:r>
          </w:p>
        </w:tc>
      </w:tr>
    </w:tbl>
    <w:p w14:paraId="58F52233" w14:textId="0446351F" w:rsidR="001A24C3" w:rsidRDefault="001A24C3" w:rsidP="001A24C3"/>
    <w:p w14:paraId="14709BB1" w14:textId="77777777" w:rsidR="006D4862" w:rsidRPr="00612785" w:rsidRDefault="006D4862" w:rsidP="001A24C3"/>
    <w:p w14:paraId="4F2DDC30" w14:textId="77777777" w:rsidR="001A24C3" w:rsidRPr="006D4862" w:rsidRDefault="001A24C3" w:rsidP="006D4862">
      <w:pPr>
        <w:pStyle w:val="Nadpis41"/>
        <w:ind w:left="993" w:hanging="993"/>
        <w:rPr>
          <w:sz w:val="24"/>
          <w:szCs w:val="24"/>
        </w:rPr>
      </w:pPr>
      <w:bookmarkStart w:id="442" w:name="_Toc88653053"/>
      <w:r w:rsidRPr="006D4862">
        <w:rPr>
          <w:color w:val="auto"/>
          <w:sz w:val="24"/>
          <w:szCs w:val="24"/>
        </w:rPr>
        <w:t>Kvalitatívna riziková analýza</w:t>
      </w:r>
      <w:bookmarkEnd w:id="442"/>
    </w:p>
    <w:p w14:paraId="2D64F93A" w14:textId="77777777" w:rsidR="001A24C3" w:rsidRPr="00612785" w:rsidRDefault="001A24C3" w:rsidP="006D4862">
      <w:pPr>
        <w:pStyle w:val="TextKoice0"/>
        <w:ind w:left="0"/>
      </w:pPr>
      <w:r w:rsidRPr="00612785">
        <w:t>Vzhľadom na to, že nie všetky riziká je možné vyhodnotiť kvantitatívne a vypočítať ich, existujú aj riziká, ktoré je potrebné iba slovne zadefinovať (popísať ich) a vyhodnotiť ich tak, že sa popíšu kroky, ktoré je potrebné zabezpečiť, aby došlo k minimalizácií ich naplnenia. V nižšie uvedenej tabuľke sú tieto kvalitatívne riziká popísané.</w:t>
      </w:r>
    </w:p>
    <w:p w14:paraId="15B9ED1B" w14:textId="77777777" w:rsidR="001A24C3" w:rsidRPr="00612785" w:rsidRDefault="001A24C3" w:rsidP="001A24C3">
      <w:pPr>
        <w:suppressAutoHyphens/>
        <w:rPr>
          <w:rFonts w:ascii="Calibri" w:eastAsia="Calibri" w:hAnsi="Calibri" w:cs="Calibri"/>
          <w:lang w:eastAsia="sk-SK" w:bidi="sk-SK"/>
        </w:rPr>
      </w:pPr>
    </w:p>
    <w:p w14:paraId="18C9DFC8" w14:textId="77777777" w:rsidR="001A24C3" w:rsidRPr="00612785" w:rsidRDefault="001A24C3" w:rsidP="006D4862">
      <w:pPr>
        <w:pStyle w:val="TextKoice0"/>
        <w:ind w:left="0"/>
        <w:sectPr w:rsidR="001A24C3" w:rsidRPr="00612785" w:rsidSect="009124A9">
          <w:headerReference w:type="default" r:id="rId52"/>
          <w:footerReference w:type="default" r:id="rId53"/>
          <w:headerReference w:type="first" r:id="rId54"/>
          <w:pgSz w:w="11906" w:h="16838"/>
          <w:pgMar w:top="1416" w:right="1417" w:bottom="1417" w:left="1417" w:header="794" w:footer="289" w:gutter="0"/>
          <w:cols w:space="708"/>
          <w:formProt w:val="0"/>
          <w:titlePg/>
          <w:docGrid w:linePitch="360" w:charSpace="4096"/>
        </w:sectPr>
      </w:pPr>
    </w:p>
    <w:p w14:paraId="139AAD43" w14:textId="0DF84CC9" w:rsidR="001A24C3" w:rsidRPr="00612785" w:rsidRDefault="001A24C3" w:rsidP="006D4862">
      <w:pPr>
        <w:pStyle w:val="Popis"/>
        <w:jc w:val="both"/>
      </w:pPr>
      <w:bookmarkStart w:id="443" w:name="_Toc83677978"/>
      <w:r w:rsidRPr="00612785">
        <w:lastRenderedPageBreak/>
        <w:t xml:space="preserve">Tabuľka </w:t>
      </w:r>
      <w:r w:rsidR="00091EB3">
        <w:rPr>
          <w:noProof/>
        </w:rPr>
        <w:t>107</w:t>
      </w:r>
      <w:r w:rsidRPr="00612785">
        <w:tab/>
        <w:t>Kvalitatívna analýza rizík</w:t>
      </w:r>
      <w:bookmarkEnd w:id="443"/>
    </w:p>
    <w:tbl>
      <w:tblPr>
        <w:tblW w:w="0" w:type="auto"/>
        <w:tblCellMar>
          <w:left w:w="70" w:type="dxa"/>
          <w:right w:w="70" w:type="dxa"/>
        </w:tblCellMar>
        <w:tblLook w:val="04A0" w:firstRow="1" w:lastRow="0" w:firstColumn="1" w:lastColumn="0" w:noHBand="0" w:noVBand="1"/>
      </w:tblPr>
      <w:tblGrid>
        <w:gridCol w:w="1893"/>
        <w:gridCol w:w="1011"/>
        <w:gridCol w:w="2018"/>
        <w:gridCol w:w="1792"/>
        <w:gridCol w:w="1981"/>
        <w:gridCol w:w="1169"/>
        <w:gridCol w:w="783"/>
        <w:gridCol w:w="601"/>
        <w:gridCol w:w="1946"/>
        <w:gridCol w:w="788"/>
      </w:tblGrid>
      <w:tr w:rsidR="006D4862" w:rsidRPr="00F7240C" w14:paraId="2FF9C500" w14:textId="77777777" w:rsidTr="00300963">
        <w:trPr>
          <w:trHeight w:val="570"/>
        </w:trPr>
        <w:tc>
          <w:tcPr>
            <w:tcW w:w="0" w:type="auto"/>
            <w:vMerge w:val="restart"/>
            <w:tcBorders>
              <w:top w:val="single" w:sz="8" w:space="0" w:color="auto"/>
              <w:left w:val="single" w:sz="8" w:space="0" w:color="auto"/>
              <w:bottom w:val="single" w:sz="4" w:space="0" w:color="auto"/>
              <w:right w:val="single" w:sz="4" w:space="0" w:color="auto"/>
            </w:tcBorders>
            <w:shd w:val="clear" w:color="000000" w:fill="00B0F0"/>
            <w:vAlign w:val="center"/>
            <w:hideMark/>
          </w:tcPr>
          <w:p w14:paraId="2FF5A042"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Nepriaznivá údalosť</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7D11D14D"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Ovplyvnená kritická premenná</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2F976232"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Príčina nepriaznivej udalosti</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5D9EEF4E"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Vplyv na projekt</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354F66B1"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Dopad na cash-flow</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42236898"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Pravdepodobnosť výskytu</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63707651"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Závažnosť vplyvu</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6C77FF3A"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Úroveň rizika</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5287534C"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Preventívne alebo zmierňujúce opatrenie</w:t>
            </w:r>
          </w:p>
        </w:tc>
        <w:tc>
          <w:tcPr>
            <w:tcW w:w="0" w:type="auto"/>
            <w:vMerge w:val="restart"/>
            <w:tcBorders>
              <w:top w:val="single" w:sz="8" w:space="0" w:color="auto"/>
              <w:left w:val="single" w:sz="4" w:space="0" w:color="auto"/>
              <w:bottom w:val="single" w:sz="4" w:space="0" w:color="auto"/>
              <w:right w:val="single" w:sz="8" w:space="0" w:color="auto"/>
            </w:tcBorders>
            <w:shd w:val="clear" w:color="000000" w:fill="00B0F0"/>
            <w:vAlign w:val="center"/>
            <w:hideMark/>
          </w:tcPr>
          <w:p w14:paraId="2C9374EF" w14:textId="77777777" w:rsidR="001A24C3" w:rsidRPr="00F7240C" w:rsidRDefault="001A24C3" w:rsidP="00300963">
            <w:pPr>
              <w:jc w:val="center"/>
              <w:rPr>
                <w:rFonts w:ascii="Times New Roman" w:eastAsia="Times New Roman" w:hAnsi="Times New Roman" w:cs="Times New Roman"/>
                <w:b/>
                <w:bCs/>
                <w:color w:val="FFFFFF"/>
                <w:sz w:val="12"/>
                <w:szCs w:val="12"/>
                <w:lang w:eastAsia="sk-SK"/>
              </w:rPr>
            </w:pPr>
            <w:r w:rsidRPr="00F7240C">
              <w:rPr>
                <w:rFonts w:ascii="Times New Roman" w:eastAsia="Times New Roman" w:hAnsi="Times New Roman" w:cs="Times New Roman"/>
                <w:b/>
                <w:bCs/>
                <w:color w:val="FFFFFF"/>
                <w:sz w:val="12"/>
                <w:szCs w:val="12"/>
                <w:lang w:eastAsia="sk-SK"/>
              </w:rPr>
              <w:t>Zostatkové riziko</w:t>
            </w:r>
          </w:p>
        </w:tc>
      </w:tr>
      <w:tr w:rsidR="001A24C3" w:rsidRPr="00F7240C" w14:paraId="7E8F75FD" w14:textId="77777777" w:rsidTr="00300963">
        <w:trPr>
          <w:trHeight w:val="537"/>
        </w:trPr>
        <w:tc>
          <w:tcPr>
            <w:tcW w:w="0" w:type="auto"/>
            <w:vMerge/>
            <w:tcBorders>
              <w:top w:val="single" w:sz="8" w:space="0" w:color="auto"/>
              <w:left w:val="single" w:sz="8" w:space="0" w:color="auto"/>
              <w:bottom w:val="single" w:sz="4" w:space="0" w:color="auto"/>
              <w:right w:val="single" w:sz="4" w:space="0" w:color="auto"/>
            </w:tcBorders>
            <w:vAlign w:val="center"/>
            <w:hideMark/>
          </w:tcPr>
          <w:p w14:paraId="1C07521D"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FE5F674"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42CAAC4"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09FE6E4"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1696974"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23FF82ED"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C4E7446"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8CF616C"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16D9245C"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235492C6" w14:textId="77777777" w:rsidR="001A24C3" w:rsidRPr="00F7240C" w:rsidRDefault="001A24C3" w:rsidP="00300963">
            <w:pPr>
              <w:rPr>
                <w:rFonts w:ascii="Times New Roman" w:eastAsia="Times New Roman" w:hAnsi="Times New Roman" w:cs="Times New Roman"/>
                <w:b/>
                <w:bCs/>
                <w:color w:val="FFFFFF"/>
                <w:sz w:val="12"/>
                <w:szCs w:val="12"/>
                <w:lang w:eastAsia="sk-SK"/>
              </w:rPr>
            </w:pPr>
          </w:p>
        </w:tc>
      </w:tr>
      <w:tr w:rsidR="001A24C3" w:rsidRPr="00F7240C" w14:paraId="200D9550" w14:textId="77777777" w:rsidTr="00300963">
        <w:trPr>
          <w:trHeight w:val="348"/>
        </w:trPr>
        <w:tc>
          <w:tcPr>
            <w:tcW w:w="0" w:type="auto"/>
            <w:gridSpan w:val="10"/>
            <w:tcBorders>
              <w:top w:val="single" w:sz="8" w:space="0" w:color="auto"/>
              <w:left w:val="single" w:sz="8" w:space="0" w:color="auto"/>
              <w:bottom w:val="single" w:sz="4" w:space="0" w:color="auto"/>
              <w:right w:val="single" w:sz="8" w:space="0" w:color="000000"/>
            </w:tcBorders>
            <w:shd w:val="clear" w:color="000000" w:fill="A6A6A6"/>
            <w:vAlign w:val="center"/>
            <w:hideMark/>
          </w:tcPr>
          <w:p w14:paraId="60AE76BA" w14:textId="77777777" w:rsidR="001A24C3" w:rsidRPr="00F7240C" w:rsidRDefault="001A24C3" w:rsidP="00300963">
            <w:pPr>
              <w:jc w:val="center"/>
              <w:rPr>
                <w:rFonts w:ascii="Times New Roman" w:eastAsia="Times New Roman" w:hAnsi="Times New Roman" w:cs="Times New Roman"/>
                <w:b/>
                <w:bCs/>
                <w:sz w:val="12"/>
                <w:szCs w:val="12"/>
                <w:lang w:eastAsia="sk-SK"/>
              </w:rPr>
            </w:pPr>
            <w:r w:rsidRPr="00F7240C">
              <w:rPr>
                <w:rFonts w:ascii="Times New Roman" w:eastAsia="Times New Roman" w:hAnsi="Times New Roman" w:cs="Times New Roman"/>
                <w:b/>
                <w:bCs/>
                <w:sz w:val="12"/>
                <w:szCs w:val="12"/>
                <w:lang w:eastAsia="sk-SK"/>
              </w:rPr>
              <w:t>Analýza dopytu</w:t>
            </w:r>
          </w:p>
        </w:tc>
      </w:tr>
      <w:tr w:rsidR="001A24C3" w:rsidRPr="00F7240C" w14:paraId="3A12CBF3" w14:textId="77777777" w:rsidTr="00300963">
        <w:trPr>
          <w:trHeight w:val="576"/>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425EC7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Zníženie úspory času v železničnej nákladnej doprave</w:t>
            </w:r>
          </w:p>
        </w:tc>
        <w:tc>
          <w:tcPr>
            <w:tcW w:w="0" w:type="auto"/>
            <w:tcBorders>
              <w:top w:val="nil"/>
              <w:left w:val="nil"/>
              <w:bottom w:val="single" w:sz="4" w:space="0" w:color="auto"/>
              <w:right w:val="single" w:sz="4" w:space="0" w:color="auto"/>
            </w:tcBorders>
            <w:shd w:val="clear" w:color="auto" w:fill="auto"/>
            <w:vAlign w:val="center"/>
            <w:hideMark/>
          </w:tcPr>
          <w:p w14:paraId="7DEC5E6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Čas tovaru</w:t>
            </w:r>
          </w:p>
        </w:tc>
        <w:tc>
          <w:tcPr>
            <w:tcW w:w="0" w:type="auto"/>
            <w:tcBorders>
              <w:top w:val="nil"/>
              <w:left w:val="nil"/>
              <w:bottom w:val="single" w:sz="4" w:space="0" w:color="auto"/>
              <w:right w:val="single" w:sz="4" w:space="0" w:color="auto"/>
            </w:tcBorders>
            <w:shd w:val="clear" w:color="auto" w:fill="auto"/>
            <w:vAlign w:val="center"/>
            <w:hideMark/>
          </w:tcPr>
          <w:p w14:paraId="6FED72F9"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Nepresný výpočet úspory času vygenerovanej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03609C18"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Zníženie  hodnoty socio-ekonomických  benefitov  vygenerovaných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2C50EBE8"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Zhoršenie socio-ekonomických ukazovateľov projektu</w:t>
            </w:r>
          </w:p>
        </w:tc>
        <w:tc>
          <w:tcPr>
            <w:tcW w:w="0" w:type="auto"/>
            <w:tcBorders>
              <w:top w:val="nil"/>
              <w:left w:val="nil"/>
              <w:bottom w:val="single" w:sz="4" w:space="0" w:color="auto"/>
              <w:right w:val="single" w:sz="4" w:space="0" w:color="auto"/>
            </w:tcBorders>
            <w:shd w:val="clear" w:color="auto" w:fill="auto"/>
            <w:vAlign w:val="center"/>
            <w:hideMark/>
          </w:tcPr>
          <w:p w14:paraId="3776FD0C"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6AD6801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41FBC353"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7281150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Pri odhadoch vychádzať z čo najpresnejsích podkladov, prieskumov</w:t>
            </w:r>
          </w:p>
        </w:tc>
        <w:tc>
          <w:tcPr>
            <w:tcW w:w="0" w:type="auto"/>
            <w:tcBorders>
              <w:top w:val="nil"/>
              <w:left w:val="nil"/>
              <w:bottom w:val="single" w:sz="4" w:space="0" w:color="auto"/>
              <w:right w:val="single" w:sz="8" w:space="0" w:color="auto"/>
            </w:tcBorders>
            <w:shd w:val="clear" w:color="000000" w:fill="FFFF00"/>
            <w:vAlign w:val="center"/>
            <w:hideMark/>
          </w:tcPr>
          <w:p w14:paraId="5D0F96A3"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r>
      <w:tr w:rsidR="001A24C3" w:rsidRPr="00F7240C" w14:paraId="749FDA57" w14:textId="77777777" w:rsidTr="00300963">
        <w:trPr>
          <w:trHeight w:val="898"/>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E26EFDB"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Zniženie realizovaných vlkm a množstva prepraveného tovaru v rámci železničnej nákladnej dopravy</w:t>
            </w:r>
          </w:p>
        </w:tc>
        <w:tc>
          <w:tcPr>
            <w:tcW w:w="0" w:type="auto"/>
            <w:tcBorders>
              <w:top w:val="nil"/>
              <w:left w:val="nil"/>
              <w:bottom w:val="single" w:sz="4" w:space="0" w:color="auto"/>
              <w:right w:val="single" w:sz="4" w:space="0" w:color="auto"/>
            </w:tcBorders>
            <w:shd w:val="clear" w:color="auto" w:fill="auto"/>
            <w:vAlign w:val="center"/>
            <w:hideMark/>
          </w:tcPr>
          <w:p w14:paraId="36CCA8CF"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Čas tovaru</w:t>
            </w:r>
            <w:r w:rsidRPr="00F7240C">
              <w:rPr>
                <w:rFonts w:ascii="Times New Roman" w:eastAsia="Times New Roman" w:hAnsi="Times New Roman" w:cs="Times New Roman"/>
                <w:sz w:val="12"/>
                <w:szCs w:val="12"/>
                <w:lang w:eastAsia="sk-SK"/>
              </w:rPr>
              <w:br/>
              <w:t>Prevádzkové náklady vozidiel</w:t>
            </w:r>
            <w:r w:rsidRPr="00F7240C">
              <w:rPr>
                <w:rFonts w:ascii="Times New Roman" w:eastAsia="Times New Roman" w:hAnsi="Times New Roman" w:cs="Times New Roman"/>
                <w:sz w:val="12"/>
                <w:szCs w:val="12"/>
                <w:lang w:eastAsia="sk-SK"/>
              </w:rPr>
              <w:br/>
              <w:t>Znečisťujúce látky</w:t>
            </w:r>
            <w:r w:rsidRPr="00F7240C">
              <w:rPr>
                <w:rFonts w:ascii="Times New Roman" w:eastAsia="Times New Roman" w:hAnsi="Times New Roman" w:cs="Times New Roman"/>
                <w:sz w:val="12"/>
                <w:szCs w:val="12"/>
                <w:lang w:eastAsia="sk-SK"/>
              </w:rPr>
              <w:br/>
              <w:t>Skleníkové plyny</w:t>
            </w:r>
            <w:r w:rsidRPr="00F7240C">
              <w:rPr>
                <w:rFonts w:ascii="Times New Roman" w:eastAsia="Times New Roman" w:hAnsi="Times New Roman" w:cs="Times New Roman"/>
                <w:sz w:val="12"/>
                <w:szCs w:val="12"/>
                <w:lang w:eastAsia="sk-SK"/>
              </w:rPr>
              <w:br/>
              <w:t>Hluk</w:t>
            </w:r>
          </w:p>
        </w:tc>
        <w:tc>
          <w:tcPr>
            <w:tcW w:w="0" w:type="auto"/>
            <w:tcBorders>
              <w:top w:val="nil"/>
              <w:left w:val="nil"/>
              <w:bottom w:val="single" w:sz="4" w:space="0" w:color="auto"/>
              <w:right w:val="single" w:sz="4" w:space="0" w:color="auto"/>
            </w:tcBorders>
            <w:shd w:val="clear" w:color="auto" w:fill="auto"/>
            <w:vAlign w:val="center"/>
            <w:hideMark/>
          </w:tcPr>
          <w:p w14:paraId="6474D79A"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Zníženie dopyt po železničnej nákladnej doprave</w:t>
            </w:r>
            <w:r w:rsidRPr="00F7240C">
              <w:rPr>
                <w:rFonts w:ascii="Times New Roman" w:eastAsia="Times New Roman" w:hAnsi="Times New Roman" w:cs="Times New Roman"/>
                <w:sz w:val="12"/>
                <w:szCs w:val="12"/>
                <w:lang w:eastAsia="sk-SK"/>
              </w:rPr>
              <w:br/>
              <w:t>Nepresný odhad prepraveného množstva tovarov</w:t>
            </w:r>
          </w:p>
        </w:tc>
        <w:tc>
          <w:tcPr>
            <w:tcW w:w="0" w:type="auto"/>
            <w:tcBorders>
              <w:top w:val="nil"/>
              <w:left w:val="nil"/>
              <w:bottom w:val="single" w:sz="4" w:space="0" w:color="auto"/>
              <w:right w:val="single" w:sz="4" w:space="0" w:color="auto"/>
            </w:tcBorders>
            <w:shd w:val="clear" w:color="auto" w:fill="auto"/>
            <w:vAlign w:val="center"/>
            <w:hideMark/>
          </w:tcPr>
          <w:p w14:paraId="718016F1"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Zníženie  hodnoty socio-ekonomických  benefitov  vygenerovaných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59FD203F"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Zhoršenie socio-ekonomických ukazovateľov projektu</w:t>
            </w:r>
          </w:p>
        </w:tc>
        <w:tc>
          <w:tcPr>
            <w:tcW w:w="0" w:type="auto"/>
            <w:tcBorders>
              <w:top w:val="nil"/>
              <w:left w:val="nil"/>
              <w:bottom w:val="single" w:sz="4" w:space="0" w:color="auto"/>
              <w:right w:val="single" w:sz="4" w:space="0" w:color="auto"/>
            </w:tcBorders>
            <w:shd w:val="clear" w:color="auto" w:fill="auto"/>
            <w:vAlign w:val="center"/>
            <w:hideMark/>
          </w:tcPr>
          <w:p w14:paraId="5ECB0519"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B</w:t>
            </w:r>
          </w:p>
        </w:tc>
        <w:tc>
          <w:tcPr>
            <w:tcW w:w="0" w:type="auto"/>
            <w:tcBorders>
              <w:top w:val="nil"/>
              <w:left w:val="nil"/>
              <w:bottom w:val="single" w:sz="4" w:space="0" w:color="auto"/>
              <w:right w:val="single" w:sz="4" w:space="0" w:color="auto"/>
            </w:tcBorders>
            <w:shd w:val="clear" w:color="auto" w:fill="auto"/>
            <w:vAlign w:val="center"/>
            <w:hideMark/>
          </w:tcPr>
          <w:p w14:paraId="2D8F85B9"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7609C46C"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6FC1689B"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Konzervatívny odhad priemernej prepravnej vzdialenosti</w:t>
            </w:r>
            <w:r w:rsidRPr="00F7240C">
              <w:rPr>
                <w:rFonts w:ascii="Times New Roman" w:eastAsia="Times New Roman" w:hAnsi="Times New Roman" w:cs="Times New Roman"/>
                <w:sz w:val="12"/>
                <w:szCs w:val="12"/>
                <w:lang w:eastAsia="sk-SK"/>
              </w:rPr>
              <w:br/>
              <w:t>Pri odhadoch vychádzať z čo najpresnejsích podkladov, prieskumov</w:t>
            </w:r>
          </w:p>
        </w:tc>
        <w:tc>
          <w:tcPr>
            <w:tcW w:w="0" w:type="auto"/>
            <w:tcBorders>
              <w:top w:val="nil"/>
              <w:left w:val="nil"/>
              <w:bottom w:val="single" w:sz="4" w:space="0" w:color="auto"/>
              <w:right w:val="single" w:sz="8" w:space="0" w:color="auto"/>
            </w:tcBorders>
            <w:shd w:val="clear" w:color="000000" w:fill="92D050"/>
            <w:vAlign w:val="center"/>
            <w:hideMark/>
          </w:tcPr>
          <w:p w14:paraId="69D6E86F"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Nízke</w:t>
            </w:r>
          </w:p>
        </w:tc>
      </w:tr>
      <w:tr w:rsidR="001A24C3" w:rsidRPr="00F7240C" w14:paraId="02FA4A5D" w14:textId="77777777" w:rsidTr="00300963">
        <w:trPr>
          <w:trHeight w:val="65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33882AA6"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Zníženie úspory času v železničnej osobnej doprave</w:t>
            </w:r>
          </w:p>
        </w:tc>
        <w:tc>
          <w:tcPr>
            <w:tcW w:w="0" w:type="auto"/>
            <w:tcBorders>
              <w:top w:val="nil"/>
              <w:left w:val="nil"/>
              <w:bottom w:val="single" w:sz="4" w:space="0" w:color="auto"/>
              <w:right w:val="single" w:sz="4" w:space="0" w:color="auto"/>
            </w:tcBorders>
            <w:shd w:val="clear" w:color="auto" w:fill="auto"/>
            <w:vAlign w:val="center"/>
            <w:hideMark/>
          </w:tcPr>
          <w:p w14:paraId="09D903A4"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Čas cestujúcich</w:t>
            </w:r>
          </w:p>
        </w:tc>
        <w:tc>
          <w:tcPr>
            <w:tcW w:w="0" w:type="auto"/>
            <w:tcBorders>
              <w:top w:val="nil"/>
              <w:left w:val="nil"/>
              <w:bottom w:val="single" w:sz="4" w:space="0" w:color="auto"/>
              <w:right w:val="single" w:sz="4" w:space="0" w:color="auto"/>
            </w:tcBorders>
            <w:shd w:val="clear" w:color="auto" w:fill="auto"/>
            <w:vAlign w:val="center"/>
            <w:hideMark/>
          </w:tcPr>
          <w:p w14:paraId="656D5C2E"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Nepresný výpočet úspory času vygenerovanej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2F7633FE"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Zníženie  hodnoty socio-ekonomických  benefitov  vygenerovaných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64B56499"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Zhoršenie socio-ekonomických ukazovateľov projektu</w:t>
            </w:r>
          </w:p>
        </w:tc>
        <w:tc>
          <w:tcPr>
            <w:tcW w:w="0" w:type="auto"/>
            <w:tcBorders>
              <w:top w:val="nil"/>
              <w:left w:val="nil"/>
              <w:bottom w:val="single" w:sz="4" w:space="0" w:color="auto"/>
              <w:right w:val="single" w:sz="4" w:space="0" w:color="auto"/>
            </w:tcBorders>
            <w:shd w:val="clear" w:color="auto" w:fill="auto"/>
            <w:vAlign w:val="center"/>
            <w:hideMark/>
          </w:tcPr>
          <w:p w14:paraId="1DE12CCF"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6280B1E7"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7E35C74D"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702BD3C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Pri odhadoch vychádzať z čo najpresnejsích podkladov, prieskumov</w:t>
            </w:r>
          </w:p>
        </w:tc>
        <w:tc>
          <w:tcPr>
            <w:tcW w:w="0" w:type="auto"/>
            <w:tcBorders>
              <w:top w:val="nil"/>
              <w:left w:val="nil"/>
              <w:bottom w:val="single" w:sz="4" w:space="0" w:color="auto"/>
              <w:right w:val="single" w:sz="8" w:space="0" w:color="auto"/>
            </w:tcBorders>
            <w:shd w:val="clear" w:color="000000" w:fill="FFFF00"/>
            <w:vAlign w:val="center"/>
            <w:hideMark/>
          </w:tcPr>
          <w:p w14:paraId="5C67537A"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r>
      <w:tr w:rsidR="001A24C3" w:rsidRPr="00F7240C" w14:paraId="3B58E152"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5703797F" w14:textId="77777777" w:rsidR="001A24C3" w:rsidRPr="00F7240C" w:rsidRDefault="001A24C3" w:rsidP="00300963">
            <w:pPr>
              <w:jc w:val="center"/>
              <w:rPr>
                <w:rFonts w:ascii="Times New Roman" w:eastAsia="Times New Roman" w:hAnsi="Times New Roman" w:cs="Times New Roman"/>
                <w:b/>
                <w:bCs/>
                <w:sz w:val="12"/>
                <w:szCs w:val="12"/>
                <w:lang w:eastAsia="sk-SK"/>
              </w:rPr>
            </w:pPr>
            <w:r w:rsidRPr="00F7240C">
              <w:rPr>
                <w:rFonts w:ascii="Times New Roman" w:eastAsia="Times New Roman" w:hAnsi="Times New Roman" w:cs="Times New Roman"/>
                <w:b/>
                <w:bCs/>
                <w:sz w:val="12"/>
                <w:szCs w:val="12"/>
                <w:lang w:eastAsia="sk-SK"/>
              </w:rPr>
              <w:t>Verejné obstarávanie</w:t>
            </w:r>
          </w:p>
        </w:tc>
      </w:tr>
      <w:tr w:rsidR="001A24C3" w:rsidRPr="00F7240C" w14:paraId="45AEE627" w14:textId="77777777" w:rsidTr="00300963">
        <w:trPr>
          <w:trHeight w:val="766"/>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5BC8CBA6"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Zdržanie v procese verejného obstarávania</w:t>
            </w:r>
          </w:p>
        </w:tc>
        <w:tc>
          <w:tcPr>
            <w:tcW w:w="0" w:type="auto"/>
            <w:tcBorders>
              <w:top w:val="nil"/>
              <w:left w:val="nil"/>
              <w:bottom w:val="single" w:sz="4" w:space="0" w:color="auto"/>
              <w:right w:val="single" w:sz="4" w:space="0" w:color="auto"/>
            </w:tcBorders>
            <w:shd w:val="clear" w:color="auto" w:fill="auto"/>
            <w:vAlign w:val="center"/>
            <w:hideMark/>
          </w:tcPr>
          <w:p w14:paraId="4139765F"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 xml:space="preserve">Všetky premenné </w:t>
            </w:r>
          </w:p>
        </w:tc>
        <w:tc>
          <w:tcPr>
            <w:tcW w:w="0" w:type="auto"/>
            <w:tcBorders>
              <w:top w:val="nil"/>
              <w:left w:val="nil"/>
              <w:bottom w:val="single" w:sz="4" w:space="0" w:color="auto"/>
              <w:right w:val="single" w:sz="4" w:space="0" w:color="auto"/>
            </w:tcBorders>
            <w:shd w:val="clear" w:color="auto" w:fill="auto"/>
            <w:vAlign w:val="center"/>
            <w:hideMark/>
          </w:tcPr>
          <w:p w14:paraId="547EF6E6"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 xml:space="preserve">Vyhlásenie verejného obstarávania v neskoršom termíne ako bolo plánované, </w:t>
            </w:r>
            <w:r w:rsidRPr="00F7240C">
              <w:rPr>
                <w:rFonts w:ascii="Times New Roman" w:eastAsia="Times New Roman" w:hAnsi="Times New Roman" w:cs="Times New Roman"/>
                <w:sz w:val="12"/>
                <w:szCs w:val="12"/>
                <w:lang w:eastAsia="sk-SK"/>
              </w:rPr>
              <w:br/>
              <w:t>Riešenie námietok účastníkov verejného obstarávania</w:t>
            </w:r>
          </w:p>
        </w:tc>
        <w:tc>
          <w:tcPr>
            <w:tcW w:w="0" w:type="auto"/>
            <w:tcBorders>
              <w:top w:val="nil"/>
              <w:left w:val="nil"/>
              <w:bottom w:val="single" w:sz="4" w:space="0" w:color="auto"/>
              <w:right w:val="single" w:sz="4" w:space="0" w:color="auto"/>
            </w:tcBorders>
            <w:shd w:val="clear" w:color="auto" w:fill="auto"/>
            <w:vAlign w:val="center"/>
            <w:hideMark/>
          </w:tcPr>
          <w:p w14:paraId="25D2ADF9"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 xml:space="preserve">Oneskorenie začiatku a konca realizácie projektu </w:t>
            </w:r>
          </w:p>
        </w:tc>
        <w:tc>
          <w:tcPr>
            <w:tcW w:w="0" w:type="auto"/>
            <w:tcBorders>
              <w:top w:val="nil"/>
              <w:left w:val="nil"/>
              <w:bottom w:val="single" w:sz="4" w:space="0" w:color="auto"/>
              <w:right w:val="single" w:sz="4" w:space="0" w:color="auto"/>
            </w:tcBorders>
            <w:shd w:val="clear" w:color="auto" w:fill="auto"/>
            <w:vAlign w:val="center"/>
            <w:hideMark/>
          </w:tcPr>
          <w:p w14:paraId="1E68E9D3"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V prípade výrazného zdržania pri procesoch VO hrozí neskorší nábeh socio-ekonomických benefitov projektu.</w:t>
            </w:r>
          </w:p>
        </w:tc>
        <w:tc>
          <w:tcPr>
            <w:tcW w:w="0" w:type="auto"/>
            <w:tcBorders>
              <w:top w:val="nil"/>
              <w:left w:val="nil"/>
              <w:bottom w:val="single" w:sz="4" w:space="0" w:color="auto"/>
              <w:right w:val="single" w:sz="4" w:space="0" w:color="auto"/>
            </w:tcBorders>
            <w:shd w:val="clear" w:color="auto" w:fill="auto"/>
            <w:vAlign w:val="center"/>
            <w:hideMark/>
          </w:tcPr>
          <w:p w14:paraId="39DEF841"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39E69CB9"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II</w:t>
            </w:r>
          </w:p>
        </w:tc>
        <w:tc>
          <w:tcPr>
            <w:tcW w:w="0" w:type="auto"/>
            <w:tcBorders>
              <w:top w:val="nil"/>
              <w:left w:val="nil"/>
              <w:bottom w:val="single" w:sz="4" w:space="0" w:color="auto"/>
              <w:right w:val="single" w:sz="4" w:space="0" w:color="auto"/>
            </w:tcBorders>
            <w:shd w:val="clear" w:color="000000" w:fill="FFFF00"/>
            <w:vAlign w:val="center"/>
            <w:hideMark/>
          </w:tcPr>
          <w:p w14:paraId="5F172724"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16458A4A"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Adekvátna príprava a riadenie procesov verejného obstarávania</w:t>
            </w:r>
          </w:p>
        </w:tc>
        <w:tc>
          <w:tcPr>
            <w:tcW w:w="0" w:type="auto"/>
            <w:tcBorders>
              <w:top w:val="nil"/>
              <w:left w:val="nil"/>
              <w:bottom w:val="single" w:sz="4" w:space="0" w:color="auto"/>
              <w:right w:val="single" w:sz="8" w:space="0" w:color="auto"/>
            </w:tcBorders>
            <w:shd w:val="clear" w:color="000000" w:fill="92D050"/>
            <w:vAlign w:val="center"/>
            <w:hideMark/>
          </w:tcPr>
          <w:p w14:paraId="04D6F62E"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Nízke</w:t>
            </w:r>
          </w:p>
        </w:tc>
      </w:tr>
      <w:tr w:rsidR="001A24C3" w:rsidRPr="00F7240C" w14:paraId="26E8C3F6"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61C03CC9" w14:textId="77777777" w:rsidR="001A24C3" w:rsidRPr="00F7240C" w:rsidRDefault="001A24C3" w:rsidP="00300963">
            <w:pPr>
              <w:jc w:val="center"/>
              <w:rPr>
                <w:rFonts w:ascii="Times New Roman" w:eastAsia="Times New Roman" w:hAnsi="Times New Roman" w:cs="Times New Roman"/>
                <w:b/>
                <w:bCs/>
                <w:sz w:val="12"/>
                <w:szCs w:val="12"/>
                <w:lang w:eastAsia="sk-SK"/>
              </w:rPr>
            </w:pPr>
            <w:r w:rsidRPr="00F7240C">
              <w:rPr>
                <w:rFonts w:ascii="Times New Roman" w:eastAsia="Times New Roman" w:hAnsi="Times New Roman" w:cs="Times New Roman"/>
                <w:b/>
                <w:bCs/>
                <w:sz w:val="12"/>
                <w:szCs w:val="12"/>
                <w:lang w:eastAsia="sk-SK"/>
              </w:rPr>
              <w:t>Realizácia projektu</w:t>
            </w:r>
          </w:p>
        </w:tc>
      </w:tr>
      <w:tr w:rsidR="001A24C3" w:rsidRPr="00F7240C" w14:paraId="08030B58" w14:textId="77777777" w:rsidTr="00300963">
        <w:trPr>
          <w:trHeight w:val="514"/>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AB27F25"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Nedodržanie rozpočtu projektu</w:t>
            </w:r>
          </w:p>
        </w:tc>
        <w:tc>
          <w:tcPr>
            <w:tcW w:w="0" w:type="auto"/>
            <w:tcBorders>
              <w:top w:val="nil"/>
              <w:left w:val="nil"/>
              <w:bottom w:val="single" w:sz="4" w:space="0" w:color="auto"/>
              <w:right w:val="single" w:sz="4" w:space="0" w:color="auto"/>
            </w:tcBorders>
            <w:shd w:val="clear" w:color="auto" w:fill="auto"/>
            <w:vAlign w:val="center"/>
            <w:hideMark/>
          </w:tcPr>
          <w:p w14:paraId="3CC492EC"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Investičné výdavky</w:t>
            </w:r>
          </w:p>
        </w:tc>
        <w:tc>
          <w:tcPr>
            <w:tcW w:w="0" w:type="auto"/>
            <w:tcBorders>
              <w:top w:val="nil"/>
              <w:left w:val="nil"/>
              <w:bottom w:val="single" w:sz="4" w:space="0" w:color="auto"/>
              <w:right w:val="single" w:sz="4" w:space="0" w:color="auto"/>
            </w:tcBorders>
            <w:shd w:val="clear" w:color="auto" w:fill="auto"/>
            <w:vAlign w:val="center"/>
            <w:hideMark/>
          </w:tcPr>
          <w:p w14:paraId="5C453176"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Vyššie náklady na realizáciu stavby ako sa predpokladalo pred vyhlásením VO</w:t>
            </w:r>
          </w:p>
        </w:tc>
        <w:tc>
          <w:tcPr>
            <w:tcW w:w="0" w:type="auto"/>
            <w:tcBorders>
              <w:top w:val="nil"/>
              <w:left w:val="nil"/>
              <w:bottom w:val="single" w:sz="4" w:space="0" w:color="auto"/>
              <w:right w:val="single" w:sz="4" w:space="0" w:color="auto"/>
            </w:tcBorders>
            <w:shd w:val="clear" w:color="auto" w:fill="auto"/>
            <w:vAlign w:val="center"/>
            <w:hideMark/>
          </w:tcPr>
          <w:p w14:paraId="658771E1"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Investičné náklady vyššie ako odhadované</w:t>
            </w:r>
          </w:p>
        </w:tc>
        <w:tc>
          <w:tcPr>
            <w:tcW w:w="0" w:type="auto"/>
            <w:tcBorders>
              <w:top w:val="nil"/>
              <w:left w:val="nil"/>
              <w:bottom w:val="single" w:sz="4" w:space="0" w:color="auto"/>
              <w:right w:val="single" w:sz="4" w:space="0" w:color="auto"/>
            </w:tcBorders>
            <w:shd w:val="clear" w:color="auto" w:fill="auto"/>
            <w:vAlign w:val="center"/>
            <w:hideMark/>
          </w:tcPr>
          <w:p w14:paraId="1828A1CD"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Vyššie investičné výdavky potrebné na realizáciu projektu</w:t>
            </w:r>
          </w:p>
        </w:tc>
        <w:tc>
          <w:tcPr>
            <w:tcW w:w="0" w:type="auto"/>
            <w:tcBorders>
              <w:top w:val="nil"/>
              <w:left w:val="nil"/>
              <w:bottom w:val="single" w:sz="4" w:space="0" w:color="auto"/>
              <w:right w:val="single" w:sz="4" w:space="0" w:color="auto"/>
            </w:tcBorders>
            <w:shd w:val="clear" w:color="auto" w:fill="auto"/>
            <w:vAlign w:val="center"/>
            <w:hideMark/>
          </w:tcPr>
          <w:p w14:paraId="69D3FFE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B</w:t>
            </w:r>
          </w:p>
        </w:tc>
        <w:tc>
          <w:tcPr>
            <w:tcW w:w="0" w:type="auto"/>
            <w:tcBorders>
              <w:top w:val="nil"/>
              <w:left w:val="nil"/>
              <w:bottom w:val="single" w:sz="4" w:space="0" w:color="auto"/>
              <w:right w:val="single" w:sz="4" w:space="0" w:color="auto"/>
            </w:tcBorders>
            <w:shd w:val="clear" w:color="auto" w:fill="auto"/>
            <w:vAlign w:val="center"/>
            <w:hideMark/>
          </w:tcPr>
          <w:p w14:paraId="050C1C61"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3CA96D36"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4ACF7E64"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Projektová dokumentácia v čo najdetailnejšom stupni</w:t>
            </w:r>
            <w:r w:rsidRPr="00F7240C">
              <w:rPr>
                <w:rFonts w:ascii="Times New Roman" w:eastAsia="Times New Roman" w:hAnsi="Times New Roman" w:cs="Times New Roman"/>
                <w:sz w:val="12"/>
                <w:szCs w:val="12"/>
                <w:lang w:eastAsia="sk-SK"/>
              </w:rPr>
              <w:br/>
              <w:t>Prieskum trhu pri príprave PHZ</w:t>
            </w:r>
            <w:r w:rsidRPr="00F7240C">
              <w:rPr>
                <w:rFonts w:ascii="Times New Roman" w:eastAsia="Times New Roman" w:hAnsi="Times New Roman" w:cs="Times New Roman"/>
                <w:sz w:val="12"/>
                <w:szCs w:val="12"/>
                <w:lang w:eastAsia="sk-SK"/>
              </w:rPr>
              <w:br/>
              <w:t>Kvalitne nastavené zmluvné vzťahy s budúcim  Zhotoviteľom stavebných prác</w:t>
            </w:r>
          </w:p>
        </w:tc>
        <w:tc>
          <w:tcPr>
            <w:tcW w:w="0" w:type="auto"/>
            <w:tcBorders>
              <w:top w:val="nil"/>
              <w:left w:val="nil"/>
              <w:bottom w:val="single" w:sz="4" w:space="0" w:color="auto"/>
              <w:right w:val="single" w:sz="8" w:space="0" w:color="auto"/>
            </w:tcBorders>
            <w:shd w:val="clear" w:color="000000" w:fill="92D050"/>
            <w:vAlign w:val="center"/>
            <w:hideMark/>
          </w:tcPr>
          <w:p w14:paraId="1530B10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Nízke</w:t>
            </w:r>
          </w:p>
        </w:tc>
      </w:tr>
      <w:tr w:rsidR="001A24C3" w:rsidRPr="00F7240C" w14:paraId="6BF86D95" w14:textId="77777777" w:rsidTr="00300963">
        <w:trPr>
          <w:trHeight w:val="60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7D6E73D"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Geológia</w:t>
            </w:r>
          </w:p>
        </w:tc>
        <w:tc>
          <w:tcPr>
            <w:tcW w:w="0" w:type="auto"/>
            <w:tcBorders>
              <w:top w:val="nil"/>
              <w:left w:val="nil"/>
              <w:bottom w:val="single" w:sz="4" w:space="0" w:color="auto"/>
              <w:right w:val="single" w:sz="4" w:space="0" w:color="auto"/>
            </w:tcBorders>
            <w:shd w:val="clear" w:color="auto" w:fill="auto"/>
            <w:vAlign w:val="center"/>
            <w:hideMark/>
          </w:tcPr>
          <w:p w14:paraId="0A71F8D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Investičné výdavky</w:t>
            </w:r>
          </w:p>
        </w:tc>
        <w:tc>
          <w:tcPr>
            <w:tcW w:w="0" w:type="auto"/>
            <w:tcBorders>
              <w:top w:val="nil"/>
              <w:left w:val="nil"/>
              <w:bottom w:val="single" w:sz="4" w:space="0" w:color="auto"/>
              <w:right w:val="single" w:sz="4" w:space="0" w:color="auto"/>
            </w:tcBorders>
            <w:shd w:val="clear" w:color="auto" w:fill="auto"/>
            <w:vAlign w:val="center"/>
            <w:hideMark/>
          </w:tcPr>
          <w:p w14:paraId="5162FB88" w14:textId="150823B1"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Nepriaznivé geologické p</w:t>
            </w:r>
            <w:r w:rsidR="006D4862">
              <w:rPr>
                <w:rFonts w:ascii="Times New Roman" w:eastAsia="Times New Roman" w:hAnsi="Times New Roman" w:cs="Times New Roman"/>
                <w:sz w:val="12"/>
                <w:szCs w:val="12"/>
                <w:lang w:eastAsia="sk-SK"/>
              </w:rPr>
              <w:t>o</w:t>
            </w:r>
            <w:r w:rsidRPr="00F7240C">
              <w:rPr>
                <w:rFonts w:ascii="Times New Roman" w:eastAsia="Times New Roman" w:hAnsi="Times New Roman" w:cs="Times New Roman"/>
                <w:sz w:val="12"/>
                <w:szCs w:val="12"/>
                <w:lang w:eastAsia="sk-SK"/>
              </w:rPr>
              <w:t>dmienky p</w:t>
            </w:r>
            <w:r w:rsidR="006D4862">
              <w:rPr>
                <w:rFonts w:ascii="Times New Roman" w:eastAsia="Times New Roman" w:hAnsi="Times New Roman" w:cs="Times New Roman"/>
                <w:sz w:val="12"/>
                <w:szCs w:val="12"/>
                <w:lang w:eastAsia="sk-SK"/>
              </w:rPr>
              <w:t>r</w:t>
            </w:r>
            <w:r w:rsidRPr="00F7240C">
              <w:rPr>
                <w:rFonts w:ascii="Times New Roman" w:eastAsia="Times New Roman" w:hAnsi="Times New Roman" w:cs="Times New Roman"/>
                <w:sz w:val="12"/>
                <w:szCs w:val="12"/>
                <w:lang w:eastAsia="sk-SK"/>
              </w:rPr>
              <w:t>i razení tunela Kýčera m</w:t>
            </w:r>
            <w:r w:rsidR="006D4862">
              <w:rPr>
                <w:rFonts w:ascii="Times New Roman" w:eastAsia="Times New Roman" w:hAnsi="Times New Roman" w:cs="Times New Roman"/>
                <w:sz w:val="12"/>
                <w:szCs w:val="12"/>
                <w:lang w:eastAsia="sk-SK"/>
              </w:rPr>
              <w:t>ô</w:t>
            </w:r>
            <w:r w:rsidRPr="00F7240C">
              <w:rPr>
                <w:rFonts w:ascii="Times New Roman" w:eastAsia="Times New Roman" w:hAnsi="Times New Roman" w:cs="Times New Roman"/>
                <w:sz w:val="12"/>
                <w:szCs w:val="12"/>
                <w:lang w:eastAsia="sk-SK"/>
              </w:rPr>
              <w:t>žu zásadne navýšiť investičné výdavky projektu</w:t>
            </w:r>
          </w:p>
        </w:tc>
        <w:tc>
          <w:tcPr>
            <w:tcW w:w="0" w:type="auto"/>
            <w:tcBorders>
              <w:top w:val="nil"/>
              <w:left w:val="nil"/>
              <w:bottom w:val="single" w:sz="4" w:space="0" w:color="auto"/>
              <w:right w:val="single" w:sz="4" w:space="0" w:color="auto"/>
            </w:tcBorders>
            <w:shd w:val="clear" w:color="auto" w:fill="auto"/>
            <w:vAlign w:val="center"/>
            <w:hideMark/>
          </w:tcPr>
          <w:p w14:paraId="5D58848B"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Investičné náklady vyššie ako odhadované</w:t>
            </w:r>
          </w:p>
        </w:tc>
        <w:tc>
          <w:tcPr>
            <w:tcW w:w="0" w:type="auto"/>
            <w:tcBorders>
              <w:top w:val="nil"/>
              <w:left w:val="nil"/>
              <w:bottom w:val="single" w:sz="4" w:space="0" w:color="auto"/>
              <w:right w:val="single" w:sz="4" w:space="0" w:color="auto"/>
            </w:tcBorders>
            <w:shd w:val="clear" w:color="auto" w:fill="auto"/>
            <w:vAlign w:val="center"/>
            <w:hideMark/>
          </w:tcPr>
          <w:p w14:paraId="27E1B72B"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Vyššie investičné výdavky potrebné na realizáciu projektu</w:t>
            </w:r>
          </w:p>
        </w:tc>
        <w:tc>
          <w:tcPr>
            <w:tcW w:w="0" w:type="auto"/>
            <w:tcBorders>
              <w:top w:val="nil"/>
              <w:left w:val="nil"/>
              <w:bottom w:val="single" w:sz="4" w:space="0" w:color="auto"/>
              <w:right w:val="single" w:sz="4" w:space="0" w:color="auto"/>
            </w:tcBorders>
            <w:shd w:val="clear" w:color="auto" w:fill="auto"/>
            <w:vAlign w:val="center"/>
            <w:hideMark/>
          </w:tcPr>
          <w:p w14:paraId="193CAAF7"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B</w:t>
            </w:r>
          </w:p>
        </w:tc>
        <w:tc>
          <w:tcPr>
            <w:tcW w:w="0" w:type="auto"/>
            <w:tcBorders>
              <w:top w:val="nil"/>
              <w:left w:val="nil"/>
              <w:bottom w:val="single" w:sz="4" w:space="0" w:color="auto"/>
              <w:right w:val="single" w:sz="4" w:space="0" w:color="auto"/>
            </w:tcBorders>
            <w:shd w:val="clear" w:color="auto" w:fill="auto"/>
            <w:vAlign w:val="center"/>
            <w:hideMark/>
          </w:tcPr>
          <w:p w14:paraId="47777E00"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V</w:t>
            </w:r>
          </w:p>
        </w:tc>
        <w:tc>
          <w:tcPr>
            <w:tcW w:w="0" w:type="auto"/>
            <w:tcBorders>
              <w:top w:val="nil"/>
              <w:left w:val="nil"/>
              <w:bottom w:val="single" w:sz="4" w:space="0" w:color="auto"/>
              <w:right w:val="single" w:sz="4" w:space="0" w:color="auto"/>
            </w:tcBorders>
            <w:shd w:val="clear" w:color="000000" w:fill="FF0000"/>
            <w:noWrap/>
            <w:vAlign w:val="center"/>
            <w:hideMark/>
          </w:tcPr>
          <w:p w14:paraId="4E29AFA6" w14:textId="77777777" w:rsidR="001A24C3" w:rsidRPr="00F7240C" w:rsidRDefault="001A24C3" w:rsidP="00300963">
            <w:pPr>
              <w:jc w:val="center"/>
              <w:rPr>
                <w:rFonts w:ascii="Calibri" w:eastAsia="Times New Roman" w:hAnsi="Calibri" w:cs="Arial"/>
                <w:color w:val="000000"/>
                <w:sz w:val="12"/>
                <w:szCs w:val="12"/>
                <w:lang w:eastAsia="sk-SK"/>
              </w:rPr>
            </w:pPr>
            <w:r w:rsidRPr="00F7240C">
              <w:rPr>
                <w:rFonts w:ascii="Calibri" w:eastAsia="Times New Roman" w:hAnsi="Calibri" w:cs="Arial"/>
                <w:color w:val="000000"/>
                <w:sz w:val="12"/>
                <w:szCs w:val="12"/>
                <w:lang w:eastAsia="sk-SK"/>
              </w:rPr>
              <w:t>Vysoká</w:t>
            </w:r>
          </w:p>
        </w:tc>
        <w:tc>
          <w:tcPr>
            <w:tcW w:w="0" w:type="auto"/>
            <w:tcBorders>
              <w:top w:val="nil"/>
              <w:left w:val="nil"/>
              <w:bottom w:val="single" w:sz="4" w:space="0" w:color="auto"/>
              <w:right w:val="single" w:sz="4" w:space="0" w:color="auto"/>
            </w:tcBorders>
            <w:shd w:val="clear" w:color="auto" w:fill="auto"/>
            <w:vAlign w:val="center"/>
            <w:hideMark/>
          </w:tcPr>
          <w:p w14:paraId="3044517E"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Kvalitne realizovaný geologický prieskum v rámci prípravy projektovej dokumentácie</w:t>
            </w:r>
          </w:p>
        </w:tc>
        <w:tc>
          <w:tcPr>
            <w:tcW w:w="0" w:type="auto"/>
            <w:tcBorders>
              <w:top w:val="nil"/>
              <w:left w:val="nil"/>
              <w:bottom w:val="single" w:sz="4" w:space="0" w:color="auto"/>
              <w:right w:val="single" w:sz="8" w:space="0" w:color="auto"/>
            </w:tcBorders>
            <w:shd w:val="clear" w:color="000000" w:fill="FFFF00"/>
            <w:vAlign w:val="center"/>
            <w:hideMark/>
          </w:tcPr>
          <w:p w14:paraId="47F70E9D"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Stredná</w:t>
            </w:r>
          </w:p>
        </w:tc>
      </w:tr>
      <w:tr w:rsidR="001A24C3" w:rsidRPr="00F7240C" w14:paraId="32B1F875"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3490D116" w14:textId="77777777" w:rsidR="001A24C3" w:rsidRPr="00F7240C" w:rsidRDefault="001A24C3" w:rsidP="00300963">
            <w:pPr>
              <w:jc w:val="center"/>
              <w:rPr>
                <w:rFonts w:ascii="Times New Roman" w:eastAsia="Times New Roman" w:hAnsi="Times New Roman" w:cs="Times New Roman"/>
                <w:b/>
                <w:bCs/>
                <w:sz w:val="12"/>
                <w:szCs w:val="12"/>
                <w:lang w:eastAsia="sk-SK"/>
              </w:rPr>
            </w:pPr>
            <w:r w:rsidRPr="00F7240C">
              <w:rPr>
                <w:rFonts w:ascii="Times New Roman" w:eastAsia="Times New Roman" w:hAnsi="Times New Roman" w:cs="Times New Roman"/>
                <w:b/>
                <w:bCs/>
                <w:sz w:val="12"/>
                <w:szCs w:val="12"/>
                <w:lang w:eastAsia="sk-SK"/>
              </w:rPr>
              <w:t>Prevádzka</w:t>
            </w:r>
          </w:p>
        </w:tc>
      </w:tr>
      <w:tr w:rsidR="001A24C3" w:rsidRPr="00F7240C" w14:paraId="473F2141" w14:textId="77777777" w:rsidTr="00300963">
        <w:trPr>
          <w:trHeight w:val="562"/>
        </w:trPr>
        <w:tc>
          <w:tcPr>
            <w:tcW w:w="0" w:type="auto"/>
            <w:tcBorders>
              <w:top w:val="nil"/>
              <w:left w:val="single" w:sz="8" w:space="0" w:color="auto"/>
              <w:bottom w:val="single" w:sz="8" w:space="0" w:color="auto"/>
              <w:right w:val="single" w:sz="4" w:space="0" w:color="auto"/>
            </w:tcBorders>
            <w:shd w:val="clear" w:color="auto" w:fill="auto"/>
            <w:vAlign w:val="center"/>
            <w:hideMark/>
          </w:tcPr>
          <w:p w14:paraId="70957492"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Úspory prevádzkových výdavkov menšie jako predpokladané</w:t>
            </w:r>
          </w:p>
        </w:tc>
        <w:tc>
          <w:tcPr>
            <w:tcW w:w="0" w:type="auto"/>
            <w:tcBorders>
              <w:top w:val="nil"/>
              <w:left w:val="nil"/>
              <w:bottom w:val="single" w:sz="8" w:space="0" w:color="auto"/>
              <w:right w:val="single" w:sz="4" w:space="0" w:color="auto"/>
            </w:tcBorders>
            <w:shd w:val="clear" w:color="auto" w:fill="auto"/>
            <w:vAlign w:val="center"/>
            <w:hideMark/>
          </w:tcPr>
          <w:p w14:paraId="30A5FD9A"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Prevádzkové výdavky</w:t>
            </w:r>
          </w:p>
        </w:tc>
        <w:tc>
          <w:tcPr>
            <w:tcW w:w="0" w:type="auto"/>
            <w:tcBorders>
              <w:top w:val="nil"/>
              <w:left w:val="nil"/>
              <w:bottom w:val="single" w:sz="8" w:space="0" w:color="auto"/>
              <w:right w:val="single" w:sz="4" w:space="0" w:color="auto"/>
            </w:tcBorders>
            <w:shd w:val="clear" w:color="auto" w:fill="auto"/>
            <w:vAlign w:val="center"/>
            <w:hideMark/>
          </w:tcPr>
          <w:p w14:paraId="6AFEBA76"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Nepresne vyčíslené úspory prevádzkových výdavkov projektu</w:t>
            </w:r>
          </w:p>
        </w:tc>
        <w:tc>
          <w:tcPr>
            <w:tcW w:w="0" w:type="auto"/>
            <w:tcBorders>
              <w:top w:val="nil"/>
              <w:left w:val="nil"/>
              <w:bottom w:val="single" w:sz="8" w:space="0" w:color="auto"/>
              <w:right w:val="single" w:sz="4" w:space="0" w:color="auto"/>
            </w:tcBorders>
            <w:shd w:val="clear" w:color="auto" w:fill="auto"/>
            <w:vAlign w:val="center"/>
            <w:hideMark/>
          </w:tcPr>
          <w:p w14:paraId="49441F94"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Znížene úspory prevádzkových výdavkov projektu</w:t>
            </w:r>
          </w:p>
        </w:tc>
        <w:tc>
          <w:tcPr>
            <w:tcW w:w="0" w:type="auto"/>
            <w:tcBorders>
              <w:top w:val="nil"/>
              <w:left w:val="nil"/>
              <w:bottom w:val="single" w:sz="8" w:space="0" w:color="auto"/>
              <w:right w:val="single" w:sz="4" w:space="0" w:color="auto"/>
            </w:tcBorders>
            <w:shd w:val="clear" w:color="auto" w:fill="auto"/>
            <w:vAlign w:val="center"/>
            <w:hideMark/>
          </w:tcPr>
          <w:p w14:paraId="557C3B05"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br/>
              <w:t>Zhoršenie socio-ekonomických ukazovateľov projektu</w:t>
            </w:r>
          </w:p>
        </w:tc>
        <w:tc>
          <w:tcPr>
            <w:tcW w:w="0" w:type="auto"/>
            <w:tcBorders>
              <w:top w:val="nil"/>
              <w:left w:val="nil"/>
              <w:bottom w:val="single" w:sz="8" w:space="0" w:color="auto"/>
              <w:right w:val="single" w:sz="4" w:space="0" w:color="auto"/>
            </w:tcBorders>
            <w:shd w:val="clear" w:color="auto" w:fill="auto"/>
            <w:vAlign w:val="center"/>
            <w:hideMark/>
          </w:tcPr>
          <w:p w14:paraId="19F108E2"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A</w:t>
            </w:r>
          </w:p>
        </w:tc>
        <w:tc>
          <w:tcPr>
            <w:tcW w:w="0" w:type="auto"/>
            <w:tcBorders>
              <w:top w:val="nil"/>
              <w:left w:val="nil"/>
              <w:bottom w:val="single" w:sz="8" w:space="0" w:color="auto"/>
              <w:right w:val="single" w:sz="4" w:space="0" w:color="auto"/>
            </w:tcBorders>
            <w:shd w:val="clear" w:color="auto" w:fill="auto"/>
            <w:vAlign w:val="center"/>
            <w:hideMark/>
          </w:tcPr>
          <w:p w14:paraId="4EEE8651"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III</w:t>
            </w:r>
          </w:p>
        </w:tc>
        <w:tc>
          <w:tcPr>
            <w:tcW w:w="0" w:type="auto"/>
            <w:tcBorders>
              <w:top w:val="nil"/>
              <w:left w:val="nil"/>
              <w:bottom w:val="single" w:sz="8" w:space="0" w:color="auto"/>
              <w:right w:val="single" w:sz="4" w:space="0" w:color="auto"/>
            </w:tcBorders>
            <w:shd w:val="clear" w:color="000000" w:fill="92D050"/>
            <w:vAlign w:val="center"/>
            <w:hideMark/>
          </w:tcPr>
          <w:p w14:paraId="2FA39E74"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Nízke</w:t>
            </w:r>
          </w:p>
        </w:tc>
        <w:tc>
          <w:tcPr>
            <w:tcW w:w="0" w:type="auto"/>
            <w:tcBorders>
              <w:top w:val="nil"/>
              <w:left w:val="nil"/>
              <w:bottom w:val="single" w:sz="8" w:space="0" w:color="auto"/>
              <w:right w:val="single" w:sz="4" w:space="0" w:color="auto"/>
            </w:tcBorders>
            <w:shd w:val="clear" w:color="auto" w:fill="auto"/>
            <w:vAlign w:val="center"/>
            <w:hideMark/>
          </w:tcPr>
          <w:p w14:paraId="3302977E"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 xml:space="preserve">Pri tvorbe scenárov vývoja prevádzkových výdavkov   je potrebné vychádzať z čo najpresnejších údajov </w:t>
            </w:r>
          </w:p>
        </w:tc>
        <w:tc>
          <w:tcPr>
            <w:tcW w:w="0" w:type="auto"/>
            <w:tcBorders>
              <w:top w:val="nil"/>
              <w:left w:val="nil"/>
              <w:bottom w:val="single" w:sz="8" w:space="0" w:color="auto"/>
              <w:right w:val="single" w:sz="8" w:space="0" w:color="auto"/>
            </w:tcBorders>
            <w:shd w:val="clear" w:color="000000" w:fill="92D050"/>
            <w:vAlign w:val="center"/>
            <w:hideMark/>
          </w:tcPr>
          <w:p w14:paraId="057A7DF7" w14:textId="77777777" w:rsidR="001A24C3" w:rsidRPr="00F7240C" w:rsidRDefault="001A24C3" w:rsidP="00300963">
            <w:pPr>
              <w:jc w:val="center"/>
              <w:rPr>
                <w:rFonts w:ascii="Times New Roman" w:eastAsia="Times New Roman" w:hAnsi="Times New Roman" w:cs="Times New Roman"/>
                <w:sz w:val="12"/>
                <w:szCs w:val="12"/>
                <w:lang w:eastAsia="sk-SK"/>
              </w:rPr>
            </w:pPr>
            <w:r w:rsidRPr="00F7240C">
              <w:rPr>
                <w:rFonts w:ascii="Times New Roman" w:eastAsia="Times New Roman" w:hAnsi="Times New Roman" w:cs="Times New Roman"/>
                <w:sz w:val="12"/>
                <w:szCs w:val="12"/>
                <w:lang w:eastAsia="sk-SK"/>
              </w:rPr>
              <w:t>Nízke</w:t>
            </w:r>
          </w:p>
        </w:tc>
      </w:tr>
    </w:tbl>
    <w:p w14:paraId="416DA779" w14:textId="77777777" w:rsidR="001A24C3" w:rsidRPr="00612785" w:rsidRDefault="001A24C3" w:rsidP="001A24C3">
      <w:pPr>
        <w:pStyle w:val="TextKoice0"/>
        <w:sectPr w:rsidR="001A24C3" w:rsidRPr="00612785" w:rsidSect="009124A9">
          <w:pgSz w:w="16838" w:h="11906" w:orient="landscape"/>
          <w:pgMar w:top="1418" w:right="1418" w:bottom="993" w:left="1418" w:header="794" w:footer="0" w:gutter="0"/>
          <w:cols w:space="708"/>
          <w:formProt w:val="0"/>
          <w:titlePg/>
          <w:docGrid w:linePitch="360" w:charSpace="4096"/>
        </w:sectPr>
      </w:pPr>
    </w:p>
    <w:p w14:paraId="26BEB449" w14:textId="77777777" w:rsidR="001A24C3" w:rsidRPr="00713187" w:rsidRDefault="001A24C3" w:rsidP="00713187">
      <w:pPr>
        <w:pStyle w:val="Nadpis41"/>
        <w:ind w:left="851" w:hanging="851"/>
        <w:rPr>
          <w:color w:val="auto"/>
          <w:sz w:val="24"/>
          <w:szCs w:val="24"/>
        </w:rPr>
      </w:pPr>
      <w:bookmarkStart w:id="444" w:name="_Toc88653054"/>
      <w:r w:rsidRPr="00713187">
        <w:rPr>
          <w:color w:val="auto"/>
          <w:sz w:val="24"/>
          <w:szCs w:val="24"/>
        </w:rPr>
        <w:lastRenderedPageBreak/>
        <w:t>Pravdepodobnostná riziková analýza</w:t>
      </w:r>
      <w:bookmarkEnd w:id="444"/>
    </w:p>
    <w:p w14:paraId="7D171A80" w14:textId="77777777" w:rsidR="001A24C3" w:rsidRPr="00612785" w:rsidRDefault="001A24C3" w:rsidP="001A24C3">
      <w:pPr>
        <w:rPr>
          <w:b/>
          <w:lang w:eastAsia="sk-SK" w:bidi="sk-SK"/>
        </w:rPr>
      </w:pPr>
      <w:r w:rsidRPr="00612785">
        <w:rPr>
          <w:lang w:eastAsia="sk-SK" w:bidi="sk-SK"/>
        </w:rPr>
        <w:t xml:space="preserve">V predchádzajúcich kapitolách sme si identifikovali citlivé premenné a zároveň vypočítali hodnoty, ako by sa tieto citlivé premenné museli zmeniť, aby to ohrozilo realizáciu projektu. Následná analýza scenárov preukázala, že do pásma nemožnosti realizovať projekt </w:t>
      </w:r>
      <w:r>
        <w:rPr>
          <w:lang w:eastAsia="sk-SK" w:bidi="sk-SK"/>
        </w:rPr>
        <w:t>dostávame nie len v pesimistickom scenári, čo sa bežne stáva, ba dokonca aj v optimistickom scenári, ktorý má iba mierne zdvihnuté investičné náklady, ale do</w:t>
      </w:r>
      <w:r w:rsidRPr="00612785">
        <w:rPr>
          <w:lang w:eastAsia="sk-SK" w:bidi="sk-SK"/>
        </w:rPr>
        <w:t xml:space="preserve"> pásma nemožnosti financovať ho zo zdrojov Operačného Programu Integrovaná Infraštruktúra 2014 – 2020 z dôvodu schopnosti samofinancovania</w:t>
      </w:r>
      <w:r>
        <w:rPr>
          <w:lang w:eastAsia="sk-SK" w:bidi="sk-SK"/>
        </w:rPr>
        <w:t xml:space="preserve"> sa nedostávame v žiadnom zo scenárov. </w:t>
      </w:r>
    </w:p>
    <w:p w14:paraId="746A69DE" w14:textId="77777777" w:rsidR="00713187" w:rsidRDefault="00713187" w:rsidP="00713187">
      <w:pPr>
        <w:pStyle w:val="Popis"/>
        <w:jc w:val="both"/>
      </w:pPr>
      <w:bookmarkStart w:id="445" w:name="_Toc83678004"/>
    </w:p>
    <w:p w14:paraId="7A60935D" w14:textId="5B358CAD" w:rsidR="001A24C3" w:rsidRPr="00612785" w:rsidRDefault="001A24C3" w:rsidP="00713187">
      <w:pPr>
        <w:pStyle w:val="Popis"/>
        <w:jc w:val="both"/>
      </w:pPr>
      <w:r w:rsidRPr="00612785">
        <w:t xml:space="preserve">Graf </w:t>
      </w:r>
      <w:r w:rsidRPr="00612785">
        <w:rPr>
          <w:noProof/>
        </w:rPr>
        <w:fldChar w:fldCharType="begin"/>
      </w:r>
      <w:r w:rsidRPr="00612785">
        <w:rPr>
          <w:noProof/>
        </w:rPr>
        <w:instrText xml:space="preserve"> SEQ Graf \* ARABIC </w:instrText>
      </w:r>
      <w:r w:rsidRPr="00612785">
        <w:rPr>
          <w:noProof/>
        </w:rPr>
        <w:fldChar w:fldCharType="separate"/>
      </w:r>
      <w:r w:rsidR="008208F3">
        <w:rPr>
          <w:noProof/>
        </w:rPr>
        <w:t>7</w:t>
      </w:r>
      <w:r w:rsidRPr="00612785">
        <w:rPr>
          <w:noProof/>
        </w:rPr>
        <w:fldChar w:fldCharType="end"/>
      </w:r>
      <w:r w:rsidRPr="00612785">
        <w:tab/>
        <w:t>Rozdelenie pravdepodobnosti rizika FNPV</w:t>
      </w:r>
      <w:bookmarkEnd w:id="445"/>
    </w:p>
    <w:p w14:paraId="66024228" w14:textId="77777777" w:rsidR="001A24C3" w:rsidRPr="00612785" w:rsidRDefault="001A24C3" w:rsidP="001A24C3">
      <w:r>
        <w:rPr>
          <w:noProof/>
          <w:lang w:eastAsia="sk-SK"/>
        </w:rPr>
        <w:drawing>
          <wp:inline distT="0" distB="0" distL="0" distR="0" wp14:anchorId="3308D4B2" wp14:editId="74D48DCC">
            <wp:extent cx="5759450" cy="2241550"/>
            <wp:effectExtent l="0" t="0" r="12700" b="6350"/>
            <wp:docPr id="12" name="Graf 12">
              <a:extLst xmlns:a="http://schemas.openxmlformats.org/drawingml/2006/main">
                <a:ext uri="{FF2B5EF4-FFF2-40B4-BE49-F238E27FC236}">
                  <a16:creationId xmlns:a16="http://schemas.microsoft.com/office/drawing/2014/main" id="{988F76D9-C3A9-4B45-A88F-1BC0C6FA71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3F3284C9" w14:textId="0D90EC40" w:rsidR="001A24C3" w:rsidRPr="00612785" w:rsidRDefault="001A24C3" w:rsidP="00AF44EA">
      <w:pPr>
        <w:pStyle w:val="TextKoice0"/>
        <w:spacing w:before="240" w:after="240"/>
        <w:ind w:left="0"/>
      </w:pPr>
      <w:r w:rsidRPr="00612785">
        <w:t xml:space="preserve">Pravdepodobnosť, že by hodnota FNPV bola väčšia ako 0 a zároveň hodnota FRR by bola väčšia ako diskontná sadzba, ktorá je </w:t>
      </w:r>
      <w:r>
        <w:t>nulová</w:t>
      </w:r>
      <w:r w:rsidRPr="00612785">
        <w:t xml:space="preserve">. Takáto pravdepodobnosť je </w:t>
      </w:r>
      <w:r>
        <w:t>ideálna</w:t>
      </w:r>
      <w:r w:rsidRPr="00612785">
        <w:t xml:space="preserve">. </w:t>
      </w:r>
    </w:p>
    <w:p w14:paraId="101CE811" w14:textId="7A941CF1" w:rsidR="001A24C3" w:rsidRPr="00612785" w:rsidRDefault="001A24C3" w:rsidP="00713187">
      <w:pPr>
        <w:pStyle w:val="Popis"/>
        <w:jc w:val="both"/>
      </w:pPr>
      <w:bookmarkStart w:id="446" w:name="_Toc83678005"/>
      <w:r w:rsidRPr="00612785">
        <w:t xml:space="preserve">Graf </w:t>
      </w:r>
      <w:r w:rsidRPr="00612785">
        <w:rPr>
          <w:noProof/>
        </w:rPr>
        <w:fldChar w:fldCharType="begin"/>
      </w:r>
      <w:r w:rsidRPr="00612785">
        <w:rPr>
          <w:noProof/>
        </w:rPr>
        <w:instrText xml:space="preserve"> SEQ Graf \* ARABIC </w:instrText>
      </w:r>
      <w:r w:rsidRPr="00612785">
        <w:rPr>
          <w:noProof/>
        </w:rPr>
        <w:fldChar w:fldCharType="separate"/>
      </w:r>
      <w:r w:rsidR="008208F3">
        <w:rPr>
          <w:noProof/>
        </w:rPr>
        <w:t>8</w:t>
      </w:r>
      <w:r w:rsidRPr="00612785">
        <w:rPr>
          <w:noProof/>
        </w:rPr>
        <w:fldChar w:fldCharType="end"/>
      </w:r>
      <w:r w:rsidRPr="00612785">
        <w:tab/>
        <w:t>Rozdelenie pravdepodobnosti rizika ENPV</w:t>
      </w:r>
      <w:bookmarkEnd w:id="446"/>
    </w:p>
    <w:p w14:paraId="3FFF8DDF" w14:textId="77777777" w:rsidR="001A24C3" w:rsidRPr="00612785" w:rsidRDefault="001A24C3" w:rsidP="001A24C3">
      <w:r>
        <w:rPr>
          <w:noProof/>
          <w:lang w:eastAsia="sk-SK"/>
        </w:rPr>
        <w:drawing>
          <wp:inline distT="0" distB="0" distL="0" distR="0" wp14:anchorId="1950C2D9" wp14:editId="4A4FBC7F">
            <wp:extent cx="5759450" cy="2108200"/>
            <wp:effectExtent l="0" t="0" r="12700" b="6350"/>
            <wp:docPr id="13" name="Graf 13">
              <a:extLst xmlns:a="http://schemas.openxmlformats.org/drawingml/2006/main">
                <a:ext uri="{FF2B5EF4-FFF2-40B4-BE49-F238E27FC236}">
                  <a16:creationId xmlns:a16="http://schemas.microsoft.com/office/drawing/2014/main" id="{6C63DC59-2A29-465E-9DF9-99CA9E450B7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49F2789B" w14:textId="77777777" w:rsidR="001A24C3" w:rsidRPr="00612785" w:rsidRDefault="001A24C3" w:rsidP="001A24C3"/>
    <w:p w14:paraId="7609AEEB" w14:textId="77777777" w:rsidR="001A24C3" w:rsidRPr="00612785" w:rsidRDefault="001A24C3" w:rsidP="00713187">
      <w:pPr>
        <w:pStyle w:val="TextKoice0"/>
        <w:ind w:left="0"/>
      </w:pPr>
      <w:r w:rsidRPr="00612785">
        <w:lastRenderedPageBreak/>
        <w:t xml:space="preserve">Pravdepodobnosť, že by celospoločenské benefity projektu klesli tak, že by hodnota ENPV bola menšia ako 1 a zároveň hodnota ERR menšia ako diskontná sadzba je </w:t>
      </w:r>
      <w:r>
        <w:t>50,05</w:t>
      </w:r>
      <w:r w:rsidRPr="00612785">
        <w:t xml:space="preserve"> %, teda </w:t>
      </w:r>
      <w:r>
        <w:t xml:space="preserve">ide o už o druhý variant, kedy táto pravdepodobnosť presiahla 50 %, čo je síce akceptovateľné, ale je to istým značným upozornením. </w:t>
      </w:r>
      <w:r w:rsidRPr="00612785">
        <w:t xml:space="preserve"> </w:t>
      </w:r>
    </w:p>
    <w:p w14:paraId="6C885AB0" w14:textId="77777777" w:rsidR="001A24C3" w:rsidRPr="002C30B3" w:rsidRDefault="001A24C3" w:rsidP="001A24C3"/>
    <w:p w14:paraId="460C12BD" w14:textId="3A5A9A04" w:rsidR="001A24C3" w:rsidRPr="00713187" w:rsidRDefault="001A24C3" w:rsidP="001A24C3">
      <w:pPr>
        <w:pStyle w:val="Nadpis31"/>
        <w:rPr>
          <w:color w:val="auto"/>
        </w:rPr>
      </w:pPr>
      <w:bookmarkStart w:id="447" w:name="_Toc88653055"/>
      <w:r w:rsidRPr="00713187">
        <w:rPr>
          <w:color w:val="auto"/>
        </w:rPr>
        <w:t>Variant</w:t>
      </w:r>
      <w:r w:rsidR="00713187">
        <w:rPr>
          <w:color w:val="auto"/>
        </w:rPr>
        <w:t xml:space="preserve"> C</w:t>
      </w:r>
      <w:r w:rsidRPr="00713187">
        <w:rPr>
          <w:color w:val="auto"/>
        </w:rPr>
        <w:t xml:space="preserve"> „</w:t>
      </w:r>
      <w:r w:rsidR="00713187">
        <w:rPr>
          <w:color w:val="auto"/>
        </w:rPr>
        <w:t>KOMBINOVANÝ – optimalizácia trate</w:t>
      </w:r>
      <w:r w:rsidRPr="00713187">
        <w:rPr>
          <w:color w:val="auto"/>
        </w:rPr>
        <w:t>“</w:t>
      </w:r>
      <w:bookmarkEnd w:id="447"/>
    </w:p>
    <w:p w14:paraId="5837BFCA" w14:textId="77777777" w:rsidR="001A24C3" w:rsidRPr="00713187" w:rsidRDefault="001A24C3" w:rsidP="00713187">
      <w:pPr>
        <w:pStyle w:val="Nadpis41"/>
        <w:ind w:left="851" w:hanging="851"/>
        <w:rPr>
          <w:color w:val="auto"/>
          <w:sz w:val="24"/>
          <w:szCs w:val="24"/>
        </w:rPr>
      </w:pPr>
      <w:bookmarkStart w:id="448" w:name="_Toc88653056"/>
      <w:r w:rsidRPr="00713187">
        <w:rPr>
          <w:color w:val="auto"/>
          <w:sz w:val="24"/>
          <w:szCs w:val="24"/>
        </w:rPr>
        <w:t>Citlivostná analýza</w:t>
      </w:r>
      <w:bookmarkEnd w:id="448"/>
    </w:p>
    <w:p w14:paraId="6DC58E22" w14:textId="77777777" w:rsidR="001A24C3" w:rsidRPr="002C30B3" w:rsidRDefault="001A24C3" w:rsidP="001A24C3">
      <w:pPr>
        <w:pStyle w:val="TextKoice0"/>
        <w:ind w:left="0"/>
      </w:pPr>
      <w:r w:rsidRPr="002C30B3">
        <w:t>V rámci citlivostnej analýzy sa sleduje citlivosť výstupných ukazovateľov CBA analýzy ako:</w:t>
      </w:r>
    </w:p>
    <w:p w14:paraId="4EEAA1D1" w14:textId="77777777" w:rsidR="001A24C3" w:rsidRPr="002C30B3" w:rsidRDefault="001A24C3" w:rsidP="001A24C3">
      <w:pPr>
        <w:pStyle w:val="ODRKY"/>
      </w:pPr>
      <w:r w:rsidRPr="002C30B3">
        <w:t>FNPV/C</w:t>
      </w:r>
    </w:p>
    <w:p w14:paraId="1A4EA552" w14:textId="77777777" w:rsidR="001A24C3" w:rsidRPr="002C30B3" w:rsidRDefault="001A24C3" w:rsidP="001A24C3">
      <w:pPr>
        <w:pStyle w:val="ODRKY"/>
      </w:pPr>
      <w:r w:rsidRPr="002C30B3">
        <w:t>ENPV</w:t>
      </w:r>
    </w:p>
    <w:p w14:paraId="434B251B" w14:textId="77777777" w:rsidR="004B79AC" w:rsidRDefault="004B79AC" w:rsidP="001A24C3">
      <w:pPr>
        <w:pStyle w:val="TextKoice0"/>
        <w:ind w:left="0"/>
      </w:pPr>
      <w:r>
        <w:t>n</w:t>
      </w:r>
      <w:r w:rsidR="001A24C3" w:rsidRPr="000A41CE">
        <w:t xml:space="preserve">a zmenu vstupných premenných. </w:t>
      </w:r>
    </w:p>
    <w:p w14:paraId="5F7DBA1E" w14:textId="77777777" w:rsidR="004B79AC" w:rsidRDefault="004B79AC" w:rsidP="001A24C3">
      <w:pPr>
        <w:pStyle w:val="TextKoice0"/>
        <w:ind w:left="0"/>
      </w:pPr>
    </w:p>
    <w:p w14:paraId="7F653E19" w14:textId="34DB6350" w:rsidR="001A24C3" w:rsidRPr="000A41CE" w:rsidRDefault="001A24C3" w:rsidP="001A24C3">
      <w:pPr>
        <w:pStyle w:val="TextKoice0"/>
        <w:ind w:left="0"/>
      </w:pPr>
      <w:r w:rsidRPr="000A41CE">
        <w:t>Sledované vstupné premenné pre posúdenie citlivosti výstupných premenných v CBA analýze projektu sú:</w:t>
      </w:r>
    </w:p>
    <w:p w14:paraId="6A0C3FE3" w14:textId="77777777" w:rsidR="001A24C3" w:rsidRPr="000A41CE" w:rsidRDefault="001A24C3" w:rsidP="001A24C3">
      <w:pPr>
        <w:pStyle w:val="ODRKY"/>
      </w:pPr>
      <w:r>
        <w:t>i</w:t>
      </w:r>
      <w:r w:rsidRPr="000A41CE">
        <w:t>nvestičné</w:t>
      </w:r>
      <w:r>
        <w:t xml:space="preserve"> výdavky</w:t>
      </w:r>
      <w:r w:rsidRPr="000A41CE">
        <w:t xml:space="preserve"> </w:t>
      </w:r>
      <w:r>
        <w:rPr>
          <w:lang w:val="en-US"/>
        </w:rPr>
        <w:t>(</w:t>
      </w:r>
      <w:r>
        <w:t>náklady)</w:t>
      </w:r>
      <w:r w:rsidRPr="000A41CE">
        <w:t>,</w:t>
      </w:r>
    </w:p>
    <w:p w14:paraId="72FBDC93" w14:textId="77777777" w:rsidR="001A24C3" w:rsidRDefault="001A24C3" w:rsidP="001A24C3">
      <w:pPr>
        <w:pStyle w:val="ODRKY"/>
      </w:pPr>
      <w:r>
        <w:t>p</w:t>
      </w:r>
      <w:r w:rsidRPr="000A41CE">
        <w:t>revádzkové</w:t>
      </w:r>
      <w:r>
        <w:rPr>
          <w:lang w:val="cs-CZ"/>
        </w:rPr>
        <w:t xml:space="preserve"> výdavky</w:t>
      </w:r>
      <w:r w:rsidRPr="000A41CE">
        <w:t xml:space="preserve"> </w:t>
      </w:r>
      <w:r>
        <w:t>(náklady)</w:t>
      </w:r>
      <w:r w:rsidRPr="000A41CE">
        <w:t>,</w:t>
      </w:r>
    </w:p>
    <w:p w14:paraId="4349EFEF" w14:textId="77777777" w:rsidR="001A24C3" w:rsidRDefault="001A24C3" w:rsidP="001A24C3">
      <w:pPr>
        <w:pStyle w:val="ODRKY"/>
      </w:pPr>
      <w:r>
        <w:t>úspora času - osobná doprava,</w:t>
      </w:r>
    </w:p>
    <w:p w14:paraId="06867979" w14:textId="77777777" w:rsidR="001A24C3" w:rsidRDefault="001A24C3" w:rsidP="001A24C3">
      <w:pPr>
        <w:pStyle w:val="ODRKY"/>
      </w:pPr>
      <w:r>
        <w:t>vlkm – osobná doprava,</w:t>
      </w:r>
    </w:p>
    <w:p w14:paraId="6FEEBBAB" w14:textId="77777777" w:rsidR="001A24C3" w:rsidRPr="000A41CE" w:rsidRDefault="001A24C3" w:rsidP="001A24C3">
      <w:pPr>
        <w:pStyle w:val="ODRKY"/>
      </w:pPr>
      <w:r>
        <w:t>vzkm – prevedená doprava,</w:t>
      </w:r>
    </w:p>
    <w:p w14:paraId="34A28F79" w14:textId="77777777" w:rsidR="001A24C3" w:rsidRDefault="001A24C3" w:rsidP="001A24C3">
      <w:pPr>
        <w:pStyle w:val="ODRKY"/>
      </w:pPr>
      <w:r>
        <w:t>úspora času - nákladná doprava,</w:t>
      </w:r>
    </w:p>
    <w:p w14:paraId="5B66F4A4" w14:textId="77777777" w:rsidR="001A24C3" w:rsidRDefault="001A24C3" w:rsidP="001A24C3">
      <w:pPr>
        <w:pStyle w:val="ODRKY"/>
      </w:pPr>
      <w:r>
        <w:t>vlkm – nákladná doprava,</w:t>
      </w:r>
    </w:p>
    <w:p w14:paraId="17C40FB2" w14:textId="77777777" w:rsidR="001A24C3" w:rsidRDefault="001A24C3" w:rsidP="001A24C3">
      <w:pPr>
        <w:pStyle w:val="ODRKY"/>
      </w:pPr>
      <w:r>
        <w:t>množstvo prepraveného tovaru – nákladná doprava,</w:t>
      </w:r>
    </w:p>
    <w:p w14:paraId="579AEA84" w14:textId="77777777" w:rsidR="001A24C3" w:rsidRPr="000A41CE" w:rsidRDefault="001A24C3" w:rsidP="001A24C3">
      <w:pPr>
        <w:pStyle w:val="ODRKY"/>
      </w:pPr>
      <w:r>
        <w:t>zostatková hodnota.</w:t>
      </w:r>
    </w:p>
    <w:p w14:paraId="6D23B566" w14:textId="77777777" w:rsidR="001A24C3" w:rsidRPr="000A41CE" w:rsidRDefault="001A24C3" w:rsidP="001A24C3">
      <w:pPr>
        <w:rPr>
          <w:rFonts w:ascii="Times New Roman" w:hAnsi="Times New Roman"/>
          <w:szCs w:val="24"/>
        </w:rPr>
      </w:pPr>
    </w:p>
    <w:p w14:paraId="0DF2F608" w14:textId="77777777" w:rsidR="001A24C3" w:rsidRPr="004B79AC" w:rsidRDefault="001A24C3" w:rsidP="001A24C3">
      <w:pPr>
        <w:pStyle w:val="TextKoice0"/>
        <w:spacing w:after="240"/>
        <w:ind w:left="0"/>
        <w:rPr>
          <w:sz w:val="24"/>
          <w:szCs w:val="24"/>
        </w:rPr>
      </w:pPr>
      <w:r w:rsidRPr="004B79AC">
        <w:rPr>
          <w:sz w:val="24"/>
          <w:szCs w:val="24"/>
        </w:rPr>
        <w:t>V rámci spracovaného modelu boli vypočítané hodnoty o koľko % sa zmenia výstupné ukazovatele, ak dôjde k zmene vstupnej hodnoty o 1%, 5% a 10% smerom nahor alebo o 1%, 5% a 10% smerom nadol, pričom sa sledujú zmeny iba u jednej vstupnej premennej, kým ostatné v čase testovania ostávajú nezmenené.</w:t>
      </w:r>
    </w:p>
    <w:p w14:paraId="3CD53AA4" w14:textId="77777777" w:rsidR="001A24C3" w:rsidRPr="004B79AC" w:rsidRDefault="001A24C3" w:rsidP="001A24C3">
      <w:pPr>
        <w:pStyle w:val="TextKoice0"/>
        <w:spacing w:after="240"/>
        <w:ind w:left="0"/>
        <w:rPr>
          <w:sz w:val="24"/>
          <w:szCs w:val="24"/>
        </w:rPr>
      </w:pPr>
      <w:r w:rsidRPr="004B79AC">
        <w:rPr>
          <w:sz w:val="24"/>
          <w:szCs w:val="24"/>
        </w:rPr>
        <w:t>V prípade, že 1%, 5% a 10%zmena vstupnej premennej smerom nahor alebo smerom nadol spôsobí väčšiu zmenu výstupného ukazovateľa, považujeme premennú za kritickú. V takom prípade je potrebné vstupnú premennú ďalej testovať prostredníctvom rizikovej analýzy a určiť hodnotu, pod ktorú nesmie klesnúť, respektíve nad ktorú nesmie stúpnuť, aby sa projekt podľa stanovených pravidiel nestal nerealizovateľným/nefinancovateľným.</w:t>
      </w:r>
    </w:p>
    <w:p w14:paraId="5B378616" w14:textId="77777777" w:rsidR="001A24C3" w:rsidRPr="004B79AC" w:rsidRDefault="001A24C3" w:rsidP="001A24C3">
      <w:pPr>
        <w:pStyle w:val="TextKoice0"/>
        <w:spacing w:after="240"/>
        <w:ind w:left="0"/>
        <w:rPr>
          <w:sz w:val="24"/>
          <w:szCs w:val="24"/>
        </w:rPr>
      </w:pPr>
      <w:r w:rsidRPr="004B79AC">
        <w:rPr>
          <w:sz w:val="24"/>
          <w:szCs w:val="24"/>
        </w:rPr>
        <w:t xml:space="preserve">Na základe vykonaného testovania je možné konštatovať, že vo vzťahu k výstupnému ukazovateľu FNPV/C sú citlivé investičné </w:t>
      </w:r>
      <w:r w:rsidRPr="004B79AC">
        <w:rPr>
          <w:sz w:val="24"/>
          <w:szCs w:val="24"/>
          <w:lang w:val="en-US"/>
        </w:rPr>
        <w:t>výdavky</w:t>
      </w:r>
      <w:r w:rsidRPr="004B79AC">
        <w:rPr>
          <w:sz w:val="24"/>
          <w:szCs w:val="24"/>
        </w:rPr>
        <w:t>. Vo vzťahu k výstupnému ukazovateľu ENPV  sú citlivé investičné náklady, prevádzkové náklady, úspora času – nákladná doprava, vlkm – nákladná doprava a množstvo prepraveného tovaru – nákladná doprava.</w:t>
      </w:r>
    </w:p>
    <w:p w14:paraId="7C1FD208" w14:textId="77777777" w:rsidR="001A24C3" w:rsidRDefault="001A24C3" w:rsidP="001A24C3">
      <w:r w:rsidRPr="000A41CE">
        <w:lastRenderedPageBreak/>
        <w:t>V nasledujúcich kapitolách sme pre ilustráciu uviedli len 1% zmenu vstupnej premennej. Kompletná citlivostná a riziková analýza so zmenami vstupných premenných 1%, 5% a 10% je v excelovskej časti.</w:t>
      </w:r>
    </w:p>
    <w:p w14:paraId="6BC96727" w14:textId="77777777" w:rsidR="001A24C3" w:rsidRPr="000A41CE" w:rsidRDefault="001A24C3" w:rsidP="001A24C3"/>
    <w:p w14:paraId="288732E3" w14:textId="77777777" w:rsidR="001A24C3" w:rsidRPr="00713187" w:rsidRDefault="001A24C3" w:rsidP="00713187">
      <w:pPr>
        <w:pStyle w:val="Nadpis51"/>
        <w:tabs>
          <w:tab w:val="clear" w:pos="2269"/>
        </w:tabs>
        <w:spacing w:after="240"/>
        <w:ind w:left="567" w:hanging="567"/>
        <w:rPr>
          <w:color w:val="auto"/>
          <w:sz w:val="24"/>
          <w:szCs w:val="24"/>
        </w:rPr>
      </w:pPr>
      <w:r w:rsidRPr="00713187">
        <w:rPr>
          <w:color w:val="auto"/>
          <w:sz w:val="24"/>
          <w:szCs w:val="24"/>
        </w:rPr>
        <w:t>Citlivosť na zmenu FNPV/C</w:t>
      </w:r>
    </w:p>
    <w:p w14:paraId="65B801B5" w14:textId="77777777" w:rsidR="001A24C3" w:rsidRPr="002C30B3" w:rsidRDefault="001A24C3" w:rsidP="001A24C3">
      <w:pPr>
        <w:pStyle w:val="TextKoice0"/>
        <w:ind w:left="0"/>
      </w:pPr>
      <w:r w:rsidRPr="002C30B3">
        <w:t xml:space="preserve">Za kritické (citlivé) premenné, ktoré majú vplyv na FNPV/C sú </w:t>
      </w:r>
      <w:r>
        <w:t xml:space="preserve">investičné náklady, ktoré by museli klesnúť o 65,88 %, aby </w:t>
      </w:r>
      <w:r w:rsidRPr="002C30B3">
        <w:t>došlo by k situácií, že by sa projekt stal samofinancovateľným a nebolo by potrebné jeho financovanie z fondov Európskej únie.</w:t>
      </w:r>
    </w:p>
    <w:p w14:paraId="5F267563" w14:textId="77777777" w:rsidR="001A24C3" w:rsidRPr="002C30B3" w:rsidRDefault="001A24C3" w:rsidP="001A24C3"/>
    <w:p w14:paraId="617241BC" w14:textId="2FDBFE17" w:rsidR="001A24C3" w:rsidRPr="002C30B3" w:rsidRDefault="001A24C3" w:rsidP="00713187">
      <w:pPr>
        <w:pStyle w:val="Popis"/>
        <w:jc w:val="both"/>
      </w:pPr>
      <w:bookmarkStart w:id="449" w:name="_Toc83677979"/>
      <w:bookmarkStart w:id="450" w:name="_Hlk78838553"/>
      <w:r w:rsidRPr="002C30B3">
        <w:t xml:space="preserve">Tabuľka </w:t>
      </w:r>
      <w:r w:rsidR="00091EB3">
        <w:rPr>
          <w:noProof/>
        </w:rPr>
        <w:t>108</w:t>
      </w:r>
      <w:r w:rsidRPr="002C30B3">
        <w:tab/>
        <w:t>Citlivosť vstupných premenných na FNPV/C</w:t>
      </w:r>
      <w:bookmarkEnd w:id="449"/>
    </w:p>
    <w:tbl>
      <w:tblPr>
        <w:tblW w:w="0" w:type="auto"/>
        <w:tblCellMar>
          <w:left w:w="70" w:type="dxa"/>
          <w:right w:w="70" w:type="dxa"/>
        </w:tblCellMar>
        <w:tblLook w:val="04A0" w:firstRow="1" w:lastRow="0" w:firstColumn="1" w:lastColumn="0" w:noHBand="0" w:noVBand="1"/>
      </w:tblPr>
      <w:tblGrid>
        <w:gridCol w:w="1879"/>
        <w:gridCol w:w="736"/>
        <w:gridCol w:w="683"/>
        <w:gridCol w:w="736"/>
      </w:tblGrid>
      <w:tr w:rsidR="001A24C3" w:rsidRPr="0034304D" w14:paraId="427EC655" w14:textId="77777777" w:rsidTr="00300963">
        <w:trPr>
          <w:trHeight w:val="600"/>
        </w:trPr>
        <w:tc>
          <w:tcPr>
            <w:tcW w:w="0" w:type="auto"/>
            <w:tcBorders>
              <w:top w:val="single" w:sz="8" w:space="0" w:color="auto"/>
              <w:left w:val="single" w:sz="8" w:space="0" w:color="auto"/>
              <w:bottom w:val="single" w:sz="8" w:space="0" w:color="auto"/>
              <w:right w:val="single" w:sz="8" w:space="0" w:color="auto"/>
            </w:tcBorders>
            <w:shd w:val="clear" w:color="000000" w:fill="B1A0C7"/>
            <w:noWrap/>
            <w:vAlign w:val="center"/>
            <w:hideMark/>
          </w:tcPr>
          <w:p w14:paraId="7750C347" w14:textId="77777777" w:rsidR="001A24C3" w:rsidRPr="0034304D" w:rsidRDefault="001A24C3" w:rsidP="00300963">
            <w:pP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Zmena FNPV_C (% zmena)</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70606FE7"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-1%</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3EB1ED86"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0%</w:t>
            </w:r>
          </w:p>
        </w:tc>
        <w:tc>
          <w:tcPr>
            <w:tcW w:w="0" w:type="auto"/>
            <w:tcBorders>
              <w:top w:val="single" w:sz="8" w:space="0" w:color="auto"/>
              <w:left w:val="nil"/>
              <w:bottom w:val="single" w:sz="8" w:space="0" w:color="auto"/>
              <w:right w:val="single" w:sz="4" w:space="0" w:color="auto"/>
            </w:tcBorders>
            <w:shd w:val="clear" w:color="000000" w:fill="B1A0C7"/>
            <w:noWrap/>
            <w:vAlign w:val="center"/>
            <w:hideMark/>
          </w:tcPr>
          <w:p w14:paraId="4AF20A37"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1%</w:t>
            </w:r>
          </w:p>
        </w:tc>
      </w:tr>
      <w:tr w:rsidR="001A24C3" w:rsidRPr="0034304D" w14:paraId="5695D9CB"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148B895E"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Investičné výdavky</w:t>
            </w:r>
          </w:p>
        </w:tc>
        <w:tc>
          <w:tcPr>
            <w:tcW w:w="0" w:type="auto"/>
            <w:tcBorders>
              <w:top w:val="nil"/>
              <w:left w:val="nil"/>
              <w:bottom w:val="single" w:sz="4" w:space="0" w:color="auto"/>
              <w:right w:val="single" w:sz="4" w:space="0" w:color="auto"/>
            </w:tcBorders>
            <w:shd w:val="clear" w:color="auto" w:fill="auto"/>
            <w:noWrap/>
            <w:vAlign w:val="center"/>
            <w:hideMark/>
          </w:tcPr>
          <w:p w14:paraId="4821907F"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1,528%</w:t>
            </w:r>
          </w:p>
        </w:tc>
        <w:tc>
          <w:tcPr>
            <w:tcW w:w="0" w:type="auto"/>
            <w:tcBorders>
              <w:top w:val="nil"/>
              <w:left w:val="nil"/>
              <w:bottom w:val="single" w:sz="4" w:space="0" w:color="auto"/>
              <w:right w:val="single" w:sz="4" w:space="0" w:color="auto"/>
            </w:tcBorders>
            <w:shd w:val="clear" w:color="auto" w:fill="auto"/>
            <w:noWrap/>
            <w:vAlign w:val="center"/>
            <w:hideMark/>
          </w:tcPr>
          <w:p w14:paraId="4AB13E90"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0CB9FFC5"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-1,528%</w:t>
            </w:r>
          </w:p>
        </w:tc>
      </w:tr>
      <w:tr w:rsidR="001A24C3" w:rsidRPr="0034304D" w14:paraId="7234A7BC"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4DD1278C"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výdavky</w:t>
            </w:r>
          </w:p>
        </w:tc>
        <w:tc>
          <w:tcPr>
            <w:tcW w:w="0" w:type="auto"/>
            <w:tcBorders>
              <w:top w:val="nil"/>
              <w:left w:val="nil"/>
              <w:bottom w:val="single" w:sz="4" w:space="0" w:color="auto"/>
              <w:right w:val="single" w:sz="4" w:space="0" w:color="auto"/>
            </w:tcBorders>
            <w:shd w:val="clear" w:color="auto" w:fill="auto"/>
            <w:noWrap/>
            <w:vAlign w:val="center"/>
            <w:hideMark/>
          </w:tcPr>
          <w:p w14:paraId="6BE707CA"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-0,501%</w:t>
            </w:r>
          </w:p>
        </w:tc>
        <w:tc>
          <w:tcPr>
            <w:tcW w:w="0" w:type="auto"/>
            <w:tcBorders>
              <w:top w:val="nil"/>
              <w:left w:val="nil"/>
              <w:bottom w:val="single" w:sz="4" w:space="0" w:color="auto"/>
              <w:right w:val="single" w:sz="4" w:space="0" w:color="auto"/>
            </w:tcBorders>
            <w:shd w:val="clear" w:color="auto" w:fill="auto"/>
            <w:noWrap/>
            <w:vAlign w:val="center"/>
            <w:hideMark/>
          </w:tcPr>
          <w:p w14:paraId="1922B9BC"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643C23C2"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0,501%</w:t>
            </w:r>
          </w:p>
        </w:tc>
      </w:tr>
      <w:tr w:rsidR="001A24C3" w:rsidRPr="0034304D" w14:paraId="04F25EAE"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6913C477"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príjmy</w:t>
            </w:r>
          </w:p>
        </w:tc>
        <w:tc>
          <w:tcPr>
            <w:tcW w:w="0" w:type="auto"/>
            <w:tcBorders>
              <w:top w:val="nil"/>
              <w:left w:val="nil"/>
              <w:bottom w:val="single" w:sz="4" w:space="0" w:color="auto"/>
              <w:right w:val="single" w:sz="4" w:space="0" w:color="auto"/>
            </w:tcBorders>
            <w:shd w:val="clear" w:color="auto" w:fill="auto"/>
            <w:noWrap/>
            <w:vAlign w:val="center"/>
            <w:hideMark/>
          </w:tcPr>
          <w:p w14:paraId="3664FC19"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-0,018%</w:t>
            </w:r>
          </w:p>
        </w:tc>
        <w:tc>
          <w:tcPr>
            <w:tcW w:w="0" w:type="auto"/>
            <w:tcBorders>
              <w:top w:val="nil"/>
              <w:left w:val="nil"/>
              <w:bottom w:val="single" w:sz="4" w:space="0" w:color="auto"/>
              <w:right w:val="single" w:sz="4" w:space="0" w:color="auto"/>
            </w:tcBorders>
            <w:shd w:val="clear" w:color="auto" w:fill="auto"/>
            <w:noWrap/>
            <w:vAlign w:val="center"/>
            <w:hideMark/>
          </w:tcPr>
          <w:p w14:paraId="5B281004"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0,000%</w:t>
            </w:r>
          </w:p>
        </w:tc>
        <w:tc>
          <w:tcPr>
            <w:tcW w:w="0" w:type="auto"/>
            <w:tcBorders>
              <w:top w:val="nil"/>
              <w:left w:val="nil"/>
              <w:bottom w:val="single" w:sz="4" w:space="0" w:color="auto"/>
              <w:right w:val="single" w:sz="4" w:space="0" w:color="auto"/>
            </w:tcBorders>
            <w:shd w:val="clear" w:color="auto" w:fill="auto"/>
            <w:noWrap/>
            <w:vAlign w:val="center"/>
            <w:hideMark/>
          </w:tcPr>
          <w:p w14:paraId="2AFB477D"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0,018%</w:t>
            </w:r>
          </w:p>
        </w:tc>
      </w:tr>
      <w:tr w:rsidR="001A24C3" w:rsidRPr="0034304D" w14:paraId="2B8A9339" w14:textId="77777777" w:rsidTr="00300963">
        <w:trPr>
          <w:trHeight w:val="67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6126EBA3"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Zostatková hodnota</w:t>
            </w:r>
          </w:p>
        </w:tc>
        <w:tc>
          <w:tcPr>
            <w:tcW w:w="0" w:type="auto"/>
            <w:tcBorders>
              <w:top w:val="nil"/>
              <w:left w:val="nil"/>
              <w:bottom w:val="single" w:sz="8" w:space="0" w:color="auto"/>
              <w:right w:val="single" w:sz="4" w:space="0" w:color="auto"/>
            </w:tcBorders>
            <w:shd w:val="clear" w:color="auto" w:fill="auto"/>
            <w:noWrap/>
            <w:vAlign w:val="center"/>
            <w:hideMark/>
          </w:tcPr>
          <w:p w14:paraId="2D2AAF6C"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-0,008%</w:t>
            </w:r>
          </w:p>
        </w:tc>
        <w:tc>
          <w:tcPr>
            <w:tcW w:w="0" w:type="auto"/>
            <w:tcBorders>
              <w:top w:val="nil"/>
              <w:left w:val="nil"/>
              <w:bottom w:val="single" w:sz="8" w:space="0" w:color="auto"/>
              <w:right w:val="single" w:sz="4" w:space="0" w:color="auto"/>
            </w:tcBorders>
            <w:shd w:val="clear" w:color="auto" w:fill="auto"/>
            <w:noWrap/>
            <w:vAlign w:val="center"/>
            <w:hideMark/>
          </w:tcPr>
          <w:p w14:paraId="59988897"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0,000%</w:t>
            </w:r>
          </w:p>
        </w:tc>
        <w:tc>
          <w:tcPr>
            <w:tcW w:w="0" w:type="auto"/>
            <w:tcBorders>
              <w:top w:val="nil"/>
              <w:left w:val="nil"/>
              <w:bottom w:val="single" w:sz="8" w:space="0" w:color="auto"/>
              <w:right w:val="single" w:sz="4" w:space="0" w:color="auto"/>
            </w:tcBorders>
            <w:shd w:val="clear" w:color="auto" w:fill="auto"/>
            <w:noWrap/>
            <w:vAlign w:val="center"/>
            <w:hideMark/>
          </w:tcPr>
          <w:p w14:paraId="4BBCF833"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0,008%</w:t>
            </w:r>
          </w:p>
        </w:tc>
      </w:tr>
    </w:tbl>
    <w:p w14:paraId="1098058B" w14:textId="77777777" w:rsidR="00AF44EA" w:rsidRDefault="00AF44EA" w:rsidP="00AF44EA">
      <w:pPr>
        <w:suppressAutoHyphens/>
      </w:pPr>
      <w:bookmarkStart w:id="451" w:name="_Toc83677980"/>
      <w:bookmarkEnd w:id="450"/>
    </w:p>
    <w:p w14:paraId="1279A1DA" w14:textId="5F432355" w:rsidR="001A24C3" w:rsidRPr="002C30B3" w:rsidRDefault="001A24C3" w:rsidP="00AF44EA">
      <w:pPr>
        <w:suppressAutoHyphens/>
      </w:pPr>
      <w:r w:rsidRPr="002C30B3">
        <w:t xml:space="preserve">Tabuľka </w:t>
      </w:r>
      <w:r w:rsidR="00091EB3">
        <w:rPr>
          <w:noProof/>
        </w:rPr>
        <w:t>109</w:t>
      </w:r>
      <w:r w:rsidRPr="002C30B3">
        <w:t xml:space="preserve"> </w:t>
      </w:r>
      <w:r w:rsidRPr="002C30B3">
        <w:tab/>
        <w:t>Prepínacie hodnoty pri FNPV/C</w:t>
      </w:r>
      <w:bookmarkEnd w:id="451"/>
    </w:p>
    <w:tbl>
      <w:tblPr>
        <w:tblW w:w="0" w:type="auto"/>
        <w:tblCellMar>
          <w:left w:w="70" w:type="dxa"/>
          <w:right w:w="70" w:type="dxa"/>
        </w:tblCellMar>
        <w:tblLook w:val="04A0" w:firstRow="1" w:lastRow="0" w:firstColumn="1" w:lastColumn="0" w:noHBand="0" w:noVBand="1"/>
      </w:tblPr>
      <w:tblGrid>
        <w:gridCol w:w="1462"/>
        <w:gridCol w:w="660"/>
        <w:gridCol w:w="775"/>
        <w:gridCol w:w="6153"/>
      </w:tblGrid>
      <w:tr w:rsidR="001A24C3" w:rsidRPr="0034304D" w14:paraId="1BA9440F" w14:textId="77777777" w:rsidTr="00300963">
        <w:trPr>
          <w:trHeight w:val="600"/>
        </w:trPr>
        <w:tc>
          <w:tcPr>
            <w:tcW w:w="0" w:type="auto"/>
            <w:tcBorders>
              <w:top w:val="single" w:sz="8" w:space="0" w:color="auto"/>
              <w:left w:val="single" w:sz="8" w:space="0" w:color="auto"/>
              <w:bottom w:val="single" w:sz="8" w:space="0" w:color="auto"/>
              <w:right w:val="single" w:sz="8" w:space="0" w:color="auto"/>
            </w:tcBorders>
            <w:shd w:val="clear" w:color="000000" w:fill="B1A0C7"/>
            <w:noWrap/>
            <w:vAlign w:val="center"/>
            <w:hideMark/>
          </w:tcPr>
          <w:p w14:paraId="5F42E124" w14:textId="77777777" w:rsidR="001A24C3" w:rsidRPr="0034304D" w:rsidRDefault="001A24C3" w:rsidP="00300963">
            <w:pP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Zmena FNPV_C (% zmena)</w:t>
            </w:r>
          </w:p>
        </w:tc>
        <w:tc>
          <w:tcPr>
            <w:tcW w:w="0" w:type="auto"/>
            <w:tcBorders>
              <w:top w:val="single" w:sz="8" w:space="0" w:color="auto"/>
              <w:left w:val="single" w:sz="8" w:space="0" w:color="auto"/>
              <w:bottom w:val="single" w:sz="8" w:space="0" w:color="auto"/>
              <w:right w:val="single" w:sz="4" w:space="0" w:color="auto"/>
            </w:tcBorders>
            <w:shd w:val="clear" w:color="000000" w:fill="B1A0C7"/>
            <w:vAlign w:val="center"/>
            <w:hideMark/>
          </w:tcPr>
          <w:p w14:paraId="23C3FDB8"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Kritická premenná</w:t>
            </w:r>
          </w:p>
        </w:tc>
        <w:tc>
          <w:tcPr>
            <w:tcW w:w="0" w:type="auto"/>
            <w:tcBorders>
              <w:top w:val="single" w:sz="8" w:space="0" w:color="auto"/>
              <w:left w:val="nil"/>
              <w:bottom w:val="single" w:sz="8" w:space="0" w:color="auto"/>
              <w:right w:val="single" w:sz="8" w:space="0" w:color="auto"/>
            </w:tcBorders>
            <w:shd w:val="clear" w:color="000000" w:fill="B1A0C7"/>
            <w:noWrap/>
            <w:vAlign w:val="center"/>
            <w:hideMark/>
          </w:tcPr>
          <w:p w14:paraId="30E934F1"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FNPV_C &gt;= 0</w:t>
            </w:r>
          </w:p>
        </w:tc>
        <w:tc>
          <w:tcPr>
            <w:tcW w:w="0" w:type="auto"/>
            <w:tcBorders>
              <w:top w:val="single" w:sz="8" w:space="0" w:color="auto"/>
              <w:left w:val="nil"/>
              <w:bottom w:val="single" w:sz="8" w:space="0" w:color="auto"/>
              <w:right w:val="single" w:sz="8" w:space="0" w:color="000000"/>
            </w:tcBorders>
            <w:shd w:val="clear" w:color="000000" w:fill="B1A0C7"/>
            <w:noWrap/>
            <w:vAlign w:val="center"/>
            <w:hideMark/>
          </w:tcPr>
          <w:p w14:paraId="7DA0C4C2"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Poznámka</w:t>
            </w:r>
          </w:p>
        </w:tc>
      </w:tr>
      <w:tr w:rsidR="001A24C3" w:rsidRPr="0034304D" w14:paraId="1B43065E"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47A4B769"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Investičné výdavky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51D0752"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15AE95E8"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-65,88%</w:t>
            </w:r>
          </w:p>
        </w:tc>
        <w:tc>
          <w:tcPr>
            <w:tcW w:w="0" w:type="auto"/>
            <w:tcBorders>
              <w:top w:val="nil"/>
              <w:left w:val="nil"/>
              <w:bottom w:val="single" w:sz="4" w:space="0" w:color="auto"/>
              <w:right w:val="single" w:sz="8" w:space="0" w:color="000000"/>
            </w:tcBorders>
            <w:shd w:val="clear" w:color="auto" w:fill="auto"/>
            <w:noWrap/>
            <w:vAlign w:val="center"/>
            <w:hideMark/>
          </w:tcPr>
          <w:p w14:paraId="65B992D6"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Investičné výdavky by museli klesnúť o 65,88% aby  hodnota FNPV_C bola 0 alebo viac. Ide o nereálny scenár.</w:t>
            </w:r>
          </w:p>
        </w:tc>
      </w:tr>
      <w:tr w:rsidR="001A24C3" w:rsidRPr="0034304D" w14:paraId="4EB9B0E1"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755809D4"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výdavky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D7E075F"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76ED9D00"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noWrap/>
            <w:vAlign w:val="center"/>
            <w:hideMark/>
          </w:tcPr>
          <w:p w14:paraId="14AD12DF"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 </w:t>
            </w:r>
          </w:p>
        </w:tc>
      </w:tr>
      <w:tr w:rsidR="001A24C3" w:rsidRPr="0034304D" w14:paraId="05AC0241" w14:textId="77777777" w:rsidTr="00300963">
        <w:trPr>
          <w:trHeight w:val="675"/>
        </w:trPr>
        <w:tc>
          <w:tcPr>
            <w:tcW w:w="0" w:type="auto"/>
            <w:tcBorders>
              <w:top w:val="nil"/>
              <w:left w:val="single" w:sz="8" w:space="0" w:color="auto"/>
              <w:bottom w:val="single" w:sz="4" w:space="0" w:color="auto"/>
              <w:right w:val="single" w:sz="8" w:space="0" w:color="auto"/>
            </w:tcBorders>
            <w:shd w:val="clear" w:color="auto" w:fill="auto"/>
            <w:noWrap/>
            <w:vAlign w:val="center"/>
            <w:hideMark/>
          </w:tcPr>
          <w:p w14:paraId="44C38699"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príjmy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C0F73C6"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17D944C1"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noWrap/>
            <w:vAlign w:val="center"/>
            <w:hideMark/>
          </w:tcPr>
          <w:p w14:paraId="052F6114"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 </w:t>
            </w:r>
          </w:p>
        </w:tc>
      </w:tr>
      <w:tr w:rsidR="001A24C3" w:rsidRPr="0034304D" w14:paraId="6D66FDF1" w14:textId="77777777" w:rsidTr="00300963">
        <w:trPr>
          <w:trHeight w:val="675"/>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32DF1DC1"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Zostatková hodnota</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34853A0C"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8" w:space="0" w:color="auto"/>
              <w:right w:val="single" w:sz="8" w:space="0" w:color="auto"/>
            </w:tcBorders>
            <w:shd w:val="clear" w:color="auto" w:fill="auto"/>
            <w:noWrap/>
            <w:vAlign w:val="center"/>
            <w:hideMark/>
          </w:tcPr>
          <w:p w14:paraId="7610BC64"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8" w:space="0" w:color="auto"/>
              <w:right w:val="single" w:sz="8" w:space="0" w:color="000000"/>
              <w:tl2br w:val="single" w:sz="4" w:space="0" w:color="auto"/>
              <w:tr2bl w:val="single" w:sz="4" w:space="0" w:color="auto"/>
            </w:tcBorders>
            <w:shd w:val="clear" w:color="auto" w:fill="auto"/>
            <w:noWrap/>
            <w:vAlign w:val="center"/>
            <w:hideMark/>
          </w:tcPr>
          <w:p w14:paraId="7B1846F4"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 </w:t>
            </w:r>
          </w:p>
        </w:tc>
      </w:tr>
    </w:tbl>
    <w:p w14:paraId="2328F7C5" w14:textId="77777777" w:rsidR="001A24C3" w:rsidRPr="002C30B3" w:rsidRDefault="001A24C3" w:rsidP="001A24C3"/>
    <w:p w14:paraId="6ED8D5BB" w14:textId="77777777" w:rsidR="00AF44EA" w:rsidRDefault="00AF44EA" w:rsidP="00713187">
      <w:pPr>
        <w:pStyle w:val="Popis"/>
        <w:jc w:val="both"/>
      </w:pPr>
      <w:bookmarkStart w:id="452" w:name="_Toc83678006"/>
    </w:p>
    <w:p w14:paraId="148C276F" w14:textId="77777777" w:rsidR="00AF44EA" w:rsidRDefault="00AF44EA" w:rsidP="00713187">
      <w:pPr>
        <w:pStyle w:val="Popis"/>
        <w:jc w:val="both"/>
      </w:pPr>
    </w:p>
    <w:p w14:paraId="07437C3D" w14:textId="77777777" w:rsidR="00AF44EA" w:rsidRDefault="00AF44EA" w:rsidP="00713187">
      <w:pPr>
        <w:pStyle w:val="Popis"/>
        <w:jc w:val="both"/>
      </w:pPr>
    </w:p>
    <w:p w14:paraId="39AF1F96" w14:textId="77777777" w:rsidR="00AF44EA" w:rsidRDefault="00AF44EA" w:rsidP="00713187">
      <w:pPr>
        <w:pStyle w:val="Popis"/>
        <w:jc w:val="both"/>
      </w:pPr>
    </w:p>
    <w:p w14:paraId="6B0B8693" w14:textId="77777777" w:rsidR="00AF44EA" w:rsidRDefault="00AF44EA" w:rsidP="00713187">
      <w:pPr>
        <w:pStyle w:val="Popis"/>
        <w:jc w:val="both"/>
      </w:pPr>
    </w:p>
    <w:p w14:paraId="75B605B9" w14:textId="0E5B990F" w:rsidR="001A24C3" w:rsidRPr="002C30B3" w:rsidRDefault="001A24C3" w:rsidP="00713187">
      <w:pPr>
        <w:pStyle w:val="Popis"/>
        <w:jc w:val="both"/>
      </w:pPr>
      <w:r w:rsidRPr="002C30B3">
        <w:lastRenderedPageBreak/>
        <w:t xml:space="preserve">Graf </w:t>
      </w:r>
      <w:r w:rsidRPr="002C30B3">
        <w:rPr>
          <w:noProof/>
        </w:rPr>
        <w:fldChar w:fldCharType="begin"/>
      </w:r>
      <w:r w:rsidRPr="002C30B3">
        <w:rPr>
          <w:noProof/>
        </w:rPr>
        <w:instrText xml:space="preserve"> SEQ Graf \* ARABIC </w:instrText>
      </w:r>
      <w:r w:rsidRPr="002C30B3">
        <w:rPr>
          <w:noProof/>
        </w:rPr>
        <w:fldChar w:fldCharType="separate"/>
      </w:r>
      <w:r w:rsidR="008208F3">
        <w:rPr>
          <w:noProof/>
        </w:rPr>
        <w:t>9</w:t>
      </w:r>
      <w:r w:rsidRPr="002C30B3">
        <w:rPr>
          <w:noProof/>
        </w:rPr>
        <w:fldChar w:fldCharType="end"/>
      </w:r>
      <w:r w:rsidRPr="002C30B3">
        <w:tab/>
      </w:r>
      <w:r w:rsidR="004B79AC">
        <w:t xml:space="preserve"> </w:t>
      </w:r>
      <w:r w:rsidRPr="002C30B3">
        <w:t>Citlivosť vstupných premenných na FNPV/C</w:t>
      </w:r>
      <w:bookmarkEnd w:id="452"/>
    </w:p>
    <w:p w14:paraId="7E0457DE" w14:textId="42985434" w:rsidR="00713187" w:rsidRDefault="001A24C3" w:rsidP="000E5539">
      <w:r>
        <w:rPr>
          <w:noProof/>
          <w:lang w:eastAsia="sk-SK"/>
        </w:rPr>
        <w:drawing>
          <wp:inline distT="0" distB="0" distL="0" distR="0" wp14:anchorId="6FFF40C8" wp14:editId="2E652108">
            <wp:extent cx="5759450" cy="3035935"/>
            <wp:effectExtent l="0" t="0" r="12700" b="12065"/>
            <wp:docPr id="42" name="Graf 42">
              <a:extLst xmlns:a="http://schemas.openxmlformats.org/drawingml/2006/main">
                <a:ext uri="{FF2B5EF4-FFF2-40B4-BE49-F238E27FC236}">
                  <a16:creationId xmlns:a16="http://schemas.microsoft.com/office/drawing/2014/main" id="{2C510EDF-78C8-4912-8C70-AD87CCC7F498}"/>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0AFBE6DC" w14:textId="0EDAE15D" w:rsidR="001A24C3" w:rsidRPr="00713187" w:rsidRDefault="001A24C3" w:rsidP="00713187">
      <w:pPr>
        <w:pStyle w:val="Nadpis51"/>
        <w:spacing w:after="240"/>
        <w:ind w:left="1134" w:hanging="1134"/>
        <w:rPr>
          <w:color w:val="auto"/>
          <w:sz w:val="24"/>
          <w:szCs w:val="24"/>
        </w:rPr>
      </w:pPr>
      <w:r w:rsidRPr="00713187">
        <w:rPr>
          <w:color w:val="auto"/>
          <w:sz w:val="24"/>
          <w:szCs w:val="24"/>
        </w:rPr>
        <w:t>Citlivosť na zmenu ENPV/C</w:t>
      </w:r>
    </w:p>
    <w:p w14:paraId="18A25FBF" w14:textId="3436A319" w:rsidR="00713187" w:rsidRDefault="001A24C3" w:rsidP="00AF44EA">
      <w:pPr>
        <w:pStyle w:val="TextKoice0"/>
        <w:spacing w:after="240"/>
        <w:ind w:left="-142"/>
      </w:pPr>
      <w:bookmarkStart w:id="453" w:name="_Toc83677981"/>
      <w:r w:rsidRPr="000A41CE">
        <w:t>V prípade ekonomickej analýzy a teda vplyvu na ENPV existuj</w:t>
      </w:r>
      <w:r>
        <w:t>e v tomto variante 5 premenných</w:t>
      </w:r>
      <w:r w:rsidRPr="000A41CE">
        <w:t>, ktoré by mohli spôsobiť, že by projekt nebol prínosný z celospoločenského hľadiska a nebolo by ho možné vôbec realizovať. Ide investičné náklady, prevádzko</w:t>
      </w:r>
      <w:r>
        <w:t xml:space="preserve">vé náklady, úsporu času nákladnej dopravy, vlkm nákladnej dopravy a množstvo prepraveného tovaru v nákladnej doprave. </w:t>
      </w:r>
      <w:r w:rsidRPr="000A41CE">
        <w:t xml:space="preserve">Aby sa projekt </w:t>
      </w:r>
      <w:r>
        <w:t>stal</w:t>
      </w:r>
      <w:r w:rsidRPr="000A41CE">
        <w:t xml:space="preserve"> ekonomicky nevhodným, museli byť jeho investičné náklady stúpnuť o</w:t>
      </w:r>
      <w:r>
        <w:t> 19,36</w:t>
      </w:r>
      <w:r w:rsidRPr="000A41CE">
        <w:t xml:space="preserve"> %, alebo prevádzkové výdavky klesnúť o</w:t>
      </w:r>
      <w:r>
        <w:t> 84,91</w:t>
      </w:r>
      <w:r w:rsidRPr="000A41CE">
        <w:t xml:space="preserve"> %, alebo úspora času </w:t>
      </w:r>
      <w:r>
        <w:t>v nákladnej doprave klesnúť o 24,82 %, alebo vlkm v nákladnej doprave klesnúť 28,00 %, alebo množstvo prepraveného tovaru klesnúť o 28,50 %</w:t>
      </w:r>
      <w:r w:rsidRPr="000A41CE">
        <w:t xml:space="preserve">. </w:t>
      </w:r>
    </w:p>
    <w:p w14:paraId="2235D0BD" w14:textId="70FB07F2" w:rsidR="001A24C3" w:rsidRPr="002C30B3" w:rsidRDefault="001A24C3" w:rsidP="00713187">
      <w:pPr>
        <w:pStyle w:val="TextKoice0"/>
        <w:spacing w:after="240"/>
        <w:ind w:left="-142"/>
      </w:pPr>
      <w:r w:rsidRPr="002C30B3">
        <w:t xml:space="preserve">Tabuľka </w:t>
      </w:r>
      <w:r w:rsidR="004B79AC">
        <w:rPr>
          <w:noProof/>
        </w:rPr>
        <w:t>92</w:t>
      </w:r>
      <w:r w:rsidRPr="002C30B3">
        <w:tab/>
        <w:t>Citlivosť vstupných premenných na ENPV</w:t>
      </w:r>
      <w:bookmarkEnd w:id="453"/>
    </w:p>
    <w:tbl>
      <w:tblPr>
        <w:tblW w:w="0" w:type="auto"/>
        <w:tblCellMar>
          <w:left w:w="70" w:type="dxa"/>
          <w:right w:w="70" w:type="dxa"/>
        </w:tblCellMar>
        <w:tblLook w:val="04A0" w:firstRow="1" w:lastRow="0" w:firstColumn="1" w:lastColumn="0" w:noHBand="0" w:noVBand="1"/>
      </w:tblPr>
      <w:tblGrid>
        <w:gridCol w:w="3475"/>
        <w:gridCol w:w="736"/>
        <w:gridCol w:w="594"/>
        <w:gridCol w:w="736"/>
      </w:tblGrid>
      <w:tr w:rsidR="001A24C3" w:rsidRPr="0034304D" w14:paraId="5567B575" w14:textId="77777777" w:rsidTr="00300963">
        <w:trPr>
          <w:trHeight w:val="660"/>
        </w:trPr>
        <w:tc>
          <w:tcPr>
            <w:tcW w:w="0" w:type="auto"/>
            <w:tcBorders>
              <w:top w:val="single" w:sz="8" w:space="0" w:color="auto"/>
              <w:left w:val="single" w:sz="8" w:space="0" w:color="auto"/>
              <w:bottom w:val="nil"/>
              <w:right w:val="single" w:sz="8" w:space="0" w:color="auto"/>
            </w:tcBorders>
            <w:shd w:val="clear" w:color="000000" w:fill="B1A0C7"/>
            <w:noWrap/>
            <w:vAlign w:val="center"/>
            <w:hideMark/>
          </w:tcPr>
          <w:p w14:paraId="05959A09" w14:textId="77777777" w:rsidR="001A24C3" w:rsidRPr="0034304D" w:rsidRDefault="001A24C3" w:rsidP="00300963">
            <w:pP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Zmena ENPV (% zmena)</w:t>
            </w:r>
          </w:p>
        </w:tc>
        <w:tc>
          <w:tcPr>
            <w:tcW w:w="0" w:type="auto"/>
            <w:tcBorders>
              <w:top w:val="single" w:sz="8" w:space="0" w:color="auto"/>
              <w:left w:val="nil"/>
              <w:bottom w:val="nil"/>
              <w:right w:val="single" w:sz="4" w:space="0" w:color="auto"/>
            </w:tcBorders>
            <w:shd w:val="clear" w:color="000000" w:fill="B1A0C7"/>
            <w:noWrap/>
            <w:vAlign w:val="center"/>
            <w:hideMark/>
          </w:tcPr>
          <w:p w14:paraId="574307A9"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-1%</w:t>
            </w:r>
          </w:p>
        </w:tc>
        <w:tc>
          <w:tcPr>
            <w:tcW w:w="0" w:type="auto"/>
            <w:tcBorders>
              <w:top w:val="single" w:sz="8" w:space="0" w:color="auto"/>
              <w:left w:val="nil"/>
              <w:bottom w:val="nil"/>
              <w:right w:val="single" w:sz="4" w:space="0" w:color="auto"/>
            </w:tcBorders>
            <w:shd w:val="clear" w:color="000000" w:fill="B1A0C7"/>
            <w:noWrap/>
            <w:vAlign w:val="center"/>
            <w:hideMark/>
          </w:tcPr>
          <w:p w14:paraId="4189C7AB"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0%</w:t>
            </w:r>
          </w:p>
        </w:tc>
        <w:tc>
          <w:tcPr>
            <w:tcW w:w="0" w:type="auto"/>
            <w:tcBorders>
              <w:top w:val="single" w:sz="8" w:space="0" w:color="auto"/>
              <w:left w:val="nil"/>
              <w:bottom w:val="nil"/>
              <w:right w:val="single" w:sz="4" w:space="0" w:color="auto"/>
            </w:tcBorders>
            <w:shd w:val="clear" w:color="000000" w:fill="B1A0C7"/>
            <w:noWrap/>
            <w:vAlign w:val="center"/>
            <w:hideMark/>
          </w:tcPr>
          <w:p w14:paraId="5DBDCCD3"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1%</w:t>
            </w:r>
          </w:p>
        </w:tc>
      </w:tr>
      <w:tr w:rsidR="001A24C3" w:rsidRPr="0034304D" w14:paraId="5AB3F47C" w14:textId="77777777" w:rsidTr="00300963">
        <w:trPr>
          <w:trHeight w:val="416"/>
        </w:trPr>
        <w:tc>
          <w:tcPr>
            <w:tcW w:w="0" w:type="auto"/>
            <w:tcBorders>
              <w:top w:val="single" w:sz="4" w:space="0" w:color="auto"/>
              <w:left w:val="single" w:sz="8" w:space="0" w:color="auto"/>
              <w:bottom w:val="single" w:sz="4" w:space="0" w:color="auto"/>
              <w:right w:val="single" w:sz="4" w:space="0" w:color="auto"/>
            </w:tcBorders>
            <w:shd w:val="clear" w:color="auto" w:fill="auto"/>
            <w:noWrap/>
            <w:vAlign w:val="center"/>
            <w:hideMark/>
          </w:tcPr>
          <w:p w14:paraId="06A93E8C"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Investičné náklady</w:t>
            </w:r>
          </w:p>
        </w:tc>
        <w:tc>
          <w:tcPr>
            <w:tcW w:w="0" w:type="auto"/>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25D129B2"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5,206%</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64396B47"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09D565ED"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-5,206%</w:t>
            </w:r>
          </w:p>
        </w:tc>
      </w:tr>
      <w:tr w:rsidR="001A24C3" w:rsidRPr="0034304D" w14:paraId="5323C738" w14:textId="77777777" w:rsidTr="00300963">
        <w:trPr>
          <w:trHeight w:val="417"/>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44B72C83"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náklady</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3373E8"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-1,685%</w:t>
            </w:r>
          </w:p>
        </w:tc>
        <w:tc>
          <w:tcPr>
            <w:tcW w:w="0" w:type="auto"/>
            <w:tcBorders>
              <w:top w:val="nil"/>
              <w:left w:val="nil"/>
              <w:bottom w:val="single" w:sz="4" w:space="0" w:color="auto"/>
              <w:right w:val="single" w:sz="4" w:space="0" w:color="auto"/>
            </w:tcBorders>
            <w:shd w:val="clear" w:color="auto" w:fill="auto"/>
            <w:noWrap/>
            <w:vAlign w:val="center"/>
            <w:hideMark/>
          </w:tcPr>
          <w:p w14:paraId="4AF26EB6"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518E1761"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1,685%</w:t>
            </w:r>
          </w:p>
        </w:tc>
      </w:tr>
      <w:tr w:rsidR="001A24C3" w:rsidRPr="0034304D" w14:paraId="5B5D801B" w14:textId="77777777" w:rsidTr="00300963">
        <w:trPr>
          <w:trHeight w:val="409"/>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E9E8729"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úspora času - osobná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2B4053D"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-0,279%</w:t>
            </w:r>
          </w:p>
        </w:tc>
        <w:tc>
          <w:tcPr>
            <w:tcW w:w="0" w:type="auto"/>
            <w:tcBorders>
              <w:top w:val="nil"/>
              <w:left w:val="nil"/>
              <w:bottom w:val="single" w:sz="4" w:space="0" w:color="auto"/>
              <w:right w:val="single" w:sz="4" w:space="0" w:color="auto"/>
            </w:tcBorders>
            <w:shd w:val="clear" w:color="auto" w:fill="auto"/>
            <w:noWrap/>
            <w:vAlign w:val="center"/>
            <w:hideMark/>
          </w:tcPr>
          <w:p w14:paraId="0F39CABB"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37232C0B"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0,279%</w:t>
            </w:r>
          </w:p>
        </w:tc>
      </w:tr>
      <w:tr w:rsidR="001A24C3" w:rsidRPr="0034304D" w14:paraId="3A11A7CA" w14:textId="77777777" w:rsidTr="00300963">
        <w:trPr>
          <w:trHeight w:val="27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2D086B0B"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vlkm - osobná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6FF59AA"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-0,083%</w:t>
            </w:r>
          </w:p>
        </w:tc>
        <w:tc>
          <w:tcPr>
            <w:tcW w:w="0" w:type="auto"/>
            <w:tcBorders>
              <w:top w:val="nil"/>
              <w:left w:val="nil"/>
              <w:bottom w:val="single" w:sz="4" w:space="0" w:color="auto"/>
              <w:right w:val="single" w:sz="4" w:space="0" w:color="auto"/>
            </w:tcBorders>
            <w:shd w:val="clear" w:color="auto" w:fill="auto"/>
            <w:noWrap/>
            <w:vAlign w:val="center"/>
            <w:hideMark/>
          </w:tcPr>
          <w:p w14:paraId="7D1FB256"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44097671"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0,083%</w:t>
            </w:r>
          </w:p>
        </w:tc>
      </w:tr>
      <w:tr w:rsidR="001A24C3" w:rsidRPr="0034304D" w14:paraId="4E0608F6" w14:textId="77777777" w:rsidTr="00300963">
        <w:trPr>
          <w:trHeight w:val="419"/>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25EC8F2"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vzkm - prevedená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4FE095"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-0,127%</w:t>
            </w:r>
          </w:p>
        </w:tc>
        <w:tc>
          <w:tcPr>
            <w:tcW w:w="0" w:type="auto"/>
            <w:tcBorders>
              <w:top w:val="nil"/>
              <w:left w:val="nil"/>
              <w:bottom w:val="single" w:sz="4" w:space="0" w:color="auto"/>
              <w:right w:val="single" w:sz="4" w:space="0" w:color="auto"/>
            </w:tcBorders>
            <w:shd w:val="clear" w:color="auto" w:fill="auto"/>
            <w:noWrap/>
            <w:vAlign w:val="center"/>
            <w:hideMark/>
          </w:tcPr>
          <w:p w14:paraId="2867607D"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20ED6345"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0,127%</w:t>
            </w:r>
          </w:p>
        </w:tc>
      </w:tr>
      <w:tr w:rsidR="001A24C3" w:rsidRPr="0034304D" w14:paraId="5913566D" w14:textId="77777777" w:rsidTr="00300963">
        <w:trPr>
          <w:trHeight w:val="410"/>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892965D"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úspora času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A9F5531"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-3,525%</w:t>
            </w:r>
          </w:p>
        </w:tc>
        <w:tc>
          <w:tcPr>
            <w:tcW w:w="0" w:type="auto"/>
            <w:tcBorders>
              <w:top w:val="nil"/>
              <w:left w:val="nil"/>
              <w:bottom w:val="single" w:sz="4" w:space="0" w:color="auto"/>
              <w:right w:val="single" w:sz="4" w:space="0" w:color="auto"/>
            </w:tcBorders>
            <w:shd w:val="clear" w:color="auto" w:fill="auto"/>
            <w:noWrap/>
            <w:vAlign w:val="center"/>
            <w:hideMark/>
          </w:tcPr>
          <w:p w14:paraId="1D93DF64"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4CEDC7B5"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3,525%</w:t>
            </w:r>
          </w:p>
        </w:tc>
      </w:tr>
      <w:tr w:rsidR="001A24C3" w:rsidRPr="0034304D" w14:paraId="00F44976" w14:textId="77777777" w:rsidTr="00300963">
        <w:trPr>
          <w:trHeight w:val="416"/>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5E76E1C"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vlkm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A781232"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-3,581%</w:t>
            </w:r>
          </w:p>
        </w:tc>
        <w:tc>
          <w:tcPr>
            <w:tcW w:w="0" w:type="auto"/>
            <w:tcBorders>
              <w:top w:val="nil"/>
              <w:left w:val="nil"/>
              <w:bottom w:val="single" w:sz="4" w:space="0" w:color="auto"/>
              <w:right w:val="single" w:sz="4" w:space="0" w:color="auto"/>
            </w:tcBorders>
            <w:shd w:val="clear" w:color="auto" w:fill="auto"/>
            <w:noWrap/>
            <w:vAlign w:val="center"/>
            <w:hideMark/>
          </w:tcPr>
          <w:p w14:paraId="5B5EE2D3"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6230B09C"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3,581%</w:t>
            </w:r>
          </w:p>
        </w:tc>
      </w:tr>
      <w:tr w:rsidR="001A24C3" w:rsidRPr="0034304D" w14:paraId="6BB8BDE9" w14:textId="77777777" w:rsidTr="00300963">
        <w:trPr>
          <w:trHeight w:val="423"/>
        </w:trPr>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6B2DFDA"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množstvo prepraveného tovaru - nákladná doprava</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7427994"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-3,525%</w:t>
            </w:r>
          </w:p>
        </w:tc>
        <w:tc>
          <w:tcPr>
            <w:tcW w:w="0" w:type="auto"/>
            <w:tcBorders>
              <w:top w:val="nil"/>
              <w:left w:val="nil"/>
              <w:bottom w:val="single" w:sz="4" w:space="0" w:color="auto"/>
              <w:right w:val="single" w:sz="4" w:space="0" w:color="auto"/>
            </w:tcBorders>
            <w:shd w:val="clear" w:color="auto" w:fill="auto"/>
            <w:noWrap/>
            <w:vAlign w:val="center"/>
            <w:hideMark/>
          </w:tcPr>
          <w:p w14:paraId="1C3ED75E"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4" w:space="0" w:color="auto"/>
              <w:right w:val="single" w:sz="4" w:space="0" w:color="auto"/>
            </w:tcBorders>
            <w:shd w:val="clear" w:color="auto" w:fill="auto"/>
            <w:noWrap/>
            <w:vAlign w:val="center"/>
            <w:hideMark/>
          </w:tcPr>
          <w:p w14:paraId="31D8F842"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3,525%</w:t>
            </w:r>
          </w:p>
        </w:tc>
      </w:tr>
      <w:tr w:rsidR="001A24C3" w:rsidRPr="0034304D" w14:paraId="056C548C" w14:textId="77777777" w:rsidTr="00300963">
        <w:trPr>
          <w:trHeight w:val="415"/>
        </w:trPr>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295A8DDB"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Zostatková hodnota</w:t>
            </w:r>
          </w:p>
        </w:tc>
        <w:tc>
          <w:tcPr>
            <w:tcW w:w="0" w:type="auto"/>
            <w:tcBorders>
              <w:top w:val="nil"/>
              <w:left w:val="single" w:sz="4" w:space="0" w:color="auto"/>
              <w:bottom w:val="single" w:sz="8" w:space="0" w:color="auto"/>
              <w:right w:val="single" w:sz="4" w:space="0" w:color="auto"/>
            </w:tcBorders>
            <w:shd w:val="clear" w:color="auto" w:fill="auto"/>
            <w:noWrap/>
            <w:vAlign w:val="center"/>
            <w:hideMark/>
          </w:tcPr>
          <w:p w14:paraId="1200C7EE"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-0,372%</w:t>
            </w:r>
          </w:p>
        </w:tc>
        <w:tc>
          <w:tcPr>
            <w:tcW w:w="0" w:type="auto"/>
            <w:tcBorders>
              <w:top w:val="nil"/>
              <w:left w:val="nil"/>
              <w:bottom w:val="single" w:sz="8" w:space="0" w:color="auto"/>
              <w:right w:val="single" w:sz="4" w:space="0" w:color="auto"/>
            </w:tcBorders>
            <w:shd w:val="clear" w:color="auto" w:fill="auto"/>
            <w:noWrap/>
            <w:vAlign w:val="center"/>
            <w:hideMark/>
          </w:tcPr>
          <w:p w14:paraId="43029FDF"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0,00%</w:t>
            </w:r>
          </w:p>
        </w:tc>
        <w:tc>
          <w:tcPr>
            <w:tcW w:w="0" w:type="auto"/>
            <w:tcBorders>
              <w:top w:val="nil"/>
              <w:left w:val="nil"/>
              <w:bottom w:val="single" w:sz="8" w:space="0" w:color="auto"/>
              <w:right w:val="single" w:sz="4" w:space="0" w:color="auto"/>
            </w:tcBorders>
            <w:shd w:val="clear" w:color="auto" w:fill="auto"/>
            <w:noWrap/>
            <w:vAlign w:val="center"/>
            <w:hideMark/>
          </w:tcPr>
          <w:p w14:paraId="56BC0082" w14:textId="77777777" w:rsidR="001A24C3" w:rsidRPr="0034304D" w:rsidRDefault="001A24C3" w:rsidP="00300963">
            <w:pPr>
              <w:jc w:val="center"/>
              <w:rPr>
                <w:rFonts w:ascii="Arial" w:eastAsia="Times New Roman" w:hAnsi="Arial" w:cs="Arial"/>
                <w:color w:val="000000"/>
                <w:sz w:val="16"/>
                <w:szCs w:val="16"/>
                <w:lang w:eastAsia="sk-SK"/>
              </w:rPr>
            </w:pPr>
            <w:r w:rsidRPr="0034304D">
              <w:rPr>
                <w:rFonts w:ascii="Arial" w:eastAsia="Times New Roman" w:hAnsi="Arial" w:cs="Arial"/>
                <w:color w:val="000000"/>
                <w:sz w:val="16"/>
                <w:szCs w:val="16"/>
                <w:lang w:eastAsia="sk-SK"/>
              </w:rPr>
              <w:t>0,372%</w:t>
            </w:r>
          </w:p>
        </w:tc>
      </w:tr>
    </w:tbl>
    <w:p w14:paraId="0BE04489" w14:textId="77777777" w:rsidR="00713187" w:rsidRDefault="00713187" w:rsidP="00713187">
      <w:pPr>
        <w:pStyle w:val="Popis"/>
        <w:jc w:val="both"/>
      </w:pPr>
      <w:bookmarkStart w:id="454" w:name="_Toc83677982"/>
    </w:p>
    <w:p w14:paraId="459B9C41" w14:textId="280574C6" w:rsidR="001A24C3" w:rsidRPr="002C30B3" w:rsidRDefault="001A24C3" w:rsidP="00713187">
      <w:pPr>
        <w:pStyle w:val="Popis"/>
        <w:jc w:val="both"/>
      </w:pPr>
      <w:r w:rsidRPr="002C30B3">
        <w:t xml:space="preserve">Tabuľka </w:t>
      </w:r>
      <w:r w:rsidR="004B79AC">
        <w:rPr>
          <w:noProof/>
        </w:rPr>
        <w:t>93</w:t>
      </w:r>
      <w:r w:rsidRPr="002C30B3">
        <w:t xml:space="preserve"> </w:t>
      </w:r>
      <w:r w:rsidRPr="002C30B3">
        <w:tab/>
        <w:t>Prepínacie hodnoty pri ENPV/C</w:t>
      </w:r>
      <w:bookmarkEnd w:id="454"/>
    </w:p>
    <w:tbl>
      <w:tblPr>
        <w:tblW w:w="0" w:type="auto"/>
        <w:tblCellMar>
          <w:left w:w="70" w:type="dxa"/>
          <w:right w:w="70" w:type="dxa"/>
        </w:tblCellMar>
        <w:tblLook w:val="04A0" w:firstRow="1" w:lastRow="0" w:firstColumn="1" w:lastColumn="0" w:noHBand="0" w:noVBand="1"/>
      </w:tblPr>
      <w:tblGrid>
        <w:gridCol w:w="3475"/>
        <w:gridCol w:w="871"/>
        <w:gridCol w:w="817"/>
        <w:gridCol w:w="3887"/>
      </w:tblGrid>
      <w:tr w:rsidR="001A24C3" w:rsidRPr="0034304D" w14:paraId="64140BDC" w14:textId="77777777" w:rsidTr="00300963">
        <w:trPr>
          <w:trHeight w:val="660"/>
        </w:trPr>
        <w:tc>
          <w:tcPr>
            <w:tcW w:w="0" w:type="auto"/>
            <w:tcBorders>
              <w:top w:val="single" w:sz="8" w:space="0" w:color="auto"/>
              <w:left w:val="single" w:sz="8" w:space="0" w:color="auto"/>
              <w:bottom w:val="nil"/>
              <w:right w:val="single" w:sz="8" w:space="0" w:color="auto"/>
            </w:tcBorders>
            <w:shd w:val="clear" w:color="000000" w:fill="B1A0C7"/>
            <w:noWrap/>
            <w:vAlign w:val="center"/>
            <w:hideMark/>
          </w:tcPr>
          <w:p w14:paraId="7DC6348A" w14:textId="77777777" w:rsidR="001A24C3" w:rsidRPr="0034304D" w:rsidRDefault="001A24C3" w:rsidP="00300963">
            <w:pP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Zmena ENPV (% zmena)</w:t>
            </w:r>
          </w:p>
        </w:tc>
        <w:tc>
          <w:tcPr>
            <w:tcW w:w="0" w:type="auto"/>
            <w:tcBorders>
              <w:top w:val="single" w:sz="8" w:space="0" w:color="auto"/>
              <w:left w:val="nil"/>
              <w:bottom w:val="nil"/>
              <w:right w:val="single" w:sz="4" w:space="0" w:color="auto"/>
            </w:tcBorders>
            <w:shd w:val="clear" w:color="000000" w:fill="B1A0C7"/>
            <w:vAlign w:val="center"/>
            <w:hideMark/>
          </w:tcPr>
          <w:p w14:paraId="37DA848D"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Kritická premenná</w:t>
            </w:r>
          </w:p>
        </w:tc>
        <w:tc>
          <w:tcPr>
            <w:tcW w:w="0" w:type="auto"/>
            <w:tcBorders>
              <w:top w:val="single" w:sz="8" w:space="0" w:color="auto"/>
              <w:left w:val="nil"/>
              <w:bottom w:val="nil"/>
              <w:right w:val="single" w:sz="8" w:space="0" w:color="auto"/>
            </w:tcBorders>
            <w:shd w:val="clear" w:color="000000" w:fill="B1A0C7"/>
            <w:noWrap/>
            <w:vAlign w:val="center"/>
            <w:hideMark/>
          </w:tcPr>
          <w:p w14:paraId="551BD6C9"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ENPV &lt;= 0</w:t>
            </w:r>
          </w:p>
        </w:tc>
        <w:tc>
          <w:tcPr>
            <w:tcW w:w="0" w:type="auto"/>
            <w:tcBorders>
              <w:top w:val="single" w:sz="8" w:space="0" w:color="auto"/>
              <w:left w:val="nil"/>
              <w:bottom w:val="nil"/>
              <w:right w:val="single" w:sz="8" w:space="0" w:color="000000"/>
            </w:tcBorders>
            <w:shd w:val="clear" w:color="000000" w:fill="B1A0C7"/>
            <w:noWrap/>
            <w:vAlign w:val="center"/>
            <w:hideMark/>
          </w:tcPr>
          <w:p w14:paraId="280BB463" w14:textId="77777777" w:rsidR="001A24C3" w:rsidRPr="0034304D" w:rsidRDefault="001A24C3" w:rsidP="00300963">
            <w:pPr>
              <w:jc w:val="center"/>
              <w:rPr>
                <w:rFonts w:ascii="Calibri" w:eastAsia="Times New Roman" w:hAnsi="Calibri" w:cs="Arial"/>
                <w:b/>
                <w:bCs/>
                <w:sz w:val="16"/>
                <w:szCs w:val="16"/>
                <w:lang w:eastAsia="sk-SK"/>
              </w:rPr>
            </w:pPr>
            <w:r w:rsidRPr="0034304D">
              <w:rPr>
                <w:rFonts w:ascii="Calibri" w:eastAsia="Times New Roman" w:hAnsi="Calibri" w:cs="Arial"/>
                <w:b/>
                <w:bCs/>
                <w:sz w:val="16"/>
                <w:szCs w:val="16"/>
                <w:lang w:eastAsia="sk-SK"/>
              </w:rPr>
              <w:t>Poznámka</w:t>
            </w:r>
          </w:p>
        </w:tc>
      </w:tr>
      <w:tr w:rsidR="001A24C3" w:rsidRPr="0034304D" w14:paraId="7A704885" w14:textId="77777777" w:rsidTr="00300963">
        <w:trPr>
          <w:trHeight w:val="945"/>
        </w:trPr>
        <w:tc>
          <w:tcPr>
            <w:tcW w:w="0" w:type="auto"/>
            <w:tcBorders>
              <w:top w:val="single" w:sz="4" w:space="0" w:color="auto"/>
              <w:left w:val="single" w:sz="8" w:space="0" w:color="auto"/>
              <w:bottom w:val="single" w:sz="4" w:space="0" w:color="auto"/>
              <w:right w:val="nil"/>
            </w:tcBorders>
            <w:shd w:val="clear" w:color="auto" w:fill="auto"/>
            <w:noWrap/>
            <w:vAlign w:val="center"/>
            <w:hideMark/>
          </w:tcPr>
          <w:p w14:paraId="7017E537"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Investičné náklady</w:t>
            </w:r>
          </w:p>
        </w:tc>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C15734"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Áno</w:t>
            </w:r>
          </w:p>
        </w:tc>
        <w:tc>
          <w:tcPr>
            <w:tcW w:w="0" w:type="auto"/>
            <w:tcBorders>
              <w:top w:val="single" w:sz="8" w:space="0" w:color="auto"/>
              <w:left w:val="nil"/>
              <w:bottom w:val="single" w:sz="4" w:space="0" w:color="auto"/>
              <w:right w:val="single" w:sz="8" w:space="0" w:color="auto"/>
            </w:tcBorders>
            <w:shd w:val="clear" w:color="auto" w:fill="auto"/>
            <w:noWrap/>
            <w:vAlign w:val="center"/>
            <w:hideMark/>
          </w:tcPr>
          <w:p w14:paraId="173B5935"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19,36%</w:t>
            </w:r>
          </w:p>
        </w:tc>
        <w:tc>
          <w:tcPr>
            <w:tcW w:w="0" w:type="auto"/>
            <w:tcBorders>
              <w:top w:val="single" w:sz="8" w:space="0" w:color="auto"/>
              <w:left w:val="nil"/>
              <w:bottom w:val="single" w:sz="4" w:space="0" w:color="auto"/>
              <w:right w:val="single" w:sz="8" w:space="0" w:color="000000"/>
            </w:tcBorders>
            <w:shd w:val="clear" w:color="auto" w:fill="auto"/>
            <w:vAlign w:val="center"/>
            <w:hideMark/>
          </w:tcPr>
          <w:p w14:paraId="5ADA0EA2"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Nárast investičných nákladov v socio-ekonomickej analýze o 19,36%  by znamenal, že socio-ekonomické prínosy by sa dostali na 0 resp. aj na mínusovú hodnotu. Ide o málo pravdepodobný scenár avšak třeba vziať do úvahy rast nákladov stavebných materiálov.</w:t>
            </w:r>
          </w:p>
        </w:tc>
      </w:tr>
      <w:tr w:rsidR="001A24C3" w:rsidRPr="0034304D" w14:paraId="0BC8C69B"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409B1731"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Prevádzkové náklady</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18D59CD4"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55EE2551"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-84,91%</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2C1A6606"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Pokles úspory prevádzkových nákladov v socio-ekonomickej analýze o 84,91%  by znamenal, že socio-ekonomické prínosy by sa dostali na 0 resp. aj na mínusovú hodnotu. Ide o nereálny  scenár.</w:t>
            </w:r>
          </w:p>
        </w:tc>
      </w:tr>
      <w:tr w:rsidR="001A24C3" w:rsidRPr="0034304D" w14:paraId="0A688989"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3077D44B"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úspora času - osobná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0180CA1"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35A925A0"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vAlign w:val="center"/>
            <w:hideMark/>
          </w:tcPr>
          <w:p w14:paraId="35153A40"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 </w:t>
            </w:r>
          </w:p>
        </w:tc>
      </w:tr>
      <w:tr w:rsidR="001A24C3" w:rsidRPr="0034304D" w14:paraId="03646F12"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67710FE7"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vlkm - osobná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777C0787"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6C39B47C"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vAlign w:val="center"/>
            <w:hideMark/>
          </w:tcPr>
          <w:p w14:paraId="7CCDEF5B"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 </w:t>
            </w:r>
          </w:p>
        </w:tc>
      </w:tr>
      <w:tr w:rsidR="001A24C3" w:rsidRPr="0034304D" w14:paraId="0D086563"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3F05C681"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vzkm - prevedená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B9D08D8"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4" w:space="0" w:color="auto"/>
              <w:right w:val="single" w:sz="8" w:space="0" w:color="auto"/>
            </w:tcBorders>
            <w:shd w:val="clear" w:color="auto" w:fill="auto"/>
            <w:noWrap/>
            <w:vAlign w:val="center"/>
            <w:hideMark/>
          </w:tcPr>
          <w:p w14:paraId="32693956"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4" w:space="0" w:color="auto"/>
              <w:right w:val="single" w:sz="8" w:space="0" w:color="000000"/>
              <w:tl2br w:val="single" w:sz="4" w:space="0" w:color="auto"/>
              <w:tr2bl w:val="single" w:sz="4" w:space="0" w:color="auto"/>
            </w:tcBorders>
            <w:shd w:val="clear" w:color="auto" w:fill="auto"/>
            <w:vAlign w:val="center"/>
            <w:hideMark/>
          </w:tcPr>
          <w:p w14:paraId="09C95D2E"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 </w:t>
            </w:r>
          </w:p>
        </w:tc>
      </w:tr>
      <w:tr w:rsidR="001A24C3" w:rsidRPr="0034304D" w14:paraId="2A7BD134" w14:textId="77777777" w:rsidTr="00300963">
        <w:trPr>
          <w:trHeight w:val="1185"/>
        </w:trPr>
        <w:tc>
          <w:tcPr>
            <w:tcW w:w="0" w:type="auto"/>
            <w:tcBorders>
              <w:top w:val="nil"/>
              <w:left w:val="single" w:sz="8" w:space="0" w:color="auto"/>
              <w:bottom w:val="single" w:sz="4" w:space="0" w:color="auto"/>
              <w:right w:val="nil"/>
            </w:tcBorders>
            <w:shd w:val="clear" w:color="auto" w:fill="auto"/>
            <w:noWrap/>
            <w:vAlign w:val="center"/>
            <w:hideMark/>
          </w:tcPr>
          <w:p w14:paraId="162638DF"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úspora času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53607570"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36862CE5"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-24,82%</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5475138C"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Pokles úspory času nákladnej dopravy v socio-ekonomickej analýze o 24,82%  by znamenal, že socio-ekonomické prínosy by sa dostali na 0 resp. aj na mínusovú hodnotu. Realizácia projektu sa prejaví vo zvýšenej spoľahlivosti železničnej dopravy  a teda je málo pravdepodobné, že by došlo až k takému výraznému poklesu úspory času nákladnej dopravy.</w:t>
            </w:r>
          </w:p>
        </w:tc>
      </w:tr>
      <w:tr w:rsidR="001A24C3" w:rsidRPr="0034304D" w14:paraId="410F2FDE" w14:textId="77777777" w:rsidTr="00300963">
        <w:trPr>
          <w:trHeight w:val="945"/>
        </w:trPr>
        <w:tc>
          <w:tcPr>
            <w:tcW w:w="0" w:type="auto"/>
            <w:tcBorders>
              <w:top w:val="nil"/>
              <w:left w:val="single" w:sz="8" w:space="0" w:color="auto"/>
              <w:bottom w:val="single" w:sz="4" w:space="0" w:color="auto"/>
              <w:right w:val="nil"/>
            </w:tcBorders>
            <w:shd w:val="clear" w:color="auto" w:fill="auto"/>
            <w:noWrap/>
            <w:vAlign w:val="center"/>
            <w:hideMark/>
          </w:tcPr>
          <w:p w14:paraId="6B158E95"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vlkm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50BCA0A"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2052A84B"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-28,00%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1E0F03BD"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Pokles množstva vlkm nákladnej dopravy v rámci  v socio-ekonomickej analýze o 28,00%  by znamenal, že socio-ekonomické prínosy by sa dostali na 0 resp. aj na mínusovú hodnotu. Železničná nákladná doprava predstavuje ekologický spôsob prepravy tovarov a predpokladá sa nárast jej významu v blízkej budúcnosti. Na základe uvedeného je teda  málo pravdepodobné, že by došlo až k takému poklesu a to aj v súvislosti s predpokladným zvýšeným záujmom o prepravu tovarov.</w:t>
            </w:r>
          </w:p>
        </w:tc>
      </w:tr>
      <w:tr w:rsidR="001A24C3" w:rsidRPr="0034304D" w14:paraId="04AD62E9" w14:textId="77777777" w:rsidTr="00300963">
        <w:trPr>
          <w:trHeight w:val="1245"/>
        </w:trPr>
        <w:tc>
          <w:tcPr>
            <w:tcW w:w="0" w:type="auto"/>
            <w:tcBorders>
              <w:top w:val="nil"/>
              <w:left w:val="single" w:sz="8" w:space="0" w:color="auto"/>
              <w:bottom w:val="single" w:sz="4" w:space="0" w:color="auto"/>
              <w:right w:val="nil"/>
            </w:tcBorders>
            <w:shd w:val="clear" w:color="auto" w:fill="auto"/>
            <w:noWrap/>
            <w:vAlign w:val="center"/>
            <w:hideMark/>
          </w:tcPr>
          <w:p w14:paraId="7EAC390D"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množstvo prepraveného tovaru - nákladná doprava</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3015AD05"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Áno</w:t>
            </w:r>
          </w:p>
        </w:tc>
        <w:tc>
          <w:tcPr>
            <w:tcW w:w="0" w:type="auto"/>
            <w:tcBorders>
              <w:top w:val="nil"/>
              <w:left w:val="nil"/>
              <w:bottom w:val="single" w:sz="4" w:space="0" w:color="auto"/>
              <w:right w:val="single" w:sz="8" w:space="0" w:color="auto"/>
            </w:tcBorders>
            <w:shd w:val="clear" w:color="auto" w:fill="auto"/>
            <w:noWrap/>
            <w:vAlign w:val="center"/>
            <w:hideMark/>
          </w:tcPr>
          <w:p w14:paraId="4A9B780D" w14:textId="77777777" w:rsidR="001A24C3" w:rsidRPr="0034304D" w:rsidRDefault="001A24C3" w:rsidP="00300963">
            <w:pPr>
              <w:jc w:val="center"/>
              <w:rPr>
                <w:rFonts w:ascii="Arial" w:eastAsia="Times New Roman" w:hAnsi="Arial" w:cs="Arial"/>
                <w:b/>
                <w:bCs/>
                <w:sz w:val="16"/>
                <w:szCs w:val="16"/>
                <w:lang w:eastAsia="sk-SK"/>
              </w:rPr>
            </w:pPr>
            <w:r w:rsidRPr="0034304D">
              <w:rPr>
                <w:rFonts w:ascii="Arial" w:eastAsia="Times New Roman" w:hAnsi="Arial" w:cs="Arial"/>
                <w:b/>
                <w:bCs/>
                <w:sz w:val="16"/>
                <w:szCs w:val="16"/>
                <w:lang w:eastAsia="sk-SK"/>
              </w:rPr>
              <w:t>-28,50%</w:t>
            </w:r>
          </w:p>
        </w:tc>
        <w:tc>
          <w:tcPr>
            <w:tcW w:w="0" w:type="auto"/>
            <w:tcBorders>
              <w:top w:val="single" w:sz="4" w:space="0" w:color="auto"/>
              <w:left w:val="nil"/>
              <w:bottom w:val="single" w:sz="4" w:space="0" w:color="auto"/>
              <w:right w:val="single" w:sz="8" w:space="0" w:color="000000"/>
            </w:tcBorders>
            <w:shd w:val="clear" w:color="auto" w:fill="auto"/>
            <w:vAlign w:val="center"/>
            <w:hideMark/>
          </w:tcPr>
          <w:p w14:paraId="49595F64" w14:textId="77777777" w:rsidR="001A24C3" w:rsidRPr="0034304D" w:rsidRDefault="001A24C3" w:rsidP="00300963">
            <w:pPr>
              <w:rPr>
                <w:rFonts w:ascii="Arial" w:eastAsia="Times New Roman" w:hAnsi="Arial" w:cs="Arial"/>
                <w:sz w:val="16"/>
                <w:szCs w:val="16"/>
                <w:lang w:eastAsia="sk-SK"/>
              </w:rPr>
            </w:pPr>
            <w:r w:rsidRPr="0034304D">
              <w:rPr>
                <w:rFonts w:ascii="Arial" w:eastAsia="Times New Roman" w:hAnsi="Arial" w:cs="Arial"/>
                <w:sz w:val="16"/>
                <w:szCs w:val="16"/>
                <w:lang w:eastAsia="sk-SK"/>
              </w:rPr>
              <w:t>Pokles množstva prepraveného tovaru v rámci  v socio-ekonomickej analýze o 28,50%  by znamenal, že socio-ekonomické prínosy by sa dostali na 0 resp. aj na mínusovú hodnotu. Železničná nákladná doprava predstavuje ekologický spôsob prepravy tovarov a predpokladá sa nárast jej významu v blízkej budúcnosti. Na základe uvedeného je teda  málo pravdepodobné, že by došlo až k takému poklesu prepravy tovarov.</w:t>
            </w:r>
          </w:p>
        </w:tc>
      </w:tr>
      <w:tr w:rsidR="001A24C3" w:rsidRPr="0034304D" w14:paraId="497B0FA6" w14:textId="77777777" w:rsidTr="00300963">
        <w:trPr>
          <w:trHeight w:val="945"/>
        </w:trPr>
        <w:tc>
          <w:tcPr>
            <w:tcW w:w="0" w:type="auto"/>
            <w:tcBorders>
              <w:top w:val="nil"/>
              <w:left w:val="single" w:sz="8" w:space="0" w:color="auto"/>
              <w:bottom w:val="single" w:sz="8" w:space="0" w:color="auto"/>
              <w:right w:val="nil"/>
            </w:tcBorders>
            <w:shd w:val="clear" w:color="auto" w:fill="auto"/>
            <w:noWrap/>
            <w:vAlign w:val="center"/>
            <w:hideMark/>
          </w:tcPr>
          <w:p w14:paraId="0AB8477C" w14:textId="77777777" w:rsidR="001A24C3" w:rsidRPr="0034304D" w:rsidRDefault="001A24C3" w:rsidP="00300963">
            <w:pPr>
              <w:rPr>
                <w:rFonts w:ascii="Calibri" w:eastAsia="Times New Roman" w:hAnsi="Calibri" w:cs="Arial"/>
                <w:sz w:val="16"/>
                <w:szCs w:val="16"/>
                <w:lang w:eastAsia="sk-SK"/>
              </w:rPr>
            </w:pPr>
            <w:r w:rsidRPr="0034304D">
              <w:rPr>
                <w:rFonts w:ascii="Calibri" w:eastAsia="Times New Roman" w:hAnsi="Calibri" w:cs="Arial"/>
                <w:sz w:val="16"/>
                <w:szCs w:val="16"/>
                <w:lang w:eastAsia="sk-SK"/>
              </w:rPr>
              <w:t>Zostatková hodnota</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5A9B146C"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Nie</w:t>
            </w:r>
          </w:p>
        </w:tc>
        <w:tc>
          <w:tcPr>
            <w:tcW w:w="0" w:type="auto"/>
            <w:tcBorders>
              <w:top w:val="nil"/>
              <w:left w:val="nil"/>
              <w:bottom w:val="single" w:sz="8" w:space="0" w:color="auto"/>
              <w:right w:val="single" w:sz="8" w:space="0" w:color="auto"/>
            </w:tcBorders>
            <w:shd w:val="clear" w:color="auto" w:fill="auto"/>
            <w:noWrap/>
            <w:vAlign w:val="center"/>
            <w:hideMark/>
          </w:tcPr>
          <w:p w14:paraId="0A6B4BCE"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w:t>
            </w:r>
          </w:p>
        </w:tc>
        <w:tc>
          <w:tcPr>
            <w:tcW w:w="0" w:type="auto"/>
            <w:tcBorders>
              <w:top w:val="single" w:sz="4" w:space="0" w:color="auto"/>
              <w:left w:val="nil"/>
              <w:bottom w:val="single" w:sz="8" w:space="0" w:color="auto"/>
              <w:right w:val="single" w:sz="8" w:space="0" w:color="000000"/>
              <w:tl2br w:val="single" w:sz="4" w:space="0" w:color="auto"/>
              <w:tr2bl w:val="single" w:sz="4" w:space="0" w:color="auto"/>
            </w:tcBorders>
            <w:shd w:val="clear" w:color="auto" w:fill="auto"/>
            <w:vAlign w:val="center"/>
            <w:hideMark/>
          </w:tcPr>
          <w:p w14:paraId="5147C5C6" w14:textId="77777777" w:rsidR="001A24C3" w:rsidRPr="0034304D" w:rsidRDefault="001A24C3" w:rsidP="00300963">
            <w:pPr>
              <w:jc w:val="center"/>
              <w:rPr>
                <w:rFonts w:ascii="Arial" w:eastAsia="Times New Roman" w:hAnsi="Arial" w:cs="Arial"/>
                <w:sz w:val="16"/>
                <w:szCs w:val="16"/>
                <w:lang w:eastAsia="sk-SK"/>
              </w:rPr>
            </w:pPr>
            <w:r w:rsidRPr="0034304D">
              <w:rPr>
                <w:rFonts w:ascii="Arial" w:eastAsia="Times New Roman" w:hAnsi="Arial" w:cs="Arial"/>
                <w:sz w:val="16"/>
                <w:szCs w:val="16"/>
                <w:lang w:eastAsia="sk-SK"/>
              </w:rPr>
              <w:t> </w:t>
            </w:r>
          </w:p>
        </w:tc>
      </w:tr>
    </w:tbl>
    <w:p w14:paraId="11144187" w14:textId="77777777" w:rsidR="001A24C3" w:rsidRPr="002C30B3" w:rsidRDefault="001A24C3" w:rsidP="001A24C3">
      <w:pPr>
        <w:rPr>
          <w:b/>
          <w:iCs/>
          <w:color w:val="C00000"/>
          <w:sz w:val="20"/>
          <w:szCs w:val="18"/>
        </w:rPr>
      </w:pPr>
    </w:p>
    <w:p w14:paraId="366BD230" w14:textId="3CAA7850" w:rsidR="001A24C3" w:rsidRPr="004B79AC" w:rsidRDefault="001A24C3" w:rsidP="004B79AC">
      <w:pPr>
        <w:suppressAutoHyphens/>
        <w:rPr>
          <w:i/>
          <w:iCs/>
        </w:rPr>
      </w:pPr>
      <w:bookmarkStart w:id="455" w:name="_Toc83678007"/>
      <w:r w:rsidRPr="004B79AC">
        <w:rPr>
          <w:i/>
          <w:iCs/>
        </w:rPr>
        <w:t xml:space="preserve">Graf </w:t>
      </w:r>
      <w:r w:rsidRPr="004B79AC">
        <w:rPr>
          <w:i/>
          <w:iCs/>
          <w:noProof/>
        </w:rPr>
        <w:fldChar w:fldCharType="begin"/>
      </w:r>
      <w:r w:rsidRPr="004B79AC">
        <w:rPr>
          <w:i/>
          <w:iCs/>
          <w:noProof/>
        </w:rPr>
        <w:instrText xml:space="preserve"> SEQ Graf \* ARABIC </w:instrText>
      </w:r>
      <w:r w:rsidRPr="004B79AC">
        <w:rPr>
          <w:i/>
          <w:iCs/>
          <w:noProof/>
        </w:rPr>
        <w:fldChar w:fldCharType="separate"/>
      </w:r>
      <w:r w:rsidR="008208F3">
        <w:rPr>
          <w:i/>
          <w:iCs/>
          <w:noProof/>
        </w:rPr>
        <w:t>10</w:t>
      </w:r>
      <w:r w:rsidRPr="004B79AC">
        <w:rPr>
          <w:i/>
          <w:iCs/>
          <w:noProof/>
        </w:rPr>
        <w:fldChar w:fldCharType="end"/>
      </w:r>
      <w:r w:rsidRPr="004B79AC">
        <w:rPr>
          <w:i/>
          <w:iCs/>
        </w:rPr>
        <w:tab/>
        <w:t>Citlivosť vstupných premenných na ENPV</w:t>
      </w:r>
      <w:bookmarkEnd w:id="455"/>
    </w:p>
    <w:p w14:paraId="69FBE145" w14:textId="74FB28FB" w:rsidR="001A24C3" w:rsidRDefault="001A24C3" w:rsidP="004B79AC">
      <w:r w:rsidRPr="002C30B3">
        <w:rPr>
          <w:noProof/>
          <w:lang w:eastAsia="sk-SK"/>
        </w:rPr>
        <w:lastRenderedPageBreak/>
        <w:drawing>
          <wp:inline distT="0" distB="0" distL="0" distR="0" wp14:anchorId="78B10ACB" wp14:editId="3AF7F440">
            <wp:extent cx="5759450" cy="4511040"/>
            <wp:effectExtent l="0" t="0" r="12700" b="3810"/>
            <wp:docPr id="103" name="Graf 103">
              <a:extLst xmlns:a="http://schemas.openxmlformats.org/drawingml/2006/main">
                <a:ext uri="{FF2B5EF4-FFF2-40B4-BE49-F238E27FC236}">
                  <a16:creationId xmlns:a16="http://schemas.microsoft.com/office/drawing/2014/main" id="{F7BDA357-0407-4E8C-A40A-B5834CBA2EC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62601C9E" w14:textId="77777777" w:rsidR="004B79AC" w:rsidRPr="004B79AC" w:rsidRDefault="004B79AC" w:rsidP="004B79AC"/>
    <w:p w14:paraId="7EFE02CF" w14:textId="77777777" w:rsidR="001A24C3" w:rsidRPr="00713187" w:rsidRDefault="001A24C3" w:rsidP="00713187">
      <w:pPr>
        <w:pStyle w:val="Nadpis41"/>
        <w:ind w:left="851" w:hanging="851"/>
        <w:rPr>
          <w:color w:val="auto"/>
          <w:sz w:val="24"/>
          <w:szCs w:val="24"/>
        </w:rPr>
      </w:pPr>
      <w:bookmarkStart w:id="456" w:name="_Toc88653057"/>
      <w:r w:rsidRPr="00713187">
        <w:rPr>
          <w:color w:val="auto"/>
          <w:sz w:val="24"/>
          <w:szCs w:val="24"/>
        </w:rPr>
        <w:t>Analýza scenárov</w:t>
      </w:r>
      <w:bookmarkEnd w:id="456"/>
    </w:p>
    <w:p w14:paraId="71BEAADE" w14:textId="77777777" w:rsidR="001A24C3" w:rsidRPr="002C30B3" w:rsidRDefault="001A24C3" w:rsidP="00715096">
      <w:pPr>
        <w:pStyle w:val="TextKoice0"/>
        <w:ind w:left="0"/>
      </w:pPr>
      <w:r w:rsidRPr="002C30B3">
        <w:t>Keďže boli identifikované kritické premenné a hodnoty o koľko by sa museli zmeniť, aby bol projekt nerealizovateľný, boli namodelované aj tri scenáre:</w:t>
      </w:r>
    </w:p>
    <w:p w14:paraId="3AAE079A" w14:textId="77777777" w:rsidR="001A24C3" w:rsidRPr="002C30B3" w:rsidRDefault="001A24C3" w:rsidP="001A24C3">
      <w:pPr>
        <w:pStyle w:val="ODRKY"/>
      </w:pPr>
      <w:r w:rsidRPr="002C30B3">
        <w:t>Pesimistický,</w:t>
      </w:r>
    </w:p>
    <w:p w14:paraId="416669A6" w14:textId="77777777" w:rsidR="001A24C3" w:rsidRPr="002C30B3" w:rsidRDefault="001A24C3" w:rsidP="001A24C3">
      <w:pPr>
        <w:pStyle w:val="ODRKY"/>
      </w:pPr>
      <w:r w:rsidRPr="002C30B3">
        <w:t>Realistický,</w:t>
      </w:r>
    </w:p>
    <w:p w14:paraId="10EFE2D2" w14:textId="77777777" w:rsidR="001A24C3" w:rsidRPr="002C30B3" w:rsidRDefault="001A24C3" w:rsidP="001A24C3">
      <w:pPr>
        <w:pStyle w:val="ODRKY"/>
      </w:pPr>
      <w:r w:rsidRPr="002C30B3">
        <w:t>Optimistický.</w:t>
      </w:r>
    </w:p>
    <w:p w14:paraId="5DDD39C6" w14:textId="77777777" w:rsidR="001A24C3" w:rsidRPr="002C30B3" w:rsidRDefault="001A24C3" w:rsidP="00715096">
      <w:pPr>
        <w:pStyle w:val="Odsekzoznamu"/>
        <w:spacing w:after="0" w:line="240" w:lineRule="auto"/>
        <w:ind w:left="0"/>
        <w:jc w:val="both"/>
        <w:rPr>
          <w:rFonts w:ascii="Times New Roman" w:hAnsi="Times New Roman"/>
          <w:szCs w:val="24"/>
        </w:rPr>
      </w:pPr>
    </w:p>
    <w:p w14:paraId="0AFE5692" w14:textId="77777777" w:rsidR="001A24C3" w:rsidRPr="002C30B3" w:rsidRDefault="001A24C3" w:rsidP="00715096">
      <w:pPr>
        <w:pStyle w:val="TextKoice0"/>
        <w:ind w:left="0"/>
      </w:pPr>
      <w:r w:rsidRPr="002C30B3">
        <w:t>Pri týchto scenároch boli určené teoretické hodnoty odchýlok jednotlivých premenných, pričom pozornosť sa sústredila predovšetkým na tie, ktoré boli identifikované ako citlivé a bol posúdený ich vplyv na výstupné ukazovatele finančnej a ekonomickej analýzy.</w:t>
      </w:r>
    </w:p>
    <w:p w14:paraId="5A4BD942" w14:textId="77777777" w:rsidR="001A24C3" w:rsidRPr="002C30B3" w:rsidRDefault="001A24C3" w:rsidP="00715096">
      <w:pPr>
        <w:rPr>
          <w:rFonts w:ascii="Times New Roman" w:hAnsi="Times New Roman"/>
          <w:szCs w:val="24"/>
        </w:rPr>
      </w:pPr>
    </w:p>
    <w:p w14:paraId="2ADA97FD" w14:textId="77777777" w:rsidR="001A24C3" w:rsidRPr="002C30B3" w:rsidRDefault="001A24C3" w:rsidP="00715096">
      <w:pPr>
        <w:pStyle w:val="TextKoice0"/>
        <w:ind w:left="0"/>
      </w:pPr>
      <w:r w:rsidRPr="002C30B3">
        <w:t xml:space="preserve">V žiadnom zo stanovených scenárov neprichádza k v rámci finančnej analýzy k situácií, že by bol projekt samofinancovateľný. V prípade ekonomickej analýzy sú hodnoty ERR stále nad úrovňou diskontnej sadzby, aj keď v prípade pesimistického scenára dochádza k veľmi silnému priblíženiu hodnoty ERR k diskontnej sadzbe. </w:t>
      </w:r>
    </w:p>
    <w:p w14:paraId="62C3FAB4" w14:textId="77777777" w:rsidR="004B79AC" w:rsidRDefault="004B79AC" w:rsidP="004B79AC">
      <w:pPr>
        <w:suppressAutoHyphens/>
      </w:pPr>
      <w:bookmarkStart w:id="457" w:name="_Toc83677983"/>
    </w:p>
    <w:p w14:paraId="31BFAA6E" w14:textId="0979CABE" w:rsidR="001A24C3" w:rsidRPr="004B79AC" w:rsidRDefault="001A24C3" w:rsidP="004B79AC">
      <w:pPr>
        <w:suppressAutoHyphens/>
        <w:rPr>
          <w:rFonts w:ascii="Calibri" w:eastAsia="Calibri" w:hAnsi="Calibri" w:cs="Calibri"/>
          <w:lang w:eastAsia="sk-SK" w:bidi="sk-SK"/>
        </w:rPr>
      </w:pPr>
      <w:r w:rsidRPr="002C30B3">
        <w:t xml:space="preserve">Tabuľka </w:t>
      </w:r>
      <w:r w:rsidR="00091EB3">
        <w:rPr>
          <w:noProof/>
        </w:rPr>
        <w:t>110</w:t>
      </w:r>
      <w:r w:rsidRPr="002C30B3">
        <w:tab/>
        <w:t>Analýza scenárov a jej dopad na finančnú analýzu</w:t>
      </w:r>
      <w:bookmarkEnd w:id="457"/>
    </w:p>
    <w:p w14:paraId="20F9FFAD" w14:textId="77777777" w:rsidR="001A24C3" w:rsidRPr="002C30B3" w:rsidRDefault="001A24C3" w:rsidP="001A24C3">
      <w:pPr>
        <w:suppressAutoHyphens/>
        <w:rPr>
          <w:sz w:val="16"/>
          <w:szCs w:val="16"/>
        </w:rPr>
      </w:pPr>
      <w:r w:rsidRPr="002C30B3">
        <w:rPr>
          <w:sz w:val="16"/>
          <w:szCs w:val="16"/>
        </w:rPr>
        <w:t xml:space="preserve"> </w:t>
      </w:r>
    </w:p>
    <w:tbl>
      <w:tblPr>
        <w:tblW w:w="0" w:type="auto"/>
        <w:tblCellMar>
          <w:left w:w="70" w:type="dxa"/>
          <w:right w:w="70" w:type="dxa"/>
        </w:tblCellMar>
        <w:tblLook w:val="04A0" w:firstRow="1" w:lastRow="0" w:firstColumn="1" w:lastColumn="0" w:noHBand="0" w:noVBand="1"/>
      </w:tblPr>
      <w:tblGrid>
        <w:gridCol w:w="1076"/>
        <w:gridCol w:w="1084"/>
        <w:gridCol w:w="1084"/>
        <w:gridCol w:w="995"/>
      </w:tblGrid>
      <w:tr w:rsidR="001A24C3" w:rsidRPr="00192473" w14:paraId="381A21BC" w14:textId="77777777" w:rsidTr="00300963">
        <w:trPr>
          <w:trHeight w:val="4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31D24ECA" w14:textId="77777777" w:rsidR="001A24C3" w:rsidRPr="00192473" w:rsidRDefault="001A24C3" w:rsidP="00300963">
            <w:pPr>
              <w:jc w:val="center"/>
              <w:rPr>
                <w:rFonts w:ascii="Calibri" w:eastAsia="Times New Roman" w:hAnsi="Calibri" w:cs="Arial"/>
                <w:b/>
                <w:bCs/>
                <w:sz w:val="16"/>
                <w:szCs w:val="16"/>
                <w:lang w:eastAsia="sk-SK"/>
              </w:rPr>
            </w:pPr>
            <w:r w:rsidRPr="00192473">
              <w:rPr>
                <w:rFonts w:ascii="Calibri" w:eastAsia="Times New Roman" w:hAnsi="Calibri" w:cs="Arial"/>
                <w:b/>
                <w:bCs/>
                <w:sz w:val="16"/>
                <w:szCs w:val="16"/>
                <w:lang w:eastAsia="sk-SK"/>
              </w:rPr>
              <w:lastRenderedPageBreak/>
              <w:t>Scenár</w:t>
            </w:r>
          </w:p>
        </w:tc>
        <w:tc>
          <w:tcPr>
            <w:tcW w:w="0" w:type="auto"/>
            <w:tcBorders>
              <w:top w:val="single" w:sz="8" w:space="0" w:color="auto"/>
              <w:left w:val="nil"/>
              <w:bottom w:val="single" w:sz="8" w:space="0" w:color="auto"/>
              <w:right w:val="nil"/>
            </w:tcBorders>
            <w:shd w:val="clear" w:color="000000" w:fill="0070C0"/>
            <w:vAlign w:val="center"/>
            <w:hideMark/>
          </w:tcPr>
          <w:p w14:paraId="6C256509" w14:textId="77777777" w:rsidR="001A24C3" w:rsidRPr="00192473" w:rsidRDefault="001A24C3" w:rsidP="00300963">
            <w:pPr>
              <w:jc w:val="center"/>
              <w:rPr>
                <w:rFonts w:ascii="Calibri" w:eastAsia="Times New Roman" w:hAnsi="Calibri" w:cs="Arial"/>
                <w:color w:val="FFFFFF"/>
                <w:sz w:val="16"/>
                <w:szCs w:val="16"/>
                <w:lang w:eastAsia="sk-SK"/>
              </w:rPr>
            </w:pPr>
            <w:r w:rsidRPr="00192473">
              <w:rPr>
                <w:rFonts w:ascii="Calibri" w:eastAsia="Times New Roman" w:hAnsi="Calibri" w:cs="Arial"/>
                <w:color w:val="FFFFFF"/>
                <w:sz w:val="16"/>
                <w:szCs w:val="16"/>
                <w:lang w:eastAsia="sk-SK"/>
              </w:rPr>
              <w:t xml:space="preserve">Pesimistický </w:t>
            </w:r>
          </w:p>
        </w:tc>
        <w:tc>
          <w:tcPr>
            <w:tcW w:w="0" w:type="auto"/>
            <w:tcBorders>
              <w:top w:val="single" w:sz="8" w:space="0" w:color="auto"/>
              <w:left w:val="single" w:sz="8" w:space="0" w:color="auto"/>
              <w:bottom w:val="single" w:sz="8" w:space="0" w:color="auto"/>
              <w:right w:val="nil"/>
            </w:tcBorders>
            <w:shd w:val="clear" w:color="000000" w:fill="C0504D"/>
            <w:vAlign w:val="center"/>
            <w:hideMark/>
          </w:tcPr>
          <w:p w14:paraId="71A1F950" w14:textId="77777777" w:rsidR="001A24C3" w:rsidRPr="00192473" w:rsidRDefault="001A24C3" w:rsidP="00300963">
            <w:pPr>
              <w:jc w:val="center"/>
              <w:rPr>
                <w:rFonts w:ascii="Calibri" w:eastAsia="Times New Roman" w:hAnsi="Calibri" w:cs="Arial"/>
                <w:color w:val="FFFFFF"/>
                <w:sz w:val="16"/>
                <w:szCs w:val="16"/>
                <w:lang w:eastAsia="sk-SK"/>
              </w:rPr>
            </w:pPr>
            <w:r w:rsidRPr="00192473">
              <w:rPr>
                <w:rFonts w:ascii="Calibri" w:eastAsia="Times New Roman" w:hAnsi="Calibri" w:cs="Arial"/>
                <w:color w:val="FFFFFF"/>
                <w:sz w:val="16"/>
                <w:szCs w:val="16"/>
                <w:lang w:eastAsia="sk-SK"/>
              </w:rPr>
              <w:t xml:space="preserve">Realistický </w:t>
            </w:r>
          </w:p>
        </w:tc>
        <w:tc>
          <w:tcPr>
            <w:tcW w:w="0" w:type="auto"/>
            <w:tcBorders>
              <w:top w:val="single" w:sz="8" w:space="0" w:color="auto"/>
              <w:left w:val="single" w:sz="8" w:space="0" w:color="auto"/>
              <w:bottom w:val="single" w:sz="8" w:space="0" w:color="auto"/>
              <w:right w:val="single" w:sz="8" w:space="0" w:color="auto"/>
            </w:tcBorders>
            <w:shd w:val="clear" w:color="000000" w:fill="76933C"/>
            <w:vAlign w:val="center"/>
            <w:hideMark/>
          </w:tcPr>
          <w:p w14:paraId="6DE65364" w14:textId="77777777" w:rsidR="001A24C3" w:rsidRPr="00192473" w:rsidRDefault="001A24C3" w:rsidP="00300963">
            <w:pPr>
              <w:jc w:val="center"/>
              <w:rPr>
                <w:rFonts w:ascii="Calibri" w:eastAsia="Times New Roman" w:hAnsi="Calibri" w:cs="Arial"/>
                <w:color w:val="FFFFFF"/>
                <w:sz w:val="16"/>
                <w:szCs w:val="16"/>
                <w:lang w:eastAsia="sk-SK"/>
              </w:rPr>
            </w:pPr>
            <w:r w:rsidRPr="00192473">
              <w:rPr>
                <w:rFonts w:ascii="Calibri" w:eastAsia="Times New Roman" w:hAnsi="Calibri" w:cs="Arial"/>
                <w:color w:val="FFFFFF"/>
                <w:sz w:val="16"/>
                <w:szCs w:val="16"/>
                <w:lang w:eastAsia="sk-SK"/>
              </w:rPr>
              <w:t xml:space="preserve">Optimistický </w:t>
            </w:r>
          </w:p>
        </w:tc>
      </w:tr>
      <w:tr w:rsidR="001A24C3" w:rsidRPr="00192473" w14:paraId="6B216287" w14:textId="77777777" w:rsidTr="00300963">
        <w:trPr>
          <w:trHeight w:val="405"/>
        </w:trPr>
        <w:tc>
          <w:tcPr>
            <w:tcW w:w="0" w:type="auto"/>
            <w:tcBorders>
              <w:top w:val="nil"/>
              <w:left w:val="single" w:sz="8" w:space="0" w:color="auto"/>
              <w:bottom w:val="single" w:sz="4" w:space="0" w:color="auto"/>
              <w:right w:val="nil"/>
            </w:tcBorders>
            <w:shd w:val="clear" w:color="auto" w:fill="auto"/>
            <w:noWrap/>
            <w:vAlign w:val="center"/>
            <w:hideMark/>
          </w:tcPr>
          <w:p w14:paraId="5D8CED41" w14:textId="77777777" w:rsidR="001A24C3" w:rsidRPr="00192473" w:rsidRDefault="001A24C3" w:rsidP="00300963">
            <w:pPr>
              <w:rPr>
                <w:rFonts w:ascii="Calibri" w:eastAsia="Times New Roman" w:hAnsi="Calibri" w:cs="Arial"/>
                <w:sz w:val="16"/>
                <w:szCs w:val="16"/>
                <w:lang w:eastAsia="sk-SK"/>
              </w:rPr>
            </w:pPr>
            <w:r w:rsidRPr="00192473">
              <w:rPr>
                <w:rFonts w:ascii="Calibri" w:eastAsia="Times New Roman" w:hAnsi="Calibri" w:cs="Arial"/>
                <w:sz w:val="16"/>
                <w:szCs w:val="16"/>
                <w:lang w:eastAsia="sk-SK"/>
              </w:rPr>
              <w:t xml:space="preserve">FRR/C [%] </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276CD27"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-11,24%</w:t>
            </w:r>
          </w:p>
        </w:tc>
        <w:tc>
          <w:tcPr>
            <w:tcW w:w="0" w:type="auto"/>
            <w:tcBorders>
              <w:top w:val="nil"/>
              <w:left w:val="nil"/>
              <w:bottom w:val="single" w:sz="4" w:space="0" w:color="auto"/>
              <w:right w:val="single" w:sz="4" w:space="0" w:color="auto"/>
            </w:tcBorders>
            <w:shd w:val="clear" w:color="auto" w:fill="auto"/>
            <w:noWrap/>
            <w:vAlign w:val="center"/>
            <w:hideMark/>
          </w:tcPr>
          <w:p w14:paraId="22A91248"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-10,83%</w:t>
            </w:r>
          </w:p>
        </w:tc>
        <w:tc>
          <w:tcPr>
            <w:tcW w:w="0" w:type="auto"/>
            <w:tcBorders>
              <w:top w:val="nil"/>
              <w:left w:val="nil"/>
              <w:bottom w:val="single" w:sz="4" w:space="0" w:color="auto"/>
              <w:right w:val="single" w:sz="8" w:space="0" w:color="auto"/>
            </w:tcBorders>
            <w:shd w:val="clear" w:color="auto" w:fill="auto"/>
            <w:noWrap/>
            <w:vAlign w:val="center"/>
            <w:hideMark/>
          </w:tcPr>
          <w:p w14:paraId="4B2F2814"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-10,04%</w:t>
            </w:r>
          </w:p>
        </w:tc>
      </w:tr>
      <w:tr w:rsidR="001A24C3" w:rsidRPr="00192473" w14:paraId="3B166051" w14:textId="77777777" w:rsidTr="00300963">
        <w:trPr>
          <w:trHeight w:val="405"/>
        </w:trPr>
        <w:tc>
          <w:tcPr>
            <w:tcW w:w="0" w:type="auto"/>
            <w:tcBorders>
              <w:top w:val="nil"/>
              <w:left w:val="single" w:sz="8" w:space="0" w:color="auto"/>
              <w:bottom w:val="single" w:sz="8" w:space="0" w:color="auto"/>
              <w:right w:val="nil"/>
            </w:tcBorders>
            <w:shd w:val="clear" w:color="auto" w:fill="auto"/>
            <w:noWrap/>
            <w:vAlign w:val="center"/>
            <w:hideMark/>
          </w:tcPr>
          <w:p w14:paraId="7ACDB805" w14:textId="77777777" w:rsidR="001A24C3" w:rsidRPr="00192473" w:rsidRDefault="001A24C3" w:rsidP="00300963">
            <w:pPr>
              <w:rPr>
                <w:rFonts w:ascii="Calibri" w:eastAsia="Times New Roman" w:hAnsi="Calibri" w:cs="Arial"/>
                <w:sz w:val="16"/>
                <w:szCs w:val="16"/>
                <w:lang w:eastAsia="sk-SK"/>
              </w:rPr>
            </w:pPr>
            <w:r w:rsidRPr="00192473">
              <w:rPr>
                <w:rFonts w:ascii="Calibri" w:eastAsia="Times New Roman" w:hAnsi="Calibri" w:cs="Arial"/>
                <w:sz w:val="16"/>
                <w:szCs w:val="16"/>
                <w:lang w:eastAsia="sk-SK"/>
              </w:rPr>
              <w:t>FNPV/C  [EUR]</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41199612"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-128 332 551</w:t>
            </w:r>
          </w:p>
        </w:tc>
        <w:tc>
          <w:tcPr>
            <w:tcW w:w="0" w:type="auto"/>
            <w:tcBorders>
              <w:top w:val="nil"/>
              <w:left w:val="nil"/>
              <w:bottom w:val="single" w:sz="8" w:space="0" w:color="auto"/>
              <w:right w:val="nil"/>
            </w:tcBorders>
            <w:shd w:val="clear" w:color="auto" w:fill="auto"/>
            <w:noWrap/>
            <w:vAlign w:val="center"/>
            <w:hideMark/>
          </w:tcPr>
          <w:p w14:paraId="0D9F0CEE"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-116 005 052</w:t>
            </w:r>
          </w:p>
        </w:tc>
        <w:tc>
          <w:tcPr>
            <w:tcW w:w="0" w:type="auto"/>
            <w:tcBorders>
              <w:top w:val="nil"/>
              <w:left w:val="single" w:sz="4" w:space="0" w:color="auto"/>
              <w:bottom w:val="single" w:sz="8" w:space="0" w:color="auto"/>
              <w:right w:val="single" w:sz="8" w:space="0" w:color="auto"/>
            </w:tcBorders>
            <w:shd w:val="clear" w:color="auto" w:fill="auto"/>
            <w:noWrap/>
            <w:vAlign w:val="center"/>
            <w:hideMark/>
          </w:tcPr>
          <w:p w14:paraId="29BFB884"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-90 384 218</w:t>
            </w:r>
          </w:p>
        </w:tc>
      </w:tr>
    </w:tbl>
    <w:p w14:paraId="6479DE63" w14:textId="77777777" w:rsidR="001A24C3" w:rsidRPr="002C30B3" w:rsidRDefault="001A24C3" w:rsidP="001A24C3">
      <w:pPr>
        <w:suppressAutoHyphens/>
        <w:rPr>
          <w:sz w:val="16"/>
          <w:szCs w:val="16"/>
        </w:rPr>
      </w:pPr>
    </w:p>
    <w:p w14:paraId="6FAF47CF" w14:textId="77777777" w:rsidR="000E5539" w:rsidRDefault="000E5539" w:rsidP="00713187">
      <w:pPr>
        <w:pStyle w:val="Popis"/>
        <w:jc w:val="both"/>
      </w:pPr>
      <w:bookmarkStart w:id="458" w:name="_Toc83677984"/>
    </w:p>
    <w:p w14:paraId="32556970" w14:textId="457C7580" w:rsidR="001A24C3" w:rsidRPr="002C30B3" w:rsidRDefault="001A24C3" w:rsidP="00713187">
      <w:pPr>
        <w:pStyle w:val="Popis"/>
        <w:jc w:val="both"/>
      </w:pPr>
      <w:r>
        <w:t>T</w:t>
      </w:r>
      <w:r w:rsidRPr="002C30B3">
        <w:t xml:space="preserve">abuľka </w:t>
      </w:r>
      <w:r w:rsidR="00091EB3">
        <w:rPr>
          <w:noProof/>
        </w:rPr>
        <w:t>111</w:t>
      </w:r>
      <w:r w:rsidRPr="002C30B3">
        <w:tab/>
        <w:t>Analýza scenárov a jej dopad na ekonomickú analýzu</w:t>
      </w:r>
      <w:bookmarkEnd w:id="458"/>
    </w:p>
    <w:tbl>
      <w:tblPr>
        <w:tblW w:w="0" w:type="auto"/>
        <w:tblCellMar>
          <w:left w:w="70" w:type="dxa"/>
          <w:right w:w="70" w:type="dxa"/>
        </w:tblCellMar>
        <w:tblLook w:val="04A0" w:firstRow="1" w:lastRow="0" w:firstColumn="1" w:lastColumn="0" w:noHBand="0" w:noVBand="1"/>
      </w:tblPr>
      <w:tblGrid>
        <w:gridCol w:w="933"/>
        <w:gridCol w:w="932"/>
        <w:gridCol w:w="941"/>
        <w:gridCol w:w="951"/>
      </w:tblGrid>
      <w:tr w:rsidR="001A24C3" w:rsidRPr="00192473" w14:paraId="5A0C2634" w14:textId="77777777" w:rsidTr="00300963">
        <w:trPr>
          <w:trHeight w:val="420"/>
        </w:trPr>
        <w:tc>
          <w:tcPr>
            <w:tcW w:w="0" w:type="auto"/>
            <w:tcBorders>
              <w:top w:val="single" w:sz="8" w:space="0" w:color="auto"/>
              <w:left w:val="single" w:sz="8" w:space="0" w:color="auto"/>
              <w:bottom w:val="single" w:sz="8" w:space="0" w:color="auto"/>
              <w:right w:val="single" w:sz="8" w:space="0" w:color="auto"/>
            </w:tcBorders>
            <w:shd w:val="clear" w:color="auto" w:fill="auto"/>
            <w:vAlign w:val="center"/>
            <w:hideMark/>
          </w:tcPr>
          <w:p w14:paraId="11BAAFA1" w14:textId="77777777" w:rsidR="001A24C3" w:rsidRPr="00192473" w:rsidRDefault="001A24C3" w:rsidP="00300963">
            <w:pPr>
              <w:jc w:val="center"/>
              <w:rPr>
                <w:rFonts w:ascii="Calibri" w:eastAsia="Times New Roman" w:hAnsi="Calibri" w:cs="Arial"/>
                <w:b/>
                <w:bCs/>
                <w:sz w:val="16"/>
                <w:szCs w:val="16"/>
                <w:lang w:eastAsia="sk-SK"/>
              </w:rPr>
            </w:pPr>
            <w:r w:rsidRPr="00192473">
              <w:rPr>
                <w:rFonts w:ascii="Calibri" w:eastAsia="Times New Roman" w:hAnsi="Calibri" w:cs="Arial"/>
                <w:b/>
                <w:bCs/>
                <w:sz w:val="16"/>
                <w:szCs w:val="16"/>
                <w:lang w:eastAsia="sk-SK"/>
              </w:rPr>
              <w:t>Scenár</w:t>
            </w:r>
          </w:p>
        </w:tc>
        <w:tc>
          <w:tcPr>
            <w:tcW w:w="0" w:type="auto"/>
            <w:tcBorders>
              <w:top w:val="single" w:sz="8" w:space="0" w:color="auto"/>
              <w:left w:val="nil"/>
              <w:bottom w:val="single" w:sz="8" w:space="0" w:color="auto"/>
              <w:right w:val="nil"/>
            </w:tcBorders>
            <w:shd w:val="clear" w:color="000000" w:fill="0070C0"/>
            <w:vAlign w:val="center"/>
            <w:hideMark/>
          </w:tcPr>
          <w:p w14:paraId="41F060F8" w14:textId="77777777" w:rsidR="001A24C3" w:rsidRPr="00192473" w:rsidRDefault="001A24C3" w:rsidP="00300963">
            <w:pPr>
              <w:jc w:val="center"/>
              <w:rPr>
                <w:rFonts w:ascii="Calibri" w:eastAsia="Times New Roman" w:hAnsi="Calibri" w:cs="Arial"/>
                <w:color w:val="FFFFFF"/>
                <w:sz w:val="16"/>
                <w:szCs w:val="16"/>
                <w:lang w:eastAsia="sk-SK"/>
              </w:rPr>
            </w:pPr>
            <w:r w:rsidRPr="00192473">
              <w:rPr>
                <w:rFonts w:ascii="Calibri" w:eastAsia="Times New Roman" w:hAnsi="Calibri" w:cs="Arial"/>
                <w:color w:val="FFFFFF"/>
                <w:sz w:val="16"/>
                <w:szCs w:val="16"/>
                <w:lang w:eastAsia="sk-SK"/>
              </w:rPr>
              <w:t xml:space="preserve">Pesimistický </w:t>
            </w:r>
          </w:p>
        </w:tc>
        <w:tc>
          <w:tcPr>
            <w:tcW w:w="0" w:type="auto"/>
            <w:tcBorders>
              <w:top w:val="single" w:sz="8" w:space="0" w:color="auto"/>
              <w:left w:val="single" w:sz="8" w:space="0" w:color="auto"/>
              <w:bottom w:val="single" w:sz="8" w:space="0" w:color="auto"/>
              <w:right w:val="nil"/>
            </w:tcBorders>
            <w:shd w:val="clear" w:color="000000" w:fill="C0504D"/>
            <w:vAlign w:val="center"/>
            <w:hideMark/>
          </w:tcPr>
          <w:p w14:paraId="3DC4EDC0" w14:textId="77777777" w:rsidR="001A24C3" w:rsidRPr="00192473" w:rsidRDefault="001A24C3" w:rsidP="00300963">
            <w:pPr>
              <w:jc w:val="center"/>
              <w:rPr>
                <w:rFonts w:ascii="Calibri" w:eastAsia="Times New Roman" w:hAnsi="Calibri" w:cs="Arial"/>
                <w:color w:val="FFFFFF"/>
                <w:sz w:val="16"/>
                <w:szCs w:val="16"/>
                <w:lang w:eastAsia="sk-SK"/>
              </w:rPr>
            </w:pPr>
            <w:r w:rsidRPr="00192473">
              <w:rPr>
                <w:rFonts w:ascii="Calibri" w:eastAsia="Times New Roman" w:hAnsi="Calibri" w:cs="Arial"/>
                <w:color w:val="FFFFFF"/>
                <w:sz w:val="16"/>
                <w:szCs w:val="16"/>
                <w:lang w:eastAsia="sk-SK"/>
              </w:rPr>
              <w:t xml:space="preserve">Realistický </w:t>
            </w:r>
          </w:p>
        </w:tc>
        <w:tc>
          <w:tcPr>
            <w:tcW w:w="0" w:type="auto"/>
            <w:tcBorders>
              <w:top w:val="single" w:sz="8" w:space="0" w:color="auto"/>
              <w:left w:val="single" w:sz="8" w:space="0" w:color="auto"/>
              <w:bottom w:val="single" w:sz="8" w:space="0" w:color="auto"/>
              <w:right w:val="single" w:sz="8" w:space="0" w:color="auto"/>
            </w:tcBorders>
            <w:shd w:val="clear" w:color="000000" w:fill="76933C"/>
            <w:vAlign w:val="center"/>
            <w:hideMark/>
          </w:tcPr>
          <w:p w14:paraId="46E1A88E" w14:textId="77777777" w:rsidR="001A24C3" w:rsidRPr="00192473" w:rsidRDefault="001A24C3" w:rsidP="00300963">
            <w:pPr>
              <w:jc w:val="center"/>
              <w:rPr>
                <w:rFonts w:ascii="Calibri" w:eastAsia="Times New Roman" w:hAnsi="Calibri" w:cs="Arial"/>
                <w:color w:val="FFFFFF"/>
                <w:sz w:val="16"/>
                <w:szCs w:val="16"/>
                <w:lang w:eastAsia="sk-SK"/>
              </w:rPr>
            </w:pPr>
            <w:r w:rsidRPr="00192473">
              <w:rPr>
                <w:rFonts w:ascii="Calibri" w:eastAsia="Times New Roman" w:hAnsi="Calibri" w:cs="Arial"/>
                <w:color w:val="FFFFFF"/>
                <w:sz w:val="16"/>
                <w:szCs w:val="16"/>
                <w:lang w:eastAsia="sk-SK"/>
              </w:rPr>
              <w:t xml:space="preserve">Optimistický </w:t>
            </w:r>
          </w:p>
        </w:tc>
      </w:tr>
      <w:tr w:rsidR="001A24C3" w:rsidRPr="00192473" w14:paraId="54F31DF0" w14:textId="77777777" w:rsidTr="00300963">
        <w:trPr>
          <w:trHeight w:val="405"/>
        </w:trPr>
        <w:tc>
          <w:tcPr>
            <w:tcW w:w="0" w:type="auto"/>
            <w:tcBorders>
              <w:top w:val="nil"/>
              <w:left w:val="single" w:sz="8" w:space="0" w:color="auto"/>
              <w:bottom w:val="single" w:sz="4" w:space="0" w:color="auto"/>
              <w:right w:val="nil"/>
            </w:tcBorders>
            <w:shd w:val="clear" w:color="auto" w:fill="auto"/>
            <w:noWrap/>
            <w:vAlign w:val="center"/>
            <w:hideMark/>
          </w:tcPr>
          <w:p w14:paraId="1F2271D5" w14:textId="77777777" w:rsidR="001A24C3" w:rsidRPr="00192473" w:rsidRDefault="001A24C3" w:rsidP="00300963">
            <w:pPr>
              <w:rPr>
                <w:rFonts w:ascii="Calibri" w:eastAsia="Times New Roman" w:hAnsi="Calibri" w:cs="Arial"/>
                <w:sz w:val="16"/>
                <w:szCs w:val="16"/>
                <w:lang w:eastAsia="sk-SK"/>
              </w:rPr>
            </w:pPr>
            <w:r w:rsidRPr="00192473">
              <w:rPr>
                <w:rFonts w:ascii="Calibri" w:eastAsia="Times New Roman" w:hAnsi="Calibri" w:cs="Arial"/>
                <w:sz w:val="16"/>
                <w:szCs w:val="16"/>
                <w:lang w:eastAsia="sk-SK"/>
              </w:rPr>
              <w:t xml:space="preserve">ERR [%] </w:t>
            </w:r>
          </w:p>
        </w:tc>
        <w:tc>
          <w:tcPr>
            <w:tcW w:w="0" w:type="auto"/>
            <w:tcBorders>
              <w:top w:val="nil"/>
              <w:left w:val="single" w:sz="8" w:space="0" w:color="auto"/>
              <w:bottom w:val="single" w:sz="4" w:space="0" w:color="auto"/>
              <w:right w:val="single" w:sz="4" w:space="0" w:color="auto"/>
            </w:tcBorders>
            <w:shd w:val="clear" w:color="auto" w:fill="auto"/>
            <w:noWrap/>
            <w:vAlign w:val="center"/>
            <w:hideMark/>
          </w:tcPr>
          <w:p w14:paraId="0775C329"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5,04%</w:t>
            </w:r>
          </w:p>
        </w:tc>
        <w:tc>
          <w:tcPr>
            <w:tcW w:w="0" w:type="auto"/>
            <w:tcBorders>
              <w:top w:val="nil"/>
              <w:left w:val="nil"/>
              <w:bottom w:val="single" w:sz="4" w:space="0" w:color="auto"/>
              <w:right w:val="single" w:sz="4" w:space="0" w:color="auto"/>
            </w:tcBorders>
            <w:shd w:val="clear" w:color="auto" w:fill="auto"/>
            <w:noWrap/>
            <w:vAlign w:val="center"/>
            <w:hideMark/>
          </w:tcPr>
          <w:p w14:paraId="4BCCBA02"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6,49%</w:t>
            </w:r>
          </w:p>
        </w:tc>
        <w:tc>
          <w:tcPr>
            <w:tcW w:w="0" w:type="auto"/>
            <w:tcBorders>
              <w:top w:val="nil"/>
              <w:left w:val="nil"/>
              <w:bottom w:val="single" w:sz="4" w:space="0" w:color="auto"/>
              <w:right w:val="single" w:sz="8" w:space="0" w:color="auto"/>
            </w:tcBorders>
            <w:shd w:val="clear" w:color="auto" w:fill="auto"/>
            <w:noWrap/>
            <w:vAlign w:val="center"/>
            <w:hideMark/>
          </w:tcPr>
          <w:p w14:paraId="0808CED3"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9,21%</w:t>
            </w:r>
          </w:p>
        </w:tc>
      </w:tr>
      <w:tr w:rsidR="001A24C3" w:rsidRPr="00192473" w14:paraId="450ACC48" w14:textId="77777777" w:rsidTr="00300963">
        <w:trPr>
          <w:trHeight w:val="405"/>
        </w:trPr>
        <w:tc>
          <w:tcPr>
            <w:tcW w:w="0" w:type="auto"/>
            <w:tcBorders>
              <w:top w:val="single" w:sz="4" w:space="0" w:color="auto"/>
              <w:left w:val="single" w:sz="8" w:space="0" w:color="auto"/>
              <w:bottom w:val="single" w:sz="8" w:space="0" w:color="auto"/>
              <w:right w:val="nil"/>
            </w:tcBorders>
            <w:shd w:val="clear" w:color="auto" w:fill="auto"/>
            <w:noWrap/>
            <w:vAlign w:val="center"/>
            <w:hideMark/>
          </w:tcPr>
          <w:p w14:paraId="0DD05D40" w14:textId="77777777" w:rsidR="001A24C3" w:rsidRPr="00192473" w:rsidRDefault="001A24C3" w:rsidP="00300963">
            <w:pPr>
              <w:rPr>
                <w:rFonts w:ascii="Calibri" w:eastAsia="Times New Roman" w:hAnsi="Calibri" w:cs="Arial"/>
                <w:sz w:val="16"/>
                <w:szCs w:val="16"/>
                <w:lang w:eastAsia="sk-SK"/>
              </w:rPr>
            </w:pPr>
            <w:r w:rsidRPr="00192473">
              <w:rPr>
                <w:rFonts w:ascii="Calibri" w:eastAsia="Times New Roman" w:hAnsi="Calibri" w:cs="Arial"/>
                <w:sz w:val="16"/>
                <w:szCs w:val="16"/>
                <w:lang w:eastAsia="sk-SK"/>
              </w:rPr>
              <w:t>ENPV  [EUR]</w:t>
            </w:r>
          </w:p>
        </w:tc>
        <w:tc>
          <w:tcPr>
            <w:tcW w:w="0" w:type="auto"/>
            <w:tcBorders>
              <w:top w:val="nil"/>
              <w:left w:val="single" w:sz="8" w:space="0" w:color="auto"/>
              <w:bottom w:val="single" w:sz="8" w:space="0" w:color="auto"/>
              <w:right w:val="single" w:sz="4" w:space="0" w:color="auto"/>
            </w:tcBorders>
            <w:shd w:val="clear" w:color="auto" w:fill="auto"/>
            <w:noWrap/>
            <w:vAlign w:val="center"/>
            <w:hideMark/>
          </w:tcPr>
          <w:p w14:paraId="0D962AA8"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703 086</w:t>
            </w:r>
          </w:p>
        </w:tc>
        <w:tc>
          <w:tcPr>
            <w:tcW w:w="0" w:type="auto"/>
            <w:tcBorders>
              <w:top w:val="nil"/>
              <w:left w:val="nil"/>
              <w:bottom w:val="single" w:sz="8" w:space="0" w:color="auto"/>
              <w:right w:val="single" w:sz="4" w:space="0" w:color="auto"/>
            </w:tcBorders>
            <w:shd w:val="clear" w:color="auto" w:fill="auto"/>
            <w:noWrap/>
            <w:vAlign w:val="center"/>
            <w:hideMark/>
          </w:tcPr>
          <w:p w14:paraId="54EF30AB"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22 934 187</w:t>
            </w:r>
          </w:p>
        </w:tc>
        <w:tc>
          <w:tcPr>
            <w:tcW w:w="0" w:type="auto"/>
            <w:tcBorders>
              <w:top w:val="nil"/>
              <w:left w:val="nil"/>
              <w:bottom w:val="single" w:sz="8" w:space="0" w:color="auto"/>
              <w:right w:val="single" w:sz="8" w:space="0" w:color="auto"/>
            </w:tcBorders>
            <w:shd w:val="clear" w:color="auto" w:fill="auto"/>
            <w:noWrap/>
            <w:vAlign w:val="center"/>
            <w:hideMark/>
          </w:tcPr>
          <w:p w14:paraId="772AEE74" w14:textId="77777777" w:rsidR="001A24C3" w:rsidRPr="00192473" w:rsidRDefault="001A24C3" w:rsidP="00300963">
            <w:pPr>
              <w:jc w:val="center"/>
              <w:rPr>
                <w:rFonts w:ascii="Arial" w:eastAsia="Times New Roman" w:hAnsi="Arial" w:cs="Arial"/>
                <w:sz w:val="16"/>
                <w:szCs w:val="16"/>
                <w:lang w:eastAsia="sk-SK"/>
              </w:rPr>
            </w:pPr>
            <w:r w:rsidRPr="00192473">
              <w:rPr>
                <w:rFonts w:ascii="Arial" w:eastAsia="Times New Roman" w:hAnsi="Arial" w:cs="Arial"/>
                <w:sz w:val="16"/>
                <w:szCs w:val="16"/>
                <w:lang w:eastAsia="sk-SK"/>
              </w:rPr>
              <w:t>56 006 804</w:t>
            </w:r>
          </w:p>
        </w:tc>
      </w:tr>
    </w:tbl>
    <w:p w14:paraId="4A4BAE9D" w14:textId="77777777" w:rsidR="001A24C3" w:rsidRPr="002C30B3" w:rsidRDefault="001A24C3" w:rsidP="001A24C3"/>
    <w:p w14:paraId="54768950" w14:textId="77777777" w:rsidR="001A24C3" w:rsidRPr="004B79AC" w:rsidRDefault="001A24C3" w:rsidP="004B79AC">
      <w:pPr>
        <w:pStyle w:val="Nadpis41"/>
        <w:ind w:left="851" w:hanging="851"/>
        <w:rPr>
          <w:sz w:val="24"/>
          <w:szCs w:val="24"/>
        </w:rPr>
      </w:pPr>
      <w:bookmarkStart w:id="459" w:name="_Toc88653058"/>
      <w:r w:rsidRPr="004B79AC">
        <w:rPr>
          <w:color w:val="auto"/>
          <w:sz w:val="24"/>
          <w:szCs w:val="24"/>
        </w:rPr>
        <w:t>Kvalitatívna riziková analýza</w:t>
      </w:r>
      <w:bookmarkEnd w:id="459"/>
    </w:p>
    <w:p w14:paraId="627E9874" w14:textId="77777777" w:rsidR="001A24C3" w:rsidRPr="002C30B3" w:rsidRDefault="001A24C3" w:rsidP="001A24C3">
      <w:pPr>
        <w:rPr>
          <w:lang w:eastAsia="sk-SK" w:bidi="sk-SK"/>
        </w:rPr>
      </w:pPr>
      <w:r w:rsidRPr="002C30B3">
        <w:rPr>
          <w:lang w:eastAsia="sk-SK" w:bidi="sk-SK"/>
        </w:rPr>
        <w:t>Vzhľadom na to, že nie všetky riziká je možné vyhodnotiť kvantitatívne a vypočítať ich, existujú aj riziká, ktoré je potrebné iba slovne zadefinovať (popísať ich) a vyhodnotiť ich tak, že sa popíšu kroky, ktoré je potrebné zabezpečiť, aby došlo k minimalizácií ich naplnenia. V nižšie uvedenej tabuľke sú tieto kvalitatívne riziká popísané.</w:t>
      </w:r>
    </w:p>
    <w:p w14:paraId="2DAB848A" w14:textId="77777777" w:rsidR="001A24C3" w:rsidRPr="002C30B3" w:rsidRDefault="001A24C3" w:rsidP="001A24C3">
      <w:pPr>
        <w:rPr>
          <w:lang w:eastAsia="sk-SK" w:bidi="sk-SK"/>
        </w:rPr>
      </w:pPr>
    </w:p>
    <w:p w14:paraId="28087947" w14:textId="77777777" w:rsidR="001A24C3" w:rsidRPr="002C30B3" w:rsidRDefault="001A24C3" w:rsidP="001A24C3">
      <w:pPr>
        <w:rPr>
          <w:lang w:eastAsia="sk-SK" w:bidi="sk-SK"/>
        </w:rPr>
        <w:sectPr w:rsidR="001A24C3" w:rsidRPr="002C30B3" w:rsidSect="00DE3EA4">
          <w:pgSz w:w="11906" w:h="16838"/>
          <w:pgMar w:top="1418" w:right="1418" w:bottom="1418" w:left="1418" w:header="794" w:footer="624" w:gutter="0"/>
          <w:cols w:space="708"/>
          <w:formProt w:val="0"/>
          <w:titlePg/>
          <w:docGrid w:linePitch="360" w:charSpace="4096"/>
        </w:sectPr>
      </w:pPr>
    </w:p>
    <w:p w14:paraId="682155C8" w14:textId="4B541683" w:rsidR="001A24C3" w:rsidRPr="002C30B3" w:rsidRDefault="001A24C3" w:rsidP="004B79AC">
      <w:pPr>
        <w:pStyle w:val="Popis"/>
        <w:jc w:val="both"/>
      </w:pPr>
      <w:bookmarkStart w:id="460" w:name="_Toc83677985"/>
      <w:r w:rsidRPr="002C30B3">
        <w:lastRenderedPageBreak/>
        <w:t xml:space="preserve">Tabuľka </w:t>
      </w:r>
      <w:r w:rsidR="00DC515F">
        <w:rPr>
          <w:noProof/>
        </w:rPr>
        <w:t>112</w:t>
      </w:r>
      <w:r w:rsidRPr="002C30B3">
        <w:tab/>
        <w:t>Kvalitatívna analýza rizík</w:t>
      </w:r>
      <w:bookmarkEnd w:id="460"/>
    </w:p>
    <w:tbl>
      <w:tblPr>
        <w:tblW w:w="0" w:type="auto"/>
        <w:tblCellMar>
          <w:left w:w="70" w:type="dxa"/>
          <w:right w:w="70" w:type="dxa"/>
        </w:tblCellMar>
        <w:tblLook w:val="04A0" w:firstRow="1" w:lastRow="0" w:firstColumn="1" w:lastColumn="0" w:noHBand="0" w:noVBand="1"/>
      </w:tblPr>
      <w:tblGrid>
        <w:gridCol w:w="1966"/>
        <w:gridCol w:w="1029"/>
        <w:gridCol w:w="1682"/>
        <w:gridCol w:w="1854"/>
        <w:gridCol w:w="2063"/>
        <w:gridCol w:w="1176"/>
        <w:gridCol w:w="789"/>
        <w:gridCol w:w="607"/>
        <w:gridCol w:w="2022"/>
        <w:gridCol w:w="794"/>
      </w:tblGrid>
      <w:tr w:rsidR="001A24C3" w:rsidRPr="00192473" w14:paraId="571BD9E4" w14:textId="77777777" w:rsidTr="00300963">
        <w:trPr>
          <w:trHeight w:val="570"/>
        </w:trPr>
        <w:tc>
          <w:tcPr>
            <w:tcW w:w="0" w:type="auto"/>
            <w:vMerge w:val="restart"/>
            <w:tcBorders>
              <w:top w:val="single" w:sz="8" w:space="0" w:color="auto"/>
              <w:left w:val="single" w:sz="8" w:space="0" w:color="auto"/>
              <w:bottom w:val="single" w:sz="4" w:space="0" w:color="auto"/>
              <w:right w:val="single" w:sz="4" w:space="0" w:color="auto"/>
            </w:tcBorders>
            <w:shd w:val="clear" w:color="000000" w:fill="00B0F0"/>
            <w:vAlign w:val="center"/>
            <w:hideMark/>
          </w:tcPr>
          <w:p w14:paraId="61E4D450"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Nepriaznivá údalosť</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22B1E82A"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Ovplyvnená kritická premenná</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1E246AB4"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Príčina nepriaznivej udalosti</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761E2DE4"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Vplyv na projekt</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7ED36DFF"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Dopad na cash-flow</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102FDEAE"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Pravdepodobnosť výskytu</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177E6340"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Závažnosť vplyvu</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66B23DE7"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Úroveň rizika</w:t>
            </w:r>
          </w:p>
        </w:tc>
        <w:tc>
          <w:tcPr>
            <w:tcW w:w="0" w:type="auto"/>
            <w:vMerge w:val="restart"/>
            <w:tcBorders>
              <w:top w:val="single" w:sz="8" w:space="0" w:color="auto"/>
              <w:left w:val="single" w:sz="4" w:space="0" w:color="auto"/>
              <w:bottom w:val="single" w:sz="4" w:space="0" w:color="auto"/>
              <w:right w:val="single" w:sz="4" w:space="0" w:color="auto"/>
            </w:tcBorders>
            <w:shd w:val="clear" w:color="000000" w:fill="00B0F0"/>
            <w:vAlign w:val="center"/>
            <w:hideMark/>
          </w:tcPr>
          <w:p w14:paraId="5EFDB4D6"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Preventívne alebo zmierňujúce opatrenie</w:t>
            </w:r>
          </w:p>
        </w:tc>
        <w:tc>
          <w:tcPr>
            <w:tcW w:w="0" w:type="auto"/>
            <w:vMerge w:val="restart"/>
            <w:tcBorders>
              <w:top w:val="single" w:sz="8" w:space="0" w:color="auto"/>
              <w:left w:val="single" w:sz="4" w:space="0" w:color="auto"/>
              <w:bottom w:val="single" w:sz="4" w:space="0" w:color="auto"/>
              <w:right w:val="single" w:sz="8" w:space="0" w:color="auto"/>
            </w:tcBorders>
            <w:shd w:val="clear" w:color="000000" w:fill="00B0F0"/>
            <w:vAlign w:val="center"/>
            <w:hideMark/>
          </w:tcPr>
          <w:p w14:paraId="460F617D" w14:textId="77777777" w:rsidR="001A24C3" w:rsidRPr="00192473" w:rsidRDefault="001A24C3" w:rsidP="00300963">
            <w:pPr>
              <w:jc w:val="center"/>
              <w:rPr>
                <w:rFonts w:ascii="Times New Roman" w:eastAsia="Times New Roman" w:hAnsi="Times New Roman" w:cs="Times New Roman"/>
                <w:b/>
                <w:bCs/>
                <w:color w:val="FFFFFF"/>
                <w:sz w:val="12"/>
                <w:szCs w:val="12"/>
                <w:lang w:eastAsia="sk-SK"/>
              </w:rPr>
            </w:pPr>
            <w:r w:rsidRPr="00192473">
              <w:rPr>
                <w:rFonts w:ascii="Times New Roman" w:eastAsia="Times New Roman" w:hAnsi="Times New Roman" w:cs="Times New Roman"/>
                <w:b/>
                <w:bCs/>
                <w:color w:val="FFFFFF"/>
                <w:sz w:val="12"/>
                <w:szCs w:val="12"/>
                <w:lang w:eastAsia="sk-SK"/>
              </w:rPr>
              <w:t>Zostatkové riziko</w:t>
            </w:r>
          </w:p>
        </w:tc>
      </w:tr>
      <w:tr w:rsidR="001A24C3" w:rsidRPr="00192473" w14:paraId="215FB455" w14:textId="77777777" w:rsidTr="00300963">
        <w:trPr>
          <w:trHeight w:val="537"/>
        </w:trPr>
        <w:tc>
          <w:tcPr>
            <w:tcW w:w="0" w:type="auto"/>
            <w:vMerge/>
            <w:tcBorders>
              <w:top w:val="single" w:sz="8" w:space="0" w:color="auto"/>
              <w:left w:val="single" w:sz="8" w:space="0" w:color="auto"/>
              <w:bottom w:val="single" w:sz="4" w:space="0" w:color="auto"/>
              <w:right w:val="single" w:sz="4" w:space="0" w:color="auto"/>
            </w:tcBorders>
            <w:vAlign w:val="center"/>
            <w:hideMark/>
          </w:tcPr>
          <w:p w14:paraId="6282E5BB"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2B411F8"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1224B88"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BB88495"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70C342B5"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0DE32041"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5D5912E3"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3D366DED"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4" w:space="0" w:color="auto"/>
            </w:tcBorders>
            <w:vAlign w:val="center"/>
            <w:hideMark/>
          </w:tcPr>
          <w:p w14:paraId="6C23E04E"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c>
          <w:tcPr>
            <w:tcW w:w="0" w:type="auto"/>
            <w:vMerge/>
            <w:tcBorders>
              <w:top w:val="single" w:sz="8" w:space="0" w:color="auto"/>
              <w:left w:val="single" w:sz="4" w:space="0" w:color="auto"/>
              <w:bottom w:val="single" w:sz="4" w:space="0" w:color="auto"/>
              <w:right w:val="single" w:sz="8" w:space="0" w:color="auto"/>
            </w:tcBorders>
            <w:vAlign w:val="center"/>
            <w:hideMark/>
          </w:tcPr>
          <w:p w14:paraId="37610DEB" w14:textId="77777777" w:rsidR="001A24C3" w:rsidRPr="00192473" w:rsidRDefault="001A24C3" w:rsidP="00300963">
            <w:pPr>
              <w:rPr>
                <w:rFonts w:ascii="Times New Roman" w:eastAsia="Times New Roman" w:hAnsi="Times New Roman" w:cs="Times New Roman"/>
                <w:b/>
                <w:bCs/>
                <w:color w:val="FFFFFF"/>
                <w:sz w:val="12"/>
                <w:szCs w:val="12"/>
                <w:lang w:eastAsia="sk-SK"/>
              </w:rPr>
            </w:pPr>
          </w:p>
        </w:tc>
      </w:tr>
      <w:tr w:rsidR="001A24C3" w:rsidRPr="00192473" w14:paraId="664D6732" w14:textId="77777777" w:rsidTr="00300963">
        <w:trPr>
          <w:trHeight w:val="348"/>
        </w:trPr>
        <w:tc>
          <w:tcPr>
            <w:tcW w:w="0" w:type="auto"/>
            <w:gridSpan w:val="10"/>
            <w:tcBorders>
              <w:top w:val="single" w:sz="8" w:space="0" w:color="auto"/>
              <w:left w:val="single" w:sz="8" w:space="0" w:color="auto"/>
              <w:bottom w:val="single" w:sz="4" w:space="0" w:color="auto"/>
              <w:right w:val="single" w:sz="8" w:space="0" w:color="000000"/>
            </w:tcBorders>
            <w:shd w:val="clear" w:color="000000" w:fill="A6A6A6"/>
            <w:vAlign w:val="center"/>
            <w:hideMark/>
          </w:tcPr>
          <w:p w14:paraId="6F95F10D" w14:textId="77777777" w:rsidR="001A24C3" w:rsidRPr="00192473" w:rsidRDefault="001A24C3" w:rsidP="00300963">
            <w:pPr>
              <w:jc w:val="center"/>
              <w:rPr>
                <w:rFonts w:ascii="Times New Roman" w:eastAsia="Times New Roman" w:hAnsi="Times New Roman" w:cs="Times New Roman"/>
                <w:b/>
                <w:bCs/>
                <w:sz w:val="12"/>
                <w:szCs w:val="12"/>
                <w:lang w:eastAsia="sk-SK"/>
              </w:rPr>
            </w:pPr>
            <w:r w:rsidRPr="00192473">
              <w:rPr>
                <w:rFonts w:ascii="Times New Roman" w:eastAsia="Times New Roman" w:hAnsi="Times New Roman" w:cs="Times New Roman"/>
                <w:b/>
                <w:bCs/>
                <w:sz w:val="12"/>
                <w:szCs w:val="12"/>
                <w:lang w:eastAsia="sk-SK"/>
              </w:rPr>
              <w:t>Analýza dopytu</w:t>
            </w:r>
          </w:p>
        </w:tc>
      </w:tr>
      <w:tr w:rsidR="001A24C3" w:rsidRPr="00192473" w14:paraId="4BF460D1" w14:textId="77777777" w:rsidTr="00300963">
        <w:trPr>
          <w:trHeight w:val="718"/>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427CE38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Zníženie úspory času v železničnej nákladnej doprave</w:t>
            </w:r>
          </w:p>
        </w:tc>
        <w:tc>
          <w:tcPr>
            <w:tcW w:w="0" w:type="auto"/>
            <w:tcBorders>
              <w:top w:val="nil"/>
              <w:left w:val="nil"/>
              <w:bottom w:val="single" w:sz="4" w:space="0" w:color="auto"/>
              <w:right w:val="single" w:sz="4" w:space="0" w:color="auto"/>
            </w:tcBorders>
            <w:shd w:val="clear" w:color="auto" w:fill="auto"/>
            <w:vAlign w:val="center"/>
            <w:hideMark/>
          </w:tcPr>
          <w:p w14:paraId="4C3156E8"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Čas tovaru</w:t>
            </w:r>
          </w:p>
        </w:tc>
        <w:tc>
          <w:tcPr>
            <w:tcW w:w="0" w:type="auto"/>
            <w:tcBorders>
              <w:top w:val="nil"/>
              <w:left w:val="nil"/>
              <w:bottom w:val="single" w:sz="4" w:space="0" w:color="auto"/>
              <w:right w:val="single" w:sz="4" w:space="0" w:color="auto"/>
            </w:tcBorders>
            <w:shd w:val="clear" w:color="auto" w:fill="auto"/>
            <w:vAlign w:val="center"/>
            <w:hideMark/>
          </w:tcPr>
          <w:p w14:paraId="1BDFEA3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Nepresný výpočet úspory času vygenerovanej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7828CA9E"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Zníženie  hodnoty socio-ekonomických  benefitov  vygenerovaných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4FF207A8"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Zhoršenie socio-ekonomických ukazovateľov projektu</w:t>
            </w:r>
          </w:p>
        </w:tc>
        <w:tc>
          <w:tcPr>
            <w:tcW w:w="0" w:type="auto"/>
            <w:tcBorders>
              <w:top w:val="nil"/>
              <w:left w:val="nil"/>
              <w:bottom w:val="single" w:sz="4" w:space="0" w:color="auto"/>
              <w:right w:val="single" w:sz="4" w:space="0" w:color="auto"/>
            </w:tcBorders>
            <w:shd w:val="clear" w:color="auto" w:fill="auto"/>
            <w:vAlign w:val="center"/>
            <w:hideMark/>
          </w:tcPr>
          <w:p w14:paraId="131CA667"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4D28863F"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26B30E02"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3E2D2484"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Pri odhadoch vychádzať z čo najpresnejsích podkladov, prieskumov</w:t>
            </w:r>
          </w:p>
        </w:tc>
        <w:tc>
          <w:tcPr>
            <w:tcW w:w="0" w:type="auto"/>
            <w:tcBorders>
              <w:top w:val="nil"/>
              <w:left w:val="nil"/>
              <w:bottom w:val="single" w:sz="4" w:space="0" w:color="auto"/>
              <w:right w:val="single" w:sz="8" w:space="0" w:color="auto"/>
            </w:tcBorders>
            <w:shd w:val="clear" w:color="000000" w:fill="FFFF00"/>
            <w:vAlign w:val="center"/>
            <w:hideMark/>
          </w:tcPr>
          <w:p w14:paraId="64DEA1DC"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Stredná</w:t>
            </w:r>
          </w:p>
        </w:tc>
      </w:tr>
      <w:tr w:rsidR="001A24C3" w:rsidRPr="00192473" w14:paraId="699C1797" w14:textId="77777777" w:rsidTr="00300963">
        <w:trPr>
          <w:trHeight w:val="1126"/>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9332157"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Zniženie realizovaných vlkm a množstva prepraveného tovaru v rámci železničnej nákladnej dopravy</w:t>
            </w:r>
          </w:p>
        </w:tc>
        <w:tc>
          <w:tcPr>
            <w:tcW w:w="0" w:type="auto"/>
            <w:tcBorders>
              <w:top w:val="nil"/>
              <w:left w:val="nil"/>
              <w:bottom w:val="single" w:sz="4" w:space="0" w:color="auto"/>
              <w:right w:val="single" w:sz="4" w:space="0" w:color="auto"/>
            </w:tcBorders>
            <w:shd w:val="clear" w:color="auto" w:fill="auto"/>
            <w:vAlign w:val="center"/>
            <w:hideMark/>
          </w:tcPr>
          <w:p w14:paraId="39930AA1"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Čas tovaru</w:t>
            </w:r>
            <w:r w:rsidRPr="00192473">
              <w:rPr>
                <w:rFonts w:ascii="Times New Roman" w:eastAsia="Times New Roman" w:hAnsi="Times New Roman" w:cs="Times New Roman"/>
                <w:sz w:val="12"/>
                <w:szCs w:val="12"/>
                <w:lang w:eastAsia="sk-SK"/>
              </w:rPr>
              <w:br/>
              <w:t>Prevádzkové náklady vozidiel</w:t>
            </w:r>
            <w:r w:rsidRPr="00192473">
              <w:rPr>
                <w:rFonts w:ascii="Times New Roman" w:eastAsia="Times New Roman" w:hAnsi="Times New Roman" w:cs="Times New Roman"/>
                <w:sz w:val="12"/>
                <w:szCs w:val="12"/>
                <w:lang w:eastAsia="sk-SK"/>
              </w:rPr>
              <w:br/>
              <w:t>Znečisťujúce látky</w:t>
            </w:r>
            <w:r w:rsidRPr="00192473">
              <w:rPr>
                <w:rFonts w:ascii="Times New Roman" w:eastAsia="Times New Roman" w:hAnsi="Times New Roman" w:cs="Times New Roman"/>
                <w:sz w:val="12"/>
                <w:szCs w:val="12"/>
                <w:lang w:eastAsia="sk-SK"/>
              </w:rPr>
              <w:br/>
              <w:t>Skleníkové plyny</w:t>
            </w:r>
            <w:r w:rsidRPr="00192473">
              <w:rPr>
                <w:rFonts w:ascii="Times New Roman" w:eastAsia="Times New Roman" w:hAnsi="Times New Roman" w:cs="Times New Roman"/>
                <w:sz w:val="12"/>
                <w:szCs w:val="12"/>
                <w:lang w:eastAsia="sk-SK"/>
              </w:rPr>
              <w:br/>
              <w:t>Hluk</w:t>
            </w:r>
          </w:p>
        </w:tc>
        <w:tc>
          <w:tcPr>
            <w:tcW w:w="0" w:type="auto"/>
            <w:tcBorders>
              <w:top w:val="nil"/>
              <w:left w:val="nil"/>
              <w:bottom w:val="single" w:sz="4" w:space="0" w:color="auto"/>
              <w:right w:val="single" w:sz="4" w:space="0" w:color="auto"/>
            </w:tcBorders>
            <w:shd w:val="clear" w:color="auto" w:fill="auto"/>
            <w:vAlign w:val="center"/>
            <w:hideMark/>
          </w:tcPr>
          <w:p w14:paraId="590B9E6D"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Zníženie dopyt po železničnej nákladnej doprave</w:t>
            </w:r>
            <w:r w:rsidRPr="00192473">
              <w:rPr>
                <w:rFonts w:ascii="Times New Roman" w:eastAsia="Times New Roman" w:hAnsi="Times New Roman" w:cs="Times New Roman"/>
                <w:sz w:val="12"/>
                <w:szCs w:val="12"/>
                <w:lang w:eastAsia="sk-SK"/>
              </w:rPr>
              <w:br/>
              <w:t>Nepresný odhad prepraveného množstva tovarov</w:t>
            </w:r>
          </w:p>
        </w:tc>
        <w:tc>
          <w:tcPr>
            <w:tcW w:w="0" w:type="auto"/>
            <w:tcBorders>
              <w:top w:val="nil"/>
              <w:left w:val="nil"/>
              <w:bottom w:val="single" w:sz="4" w:space="0" w:color="auto"/>
              <w:right w:val="single" w:sz="4" w:space="0" w:color="auto"/>
            </w:tcBorders>
            <w:shd w:val="clear" w:color="auto" w:fill="auto"/>
            <w:vAlign w:val="center"/>
            <w:hideMark/>
          </w:tcPr>
          <w:p w14:paraId="2DC99091"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Zníženie  hodnoty socio-ekonomických  benefitov  vygenerovaných realizáciou  projektu</w:t>
            </w:r>
          </w:p>
        </w:tc>
        <w:tc>
          <w:tcPr>
            <w:tcW w:w="0" w:type="auto"/>
            <w:tcBorders>
              <w:top w:val="nil"/>
              <w:left w:val="nil"/>
              <w:bottom w:val="single" w:sz="4" w:space="0" w:color="auto"/>
              <w:right w:val="single" w:sz="4" w:space="0" w:color="auto"/>
            </w:tcBorders>
            <w:shd w:val="clear" w:color="auto" w:fill="auto"/>
            <w:vAlign w:val="center"/>
            <w:hideMark/>
          </w:tcPr>
          <w:p w14:paraId="28BBE3C4"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Zhoršenie socio-ekonomických ukazovateľov projektu</w:t>
            </w:r>
          </w:p>
        </w:tc>
        <w:tc>
          <w:tcPr>
            <w:tcW w:w="0" w:type="auto"/>
            <w:tcBorders>
              <w:top w:val="nil"/>
              <w:left w:val="nil"/>
              <w:bottom w:val="single" w:sz="4" w:space="0" w:color="auto"/>
              <w:right w:val="single" w:sz="4" w:space="0" w:color="auto"/>
            </w:tcBorders>
            <w:shd w:val="clear" w:color="auto" w:fill="auto"/>
            <w:vAlign w:val="center"/>
            <w:hideMark/>
          </w:tcPr>
          <w:p w14:paraId="4B1DAEEB"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B</w:t>
            </w:r>
          </w:p>
        </w:tc>
        <w:tc>
          <w:tcPr>
            <w:tcW w:w="0" w:type="auto"/>
            <w:tcBorders>
              <w:top w:val="nil"/>
              <w:left w:val="nil"/>
              <w:bottom w:val="single" w:sz="4" w:space="0" w:color="auto"/>
              <w:right w:val="single" w:sz="4" w:space="0" w:color="auto"/>
            </w:tcBorders>
            <w:shd w:val="clear" w:color="auto" w:fill="auto"/>
            <w:vAlign w:val="center"/>
            <w:hideMark/>
          </w:tcPr>
          <w:p w14:paraId="4CCC499B"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5430B02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6AE290C5"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Konzervatívny odhad priemernej prepravnej vzdialenosti</w:t>
            </w:r>
            <w:r w:rsidRPr="00192473">
              <w:rPr>
                <w:rFonts w:ascii="Times New Roman" w:eastAsia="Times New Roman" w:hAnsi="Times New Roman" w:cs="Times New Roman"/>
                <w:sz w:val="12"/>
                <w:szCs w:val="12"/>
                <w:lang w:eastAsia="sk-SK"/>
              </w:rPr>
              <w:br/>
              <w:t>Pri odhadoch vychádzať z čo najpresnejsích podkladov, prieskumov</w:t>
            </w:r>
          </w:p>
        </w:tc>
        <w:tc>
          <w:tcPr>
            <w:tcW w:w="0" w:type="auto"/>
            <w:tcBorders>
              <w:top w:val="nil"/>
              <w:left w:val="nil"/>
              <w:bottom w:val="single" w:sz="4" w:space="0" w:color="auto"/>
              <w:right w:val="single" w:sz="8" w:space="0" w:color="auto"/>
            </w:tcBorders>
            <w:shd w:val="clear" w:color="000000" w:fill="92D050"/>
            <w:vAlign w:val="center"/>
            <w:hideMark/>
          </w:tcPr>
          <w:p w14:paraId="10D8D62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Nízke</w:t>
            </w:r>
          </w:p>
        </w:tc>
      </w:tr>
      <w:tr w:rsidR="001A24C3" w:rsidRPr="00192473" w14:paraId="0F47E177"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2441E701" w14:textId="77777777" w:rsidR="001A24C3" w:rsidRPr="00192473" w:rsidRDefault="001A24C3" w:rsidP="00300963">
            <w:pPr>
              <w:jc w:val="center"/>
              <w:rPr>
                <w:rFonts w:ascii="Times New Roman" w:eastAsia="Times New Roman" w:hAnsi="Times New Roman" w:cs="Times New Roman"/>
                <w:b/>
                <w:bCs/>
                <w:sz w:val="12"/>
                <w:szCs w:val="12"/>
                <w:lang w:eastAsia="sk-SK"/>
              </w:rPr>
            </w:pPr>
            <w:r w:rsidRPr="00192473">
              <w:rPr>
                <w:rFonts w:ascii="Times New Roman" w:eastAsia="Times New Roman" w:hAnsi="Times New Roman" w:cs="Times New Roman"/>
                <w:b/>
                <w:bCs/>
                <w:sz w:val="12"/>
                <w:szCs w:val="12"/>
                <w:lang w:eastAsia="sk-SK"/>
              </w:rPr>
              <w:t>Verejné obstarávanie</w:t>
            </w:r>
          </w:p>
        </w:tc>
      </w:tr>
      <w:tr w:rsidR="001A24C3" w:rsidRPr="00192473" w14:paraId="377C9C7E" w14:textId="77777777" w:rsidTr="00300963">
        <w:trPr>
          <w:trHeight w:val="892"/>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53A14C60"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Zdržanie v procese verejného obstarávania</w:t>
            </w:r>
          </w:p>
        </w:tc>
        <w:tc>
          <w:tcPr>
            <w:tcW w:w="0" w:type="auto"/>
            <w:tcBorders>
              <w:top w:val="nil"/>
              <w:left w:val="nil"/>
              <w:bottom w:val="single" w:sz="4" w:space="0" w:color="auto"/>
              <w:right w:val="single" w:sz="4" w:space="0" w:color="auto"/>
            </w:tcBorders>
            <w:shd w:val="clear" w:color="auto" w:fill="auto"/>
            <w:vAlign w:val="center"/>
            <w:hideMark/>
          </w:tcPr>
          <w:p w14:paraId="6DFBD6EA"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 xml:space="preserve">Všetky premenné </w:t>
            </w:r>
          </w:p>
        </w:tc>
        <w:tc>
          <w:tcPr>
            <w:tcW w:w="0" w:type="auto"/>
            <w:tcBorders>
              <w:top w:val="nil"/>
              <w:left w:val="nil"/>
              <w:bottom w:val="single" w:sz="4" w:space="0" w:color="auto"/>
              <w:right w:val="single" w:sz="4" w:space="0" w:color="auto"/>
            </w:tcBorders>
            <w:shd w:val="clear" w:color="auto" w:fill="auto"/>
            <w:vAlign w:val="center"/>
            <w:hideMark/>
          </w:tcPr>
          <w:p w14:paraId="7170B941"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 xml:space="preserve">Vyhlásenie verejného obstarávania v neskoršom termíne ako bolo plánované, </w:t>
            </w:r>
            <w:r w:rsidRPr="00192473">
              <w:rPr>
                <w:rFonts w:ascii="Times New Roman" w:eastAsia="Times New Roman" w:hAnsi="Times New Roman" w:cs="Times New Roman"/>
                <w:sz w:val="12"/>
                <w:szCs w:val="12"/>
                <w:lang w:eastAsia="sk-SK"/>
              </w:rPr>
              <w:br/>
              <w:t>Riešenie námietok účastníkov verejného obstarávania</w:t>
            </w:r>
          </w:p>
        </w:tc>
        <w:tc>
          <w:tcPr>
            <w:tcW w:w="0" w:type="auto"/>
            <w:tcBorders>
              <w:top w:val="nil"/>
              <w:left w:val="nil"/>
              <w:bottom w:val="single" w:sz="4" w:space="0" w:color="auto"/>
              <w:right w:val="single" w:sz="4" w:space="0" w:color="auto"/>
            </w:tcBorders>
            <w:shd w:val="clear" w:color="auto" w:fill="auto"/>
            <w:vAlign w:val="center"/>
            <w:hideMark/>
          </w:tcPr>
          <w:p w14:paraId="0C7FE25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 xml:space="preserve">Oneskorenie začiatku a konca realizácie projektu </w:t>
            </w:r>
          </w:p>
        </w:tc>
        <w:tc>
          <w:tcPr>
            <w:tcW w:w="0" w:type="auto"/>
            <w:tcBorders>
              <w:top w:val="nil"/>
              <w:left w:val="nil"/>
              <w:bottom w:val="single" w:sz="4" w:space="0" w:color="auto"/>
              <w:right w:val="single" w:sz="4" w:space="0" w:color="auto"/>
            </w:tcBorders>
            <w:shd w:val="clear" w:color="auto" w:fill="auto"/>
            <w:vAlign w:val="center"/>
            <w:hideMark/>
          </w:tcPr>
          <w:p w14:paraId="211AAA20"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V prípade výrazného zdržania pri procesoch VO hrozí neskorší nábeh socio-ekonomických benefitov projektu.</w:t>
            </w:r>
          </w:p>
        </w:tc>
        <w:tc>
          <w:tcPr>
            <w:tcW w:w="0" w:type="auto"/>
            <w:tcBorders>
              <w:top w:val="nil"/>
              <w:left w:val="nil"/>
              <w:bottom w:val="single" w:sz="4" w:space="0" w:color="auto"/>
              <w:right w:val="single" w:sz="4" w:space="0" w:color="auto"/>
            </w:tcBorders>
            <w:shd w:val="clear" w:color="auto" w:fill="auto"/>
            <w:vAlign w:val="center"/>
            <w:hideMark/>
          </w:tcPr>
          <w:p w14:paraId="16FD5FE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C</w:t>
            </w:r>
          </w:p>
        </w:tc>
        <w:tc>
          <w:tcPr>
            <w:tcW w:w="0" w:type="auto"/>
            <w:tcBorders>
              <w:top w:val="nil"/>
              <w:left w:val="nil"/>
              <w:bottom w:val="single" w:sz="4" w:space="0" w:color="auto"/>
              <w:right w:val="single" w:sz="4" w:space="0" w:color="auto"/>
            </w:tcBorders>
            <w:shd w:val="clear" w:color="auto" w:fill="auto"/>
            <w:vAlign w:val="center"/>
            <w:hideMark/>
          </w:tcPr>
          <w:p w14:paraId="1154BEF8"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II</w:t>
            </w:r>
          </w:p>
        </w:tc>
        <w:tc>
          <w:tcPr>
            <w:tcW w:w="0" w:type="auto"/>
            <w:tcBorders>
              <w:top w:val="nil"/>
              <w:left w:val="nil"/>
              <w:bottom w:val="single" w:sz="4" w:space="0" w:color="auto"/>
              <w:right w:val="single" w:sz="4" w:space="0" w:color="auto"/>
            </w:tcBorders>
            <w:shd w:val="clear" w:color="000000" w:fill="FFFF00"/>
            <w:vAlign w:val="center"/>
            <w:hideMark/>
          </w:tcPr>
          <w:p w14:paraId="7B2EDD59"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4FEE9472"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Adekvátna príprava a riadenie procesov verejného obstarávania</w:t>
            </w:r>
          </w:p>
        </w:tc>
        <w:tc>
          <w:tcPr>
            <w:tcW w:w="0" w:type="auto"/>
            <w:tcBorders>
              <w:top w:val="nil"/>
              <w:left w:val="nil"/>
              <w:bottom w:val="single" w:sz="4" w:space="0" w:color="auto"/>
              <w:right w:val="single" w:sz="8" w:space="0" w:color="auto"/>
            </w:tcBorders>
            <w:shd w:val="clear" w:color="000000" w:fill="92D050"/>
            <w:vAlign w:val="center"/>
            <w:hideMark/>
          </w:tcPr>
          <w:p w14:paraId="0EC1AFA9"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Nízke</w:t>
            </w:r>
          </w:p>
        </w:tc>
      </w:tr>
      <w:tr w:rsidR="001A24C3" w:rsidRPr="00192473" w14:paraId="20447A24"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428C6D28" w14:textId="77777777" w:rsidR="001A24C3" w:rsidRPr="00192473" w:rsidRDefault="001A24C3" w:rsidP="00300963">
            <w:pPr>
              <w:jc w:val="center"/>
              <w:rPr>
                <w:rFonts w:ascii="Times New Roman" w:eastAsia="Times New Roman" w:hAnsi="Times New Roman" w:cs="Times New Roman"/>
                <w:b/>
                <w:bCs/>
                <w:sz w:val="12"/>
                <w:szCs w:val="12"/>
                <w:lang w:eastAsia="sk-SK"/>
              </w:rPr>
            </w:pPr>
            <w:r w:rsidRPr="00192473">
              <w:rPr>
                <w:rFonts w:ascii="Times New Roman" w:eastAsia="Times New Roman" w:hAnsi="Times New Roman" w:cs="Times New Roman"/>
                <w:b/>
                <w:bCs/>
                <w:sz w:val="12"/>
                <w:szCs w:val="12"/>
                <w:lang w:eastAsia="sk-SK"/>
              </w:rPr>
              <w:t>Realizácia projektu</w:t>
            </w:r>
          </w:p>
        </w:tc>
      </w:tr>
      <w:tr w:rsidR="001A24C3" w:rsidRPr="00192473" w14:paraId="46BE88CC" w14:textId="77777777" w:rsidTr="00300963">
        <w:trPr>
          <w:trHeight w:val="914"/>
        </w:trPr>
        <w:tc>
          <w:tcPr>
            <w:tcW w:w="0" w:type="auto"/>
            <w:tcBorders>
              <w:top w:val="nil"/>
              <w:left w:val="single" w:sz="8" w:space="0" w:color="auto"/>
              <w:bottom w:val="single" w:sz="4" w:space="0" w:color="auto"/>
              <w:right w:val="single" w:sz="4" w:space="0" w:color="auto"/>
            </w:tcBorders>
            <w:shd w:val="clear" w:color="auto" w:fill="auto"/>
            <w:vAlign w:val="center"/>
            <w:hideMark/>
          </w:tcPr>
          <w:p w14:paraId="7E0E6C0D"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Nedodržanie rozpočtu projektu</w:t>
            </w:r>
          </w:p>
        </w:tc>
        <w:tc>
          <w:tcPr>
            <w:tcW w:w="0" w:type="auto"/>
            <w:tcBorders>
              <w:top w:val="nil"/>
              <w:left w:val="nil"/>
              <w:bottom w:val="single" w:sz="4" w:space="0" w:color="auto"/>
              <w:right w:val="single" w:sz="4" w:space="0" w:color="auto"/>
            </w:tcBorders>
            <w:shd w:val="clear" w:color="auto" w:fill="auto"/>
            <w:vAlign w:val="center"/>
            <w:hideMark/>
          </w:tcPr>
          <w:p w14:paraId="0A5418AD"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Investičné výdavky</w:t>
            </w:r>
          </w:p>
        </w:tc>
        <w:tc>
          <w:tcPr>
            <w:tcW w:w="0" w:type="auto"/>
            <w:tcBorders>
              <w:top w:val="nil"/>
              <w:left w:val="nil"/>
              <w:bottom w:val="single" w:sz="4" w:space="0" w:color="auto"/>
              <w:right w:val="single" w:sz="4" w:space="0" w:color="auto"/>
            </w:tcBorders>
            <w:shd w:val="clear" w:color="auto" w:fill="auto"/>
            <w:vAlign w:val="center"/>
            <w:hideMark/>
          </w:tcPr>
          <w:p w14:paraId="57435254"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Vyššie náklady na realizáciu stavby ako sa predpokladalo pred vyhlásením VO</w:t>
            </w:r>
          </w:p>
        </w:tc>
        <w:tc>
          <w:tcPr>
            <w:tcW w:w="0" w:type="auto"/>
            <w:tcBorders>
              <w:top w:val="nil"/>
              <w:left w:val="nil"/>
              <w:bottom w:val="single" w:sz="4" w:space="0" w:color="auto"/>
              <w:right w:val="single" w:sz="4" w:space="0" w:color="auto"/>
            </w:tcBorders>
            <w:shd w:val="clear" w:color="auto" w:fill="auto"/>
            <w:vAlign w:val="center"/>
            <w:hideMark/>
          </w:tcPr>
          <w:p w14:paraId="4CBA442B"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Investičné náklady vyššie ako odhadované</w:t>
            </w:r>
          </w:p>
        </w:tc>
        <w:tc>
          <w:tcPr>
            <w:tcW w:w="0" w:type="auto"/>
            <w:tcBorders>
              <w:top w:val="nil"/>
              <w:left w:val="nil"/>
              <w:bottom w:val="single" w:sz="4" w:space="0" w:color="auto"/>
              <w:right w:val="single" w:sz="4" w:space="0" w:color="auto"/>
            </w:tcBorders>
            <w:shd w:val="clear" w:color="auto" w:fill="auto"/>
            <w:vAlign w:val="center"/>
            <w:hideMark/>
          </w:tcPr>
          <w:p w14:paraId="20D615CA"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Vyššie investičné výdavky potrebné na realizáciu projektu</w:t>
            </w:r>
          </w:p>
        </w:tc>
        <w:tc>
          <w:tcPr>
            <w:tcW w:w="0" w:type="auto"/>
            <w:tcBorders>
              <w:top w:val="nil"/>
              <w:left w:val="nil"/>
              <w:bottom w:val="single" w:sz="4" w:space="0" w:color="auto"/>
              <w:right w:val="single" w:sz="4" w:space="0" w:color="auto"/>
            </w:tcBorders>
            <w:shd w:val="clear" w:color="auto" w:fill="auto"/>
            <w:vAlign w:val="center"/>
            <w:hideMark/>
          </w:tcPr>
          <w:p w14:paraId="500EBD00"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B</w:t>
            </w:r>
          </w:p>
        </w:tc>
        <w:tc>
          <w:tcPr>
            <w:tcW w:w="0" w:type="auto"/>
            <w:tcBorders>
              <w:top w:val="nil"/>
              <w:left w:val="nil"/>
              <w:bottom w:val="single" w:sz="4" w:space="0" w:color="auto"/>
              <w:right w:val="single" w:sz="4" w:space="0" w:color="auto"/>
            </w:tcBorders>
            <w:shd w:val="clear" w:color="auto" w:fill="auto"/>
            <w:vAlign w:val="center"/>
            <w:hideMark/>
          </w:tcPr>
          <w:p w14:paraId="607581F0"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III</w:t>
            </w:r>
          </w:p>
        </w:tc>
        <w:tc>
          <w:tcPr>
            <w:tcW w:w="0" w:type="auto"/>
            <w:tcBorders>
              <w:top w:val="nil"/>
              <w:left w:val="nil"/>
              <w:bottom w:val="single" w:sz="4" w:space="0" w:color="auto"/>
              <w:right w:val="single" w:sz="4" w:space="0" w:color="auto"/>
            </w:tcBorders>
            <w:shd w:val="clear" w:color="000000" w:fill="FFFF00"/>
            <w:vAlign w:val="center"/>
            <w:hideMark/>
          </w:tcPr>
          <w:p w14:paraId="1706C555"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Stredná</w:t>
            </w:r>
          </w:p>
        </w:tc>
        <w:tc>
          <w:tcPr>
            <w:tcW w:w="0" w:type="auto"/>
            <w:tcBorders>
              <w:top w:val="nil"/>
              <w:left w:val="nil"/>
              <w:bottom w:val="single" w:sz="4" w:space="0" w:color="auto"/>
              <w:right w:val="single" w:sz="4" w:space="0" w:color="auto"/>
            </w:tcBorders>
            <w:shd w:val="clear" w:color="auto" w:fill="auto"/>
            <w:vAlign w:val="center"/>
            <w:hideMark/>
          </w:tcPr>
          <w:p w14:paraId="79CD0BFE"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Projektová dokumentácia v čo najdetailnejšom stupni</w:t>
            </w:r>
            <w:r w:rsidRPr="00192473">
              <w:rPr>
                <w:rFonts w:ascii="Times New Roman" w:eastAsia="Times New Roman" w:hAnsi="Times New Roman" w:cs="Times New Roman"/>
                <w:sz w:val="12"/>
                <w:szCs w:val="12"/>
                <w:lang w:eastAsia="sk-SK"/>
              </w:rPr>
              <w:br/>
              <w:t>Prieskum trhu pri príprave PHZ</w:t>
            </w:r>
            <w:r w:rsidRPr="00192473">
              <w:rPr>
                <w:rFonts w:ascii="Times New Roman" w:eastAsia="Times New Roman" w:hAnsi="Times New Roman" w:cs="Times New Roman"/>
                <w:sz w:val="12"/>
                <w:szCs w:val="12"/>
                <w:lang w:eastAsia="sk-SK"/>
              </w:rPr>
              <w:br/>
              <w:t>Kvalitne nastavené zmluvné vzťahy s budúcim  Zhotoviteľom stavebných prác</w:t>
            </w:r>
          </w:p>
        </w:tc>
        <w:tc>
          <w:tcPr>
            <w:tcW w:w="0" w:type="auto"/>
            <w:tcBorders>
              <w:top w:val="nil"/>
              <w:left w:val="nil"/>
              <w:bottom w:val="single" w:sz="4" w:space="0" w:color="auto"/>
              <w:right w:val="single" w:sz="8" w:space="0" w:color="auto"/>
            </w:tcBorders>
            <w:shd w:val="clear" w:color="000000" w:fill="92D050"/>
            <w:vAlign w:val="center"/>
            <w:hideMark/>
          </w:tcPr>
          <w:p w14:paraId="4A51FF5E"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Nízke</w:t>
            </w:r>
          </w:p>
        </w:tc>
      </w:tr>
      <w:tr w:rsidR="001A24C3" w:rsidRPr="00192473" w14:paraId="1A557D64" w14:textId="77777777" w:rsidTr="00300963">
        <w:trPr>
          <w:trHeight w:val="348"/>
        </w:trPr>
        <w:tc>
          <w:tcPr>
            <w:tcW w:w="0" w:type="auto"/>
            <w:gridSpan w:val="10"/>
            <w:tcBorders>
              <w:top w:val="single" w:sz="4" w:space="0" w:color="auto"/>
              <w:left w:val="single" w:sz="8" w:space="0" w:color="auto"/>
              <w:bottom w:val="single" w:sz="4" w:space="0" w:color="auto"/>
              <w:right w:val="single" w:sz="8" w:space="0" w:color="000000"/>
            </w:tcBorders>
            <w:shd w:val="clear" w:color="000000" w:fill="A6A6A6"/>
            <w:vAlign w:val="center"/>
            <w:hideMark/>
          </w:tcPr>
          <w:p w14:paraId="1692D72C" w14:textId="77777777" w:rsidR="001A24C3" w:rsidRPr="00192473" w:rsidRDefault="001A24C3" w:rsidP="00300963">
            <w:pPr>
              <w:jc w:val="center"/>
              <w:rPr>
                <w:rFonts w:ascii="Times New Roman" w:eastAsia="Times New Roman" w:hAnsi="Times New Roman" w:cs="Times New Roman"/>
                <w:b/>
                <w:bCs/>
                <w:sz w:val="12"/>
                <w:szCs w:val="12"/>
                <w:lang w:eastAsia="sk-SK"/>
              </w:rPr>
            </w:pPr>
            <w:r w:rsidRPr="00192473">
              <w:rPr>
                <w:rFonts w:ascii="Times New Roman" w:eastAsia="Times New Roman" w:hAnsi="Times New Roman" w:cs="Times New Roman"/>
                <w:b/>
                <w:bCs/>
                <w:sz w:val="12"/>
                <w:szCs w:val="12"/>
                <w:lang w:eastAsia="sk-SK"/>
              </w:rPr>
              <w:t>Prevádzka</w:t>
            </w:r>
          </w:p>
        </w:tc>
      </w:tr>
      <w:tr w:rsidR="001A24C3" w:rsidRPr="00192473" w14:paraId="7EE0BDEC" w14:textId="77777777" w:rsidTr="00300963">
        <w:trPr>
          <w:trHeight w:val="772"/>
        </w:trPr>
        <w:tc>
          <w:tcPr>
            <w:tcW w:w="0" w:type="auto"/>
            <w:tcBorders>
              <w:top w:val="nil"/>
              <w:left w:val="single" w:sz="8" w:space="0" w:color="auto"/>
              <w:bottom w:val="single" w:sz="8" w:space="0" w:color="auto"/>
              <w:right w:val="single" w:sz="4" w:space="0" w:color="auto"/>
            </w:tcBorders>
            <w:shd w:val="clear" w:color="auto" w:fill="auto"/>
            <w:vAlign w:val="center"/>
            <w:hideMark/>
          </w:tcPr>
          <w:p w14:paraId="5CB826F7"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Úspory prevádzkových výdavkov menšie jako predpokladané</w:t>
            </w:r>
          </w:p>
        </w:tc>
        <w:tc>
          <w:tcPr>
            <w:tcW w:w="0" w:type="auto"/>
            <w:tcBorders>
              <w:top w:val="nil"/>
              <w:left w:val="nil"/>
              <w:bottom w:val="single" w:sz="8" w:space="0" w:color="auto"/>
              <w:right w:val="single" w:sz="4" w:space="0" w:color="auto"/>
            </w:tcBorders>
            <w:shd w:val="clear" w:color="auto" w:fill="auto"/>
            <w:vAlign w:val="center"/>
            <w:hideMark/>
          </w:tcPr>
          <w:p w14:paraId="1FBBB011"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Prevádzkové výdavky</w:t>
            </w:r>
          </w:p>
        </w:tc>
        <w:tc>
          <w:tcPr>
            <w:tcW w:w="0" w:type="auto"/>
            <w:tcBorders>
              <w:top w:val="nil"/>
              <w:left w:val="nil"/>
              <w:bottom w:val="single" w:sz="8" w:space="0" w:color="auto"/>
              <w:right w:val="single" w:sz="4" w:space="0" w:color="auto"/>
            </w:tcBorders>
            <w:shd w:val="clear" w:color="auto" w:fill="auto"/>
            <w:vAlign w:val="center"/>
            <w:hideMark/>
          </w:tcPr>
          <w:p w14:paraId="7E5E49F3"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Nepresne vyčíslené úspory prevádzkových výdavkov projektu</w:t>
            </w:r>
          </w:p>
        </w:tc>
        <w:tc>
          <w:tcPr>
            <w:tcW w:w="0" w:type="auto"/>
            <w:tcBorders>
              <w:top w:val="nil"/>
              <w:left w:val="nil"/>
              <w:bottom w:val="single" w:sz="8" w:space="0" w:color="auto"/>
              <w:right w:val="single" w:sz="4" w:space="0" w:color="auto"/>
            </w:tcBorders>
            <w:shd w:val="clear" w:color="auto" w:fill="auto"/>
            <w:vAlign w:val="center"/>
            <w:hideMark/>
          </w:tcPr>
          <w:p w14:paraId="0247DDF3"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Znížene úspory prevádzkových výdavkov projektu</w:t>
            </w:r>
          </w:p>
        </w:tc>
        <w:tc>
          <w:tcPr>
            <w:tcW w:w="0" w:type="auto"/>
            <w:tcBorders>
              <w:top w:val="nil"/>
              <w:left w:val="nil"/>
              <w:bottom w:val="single" w:sz="8" w:space="0" w:color="auto"/>
              <w:right w:val="single" w:sz="4" w:space="0" w:color="auto"/>
            </w:tcBorders>
            <w:shd w:val="clear" w:color="auto" w:fill="auto"/>
            <w:vAlign w:val="center"/>
            <w:hideMark/>
          </w:tcPr>
          <w:p w14:paraId="1A1A71B2"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br/>
              <w:t>Zhoršenie socio-ekonomických ukazovateľov projektu</w:t>
            </w:r>
          </w:p>
        </w:tc>
        <w:tc>
          <w:tcPr>
            <w:tcW w:w="0" w:type="auto"/>
            <w:tcBorders>
              <w:top w:val="nil"/>
              <w:left w:val="nil"/>
              <w:bottom w:val="single" w:sz="8" w:space="0" w:color="auto"/>
              <w:right w:val="single" w:sz="4" w:space="0" w:color="auto"/>
            </w:tcBorders>
            <w:shd w:val="clear" w:color="auto" w:fill="auto"/>
            <w:vAlign w:val="center"/>
            <w:hideMark/>
          </w:tcPr>
          <w:p w14:paraId="038878E9"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A</w:t>
            </w:r>
          </w:p>
        </w:tc>
        <w:tc>
          <w:tcPr>
            <w:tcW w:w="0" w:type="auto"/>
            <w:tcBorders>
              <w:top w:val="nil"/>
              <w:left w:val="nil"/>
              <w:bottom w:val="single" w:sz="8" w:space="0" w:color="auto"/>
              <w:right w:val="single" w:sz="4" w:space="0" w:color="auto"/>
            </w:tcBorders>
            <w:shd w:val="clear" w:color="auto" w:fill="auto"/>
            <w:vAlign w:val="center"/>
            <w:hideMark/>
          </w:tcPr>
          <w:p w14:paraId="25933273"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III</w:t>
            </w:r>
          </w:p>
        </w:tc>
        <w:tc>
          <w:tcPr>
            <w:tcW w:w="0" w:type="auto"/>
            <w:tcBorders>
              <w:top w:val="nil"/>
              <w:left w:val="nil"/>
              <w:bottom w:val="single" w:sz="8" w:space="0" w:color="auto"/>
              <w:right w:val="single" w:sz="4" w:space="0" w:color="auto"/>
            </w:tcBorders>
            <w:shd w:val="clear" w:color="000000" w:fill="92D050"/>
            <w:vAlign w:val="center"/>
            <w:hideMark/>
          </w:tcPr>
          <w:p w14:paraId="1B033B4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Nízke</w:t>
            </w:r>
          </w:p>
        </w:tc>
        <w:tc>
          <w:tcPr>
            <w:tcW w:w="0" w:type="auto"/>
            <w:tcBorders>
              <w:top w:val="nil"/>
              <w:left w:val="nil"/>
              <w:bottom w:val="single" w:sz="8" w:space="0" w:color="auto"/>
              <w:right w:val="single" w:sz="4" w:space="0" w:color="auto"/>
            </w:tcBorders>
            <w:shd w:val="clear" w:color="auto" w:fill="auto"/>
            <w:vAlign w:val="center"/>
            <w:hideMark/>
          </w:tcPr>
          <w:p w14:paraId="6605A992"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 xml:space="preserve">Pri tvorbe scenárov vývoja prevádzkových výdavkov   je potrebné vychádzať z čo najpresnejších údajov </w:t>
            </w:r>
          </w:p>
        </w:tc>
        <w:tc>
          <w:tcPr>
            <w:tcW w:w="0" w:type="auto"/>
            <w:tcBorders>
              <w:top w:val="nil"/>
              <w:left w:val="nil"/>
              <w:bottom w:val="single" w:sz="8" w:space="0" w:color="auto"/>
              <w:right w:val="single" w:sz="8" w:space="0" w:color="auto"/>
            </w:tcBorders>
            <w:shd w:val="clear" w:color="000000" w:fill="92D050"/>
            <w:vAlign w:val="center"/>
            <w:hideMark/>
          </w:tcPr>
          <w:p w14:paraId="02472846" w14:textId="77777777" w:rsidR="001A24C3" w:rsidRPr="00192473" w:rsidRDefault="001A24C3" w:rsidP="00300963">
            <w:pPr>
              <w:jc w:val="center"/>
              <w:rPr>
                <w:rFonts w:ascii="Times New Roman" w:eastAsia="Times New Roman" w:hAnsi="Times New Roman" w:cs="Times New Roman"/>
                <w:sz w:val="12"/>
                <w:szCs w:val="12"/>
                <w:lang w:eastAsia="sk-SK"/>
              </w:rPr>
            </w:pPr>
            <w:r w:rsidRPr="00192473">
              <w:rPr>
                <w:rFonts w:ascii="Times New Roman" w:eastAsia="Times New Roman" w:hAnsi="Times New Roman" w:cs="Times New Roman"/>
                <w:sz w:val="12"/>
                <w:szCs w:val="12"/>
                <w:lang w:eastAsia="sk-SK"/>
              </w:rPr>
              <w:t>Nízke</w:t>
            </w:r>
          </w:p>
        </w:tc>
      </w:tr>
    </w:tbl>
    <w:p w14:paraId="0EE3054B" w14:textId="77777777" w:rsidR="001A24C3" w:rsidRPr="002C30B3" w:rsidRDefault="001A24C3" w:rsidP="001A24C3">
      <w:pPr>
        <w:rPr>
          <w:b/>
          <w:iCs/>
          <w:color w:val="C00000"/>
          <w:sz w:val="20"/>
          <w:szCs w:val="18"/>
        </w:rPr>
      </w:pPr>
    </w:p>
    <w:p w14:paraId="364ED0B5" w14:textId="77777777" w:rsidR="001A24C3" w:rsidRPr="002C30B3" w:rsidRDefault="001A24C3" w:rsidP="001A24C3">
      <w:pPr>
        <w:rPr>
          <w:lang w:eastAsia="sk-SK" w:bidi="sk-SK"/>
        </w:rPr>
      </w:pPr>
    </w:p>
    <w:p w14:paraId="6BB9F642" w14:textId="77777777" w:rsidR="001A24C3" w:rsidRPr="002C30B3" w:rsidRDefault="001A24C3" w:rsidP="009124A9">
      <w:pPr>
        <w:pStyle w:val="Nadpis41"/>
        <w:numPr>
          <w:ilvl w:val="0"/>
          <w:numId w:val="0"/>
        </w:numPr>
        <w:sectPr w:rsidR="001A24C3" w:rsidRPr="002C30B3" w:rsidSect="009124A9">
          <w:pgSz w:w="16838" w:h="11906" w:orient="landscape"/>
          <w:pgMar w:top="1418" w:right="1418" w:bottom="851" w:left="1418" w:header="794" w:footer="0" w:gutter="0"/>
          <w:cols w:space="708"/>
          <w:formProt w:val="0"/>
          <w:titlePg/>
          <w:docGrid w:linePitch="360" w:charSpace="4096"/>
        </w:sectPr>
      </w:pPr>
    </w:p>
    <w:p w14:paraId="582934C4" w14:textId="77777777" w:rsidR="001A24C3" w:rsidRPr="009124A9" w:rsidRDefault="001A24C3" w:rsidP="009124A9">
      <w:pPr>
        <w:pStyle w:val="Nadpis41"/>
        <w:ind w:left="851" w:hanging="851"/>
        <w:rPr>
          <w:color w:val="auto"/>
          <w:sz w:val="24"/>
          <w:szCs w:val="24"/>
        </w:rPr>
      </w:pPr>
      <w:bookmarkStart w:id="461" w:name="_Toc88653059"/>
      <w:r w:rsidRPr="009124A9">
        <w:rPr>
          <w:color w:val="auto"/>
          <w:sz w:val="24"/>
          <w:szCs w:val="24"/>
        </w:rPr>
        <w:lastRenderedPageBreak/>
        <w:t>Pravdepodobnostná riziková analýza</w:t>
      </w:r>
      <w:bookmarkEnd w:id="461"/>
    </w:p>
    <w:p w14:paraId="3FDA2788" w14:textId="77777777" w:rsidR="001A24C3" w:rsidRPr="002C30B3" w:rsidRDefault="001A24C3" w:rsidP="001A24C3">
      <w:pPr>
        <w:rPr>
          <w:b/>
          <w:lang w:eastAsia="sk-SK" w:bidi="sk-SK"/>
        </w:rPr>
      </w:pPr>
      <w:r w:rsidRPr="002C30B3">
        <w:rPr>
          <w:lang w:eastAsia="sk-SK" w:bidi="sk-SK"/>
        </w:rPr>
        <w:t xml:space="preserve">V predchádzajúcich kapitolách sme si identifikovali citlivé premenné a zároveň vypočítali hodnoty, ako by sa tieto citlivé premenné museli zmeniť, aby to ohrozilo realizáciu projektu. Následná analýza scenárov preukázala, že v žiadnom scenárov sa nedostávame do pásma nemožnosti realizovať projekt alebo pásma nemožnosti financovať ho zo zdrojov Operačného Programu Integrovaná Infraštruktúra 2014 – 2020 z dôvodu schopnosti samofinancovania. </w:t>
      </w:r>
    </w:p>
    <w:p w14:paraId="2F2B6E90" w14:textId="77777777" w:rsidR="001A24C3" w:rsidRPr="002C30B3" w:rsidRDefault="001A24C3" w:rsidP="001A24C3">
      <w:pPr>
        <w:rPr>
          <w:lang w:eastAsia="sk-SK" w:bidi="sk-SK"/>
        </w:rPr>
      </w:pPr>
      <w:r w:rsidRPr="002C30B3">
        <w:rPr>
          <w:lang w:eastAsia="sk-SK" w:bidi="sk-SK"/>
        </w:rPr>
        <w:t>Túto skutočnosť zároveň potvrdzujú aj pravdepodobnostné grafy, ktoré vyjadrujú %-álnu pravdepodobnosť, že nastane situácia, ktorá by učinila projekt nerealizovateľným. Nižšie uvedené grafy dokladujú, že pravdepodobnosť je tak relatívne nízka, že tieto rizika možno považovať za akceptovateľné.</w:t>
      </w:r>
    </w:p>
    <w:p w14:paraId="3DED4134" w14:textId="038A4070" w:rsidR="001A24C3" w:rsidRPr="002C30B3" w:rsidRDefault="001A24C3" w:rsidP="00713187">
      <w:pPr>
        <w:pStyle w:val="Popis"/>
        <w:jc w:val="both"/>
      </w:pPr>
      <w:bookmarkStart w:id="462" w:name="_Toc83678008"/>
      <w:r w:rsidRPr="002C30B3">
        <w:t xml:space="preserve">Graf </w:t>
      </w:r>
      <w:r w:rsidRPr="002C30B3">
        <w:rPr>
          <w:noProof/>
        </w:rPr>
        <w:fldChar w:fldCharType="begin"/>
      </w:r>
      <w:r w:rsidRPr="002C30B3">
        <w:rPr>
          <w:noProof/>
        </w:rPr>
        <w:instrText xml:space="preserve"> SEQ Graf \* ARABIC </w:instrText>
      </w:r>
      <w:r w:rsidRPr="002C30B3">
        <w:rPr>
          <w:noProof/>
        </w:rPr>
        <w:fldChar w:fldCharType="separate"/>
      </w:r>
      <w:r w:rsidR="008208F3">
        <w:rPr>
          <w:noProof/>
        </w:rPr>
        <w:t>11</w:t>
      </w:r>
      <w:r w:rsidRPr="002C30B3">
        <w:rPr>
          <w:noProof/>
        </w:rPr>
        <w:fldChar w:fldCharType="end"/>
      </w:r>
      <w:r w:rsidRPr="002C30B3">
        <w:tab/>
        <w:t>Rozdelenie pravdepodobnosti rizika FNPV</w:t>
      </w:r>
      <w:bookmarkEnd w:id="462"/>
    </w:p>
    <w:p w14:paraId="51EB3956" w14:textId="77777777" w:rsidR="001A24C3" w:rsidRPr="002C30B3" w:rsidRDefault="001A24C3" w:rsidP="001A24C3">
      <w:r>
        <w:rPr>
          <w:noProof/>
          <w:lang w:eastAsia="sk-SK"/>
        </w:rPr>
        <w:drawing>
          <wp:inline distT="0" distB="0" distL="0" distR="0" wp14:anchorId="5562014F" wp14:editId="2BD9072C">
            <wp:extent cx="5760720" cy="2247265"/>
            <wp:effectExtent l="0" t="0" r="11430" b="635"/>
            <wp:docPr id="15" name="Graf 15">
              <a:extLst xmlns:a="http://schemas.openxmlformats.org/drawingml/2006/main">
                <a:ext uri="{FF2B5EF4-FFF2-40B4-BE49-F238E27FC236}">
                  <a16:creationId xmlns:a16="http://schemas.microsoft.com/office/drawing/2014/main" id="{CAC5CC67-1C2A-490E-9EDD-2630B79B996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inline>
        </w:drawing>
      </w:r>
    </w:p>
    <w:p w14:paraId="2D076FE4" w14:textId="77777777" w:rsidR="00713187" w:rsidRDefault="00713187" w:rsidP="001A24C3">
      <w:pPr>
        <w:pStyle w:val="TextKoice0"/>
      </w:pPr>
    </w:p>
    <w:p w14:paraId="00E15CFC" w14:textId="77777777" w:rsidR="00713187" w:rsidRDefault="00713187" w:rsidP="001A24C3">
      <w:pPr>
        <w:pStyle w:val="TextKoice0"/>
      </w:pPr>
    </w:p>
    <w:p w14:paraId="49C8E3F2" w14:textId="6D0556D7" w:rsidR="001A24C3" w:rsidRPr="002C30B3" w:rsidRDefault="001A24C3" w:rsidP="00713187">
      <w:pPr>
        <w:pStyle w:val="TextKoice0"/>
        <w:ind w:left="0"/>
      </w:pPr>
      <w:r w:rsidRPr="002C30B3">
        <w:t xml:space="preserve">Pravdepodobnosť, že by hodnota FNPV bola väčšia ako 0 a zároveň hodnota FRR by bola väčšia ako diskontná sadzba, ktorá je stanovená na úrovni 4 % je </w:t>
      </w:r>
      <w:r>
        <w:t>3,21</w:t>
      </w:r>
      <w:r w:rsidRPr="002C30B3">
        <w:t xml:space="preserve"> %. Takáto pravdepodobnosť je akceptovateľná. Z uvedeného hľadiska aj z prihliadnutím na už v predchádzajúcich kapitolách namodelované scenáre je možné túto situáciu akceptovať. </w:t>
      </w:r>
    </w:p>
    <w:p w14:paraId="3ADD858B" w14:textId="77777777" w:rsidR="001A24C3" w:rsidRPr="002C30B3" w:rsidRDefault="001A24C3" w:rsidP="00713187">
      <w:pPr>
        <w:suppressAutoHyphens/>
        <w:rPr>
          <w:rFonts w:ascii="Calibri" w:eastAsia="Calibri" w:hAnsi="Calibri" w:cs="Calibri"/>
          <w:lang w:eastAsia="sk-SK" w:bidi="sk-SK"/>
        </w:rPr>
      </w:pPr>
      <w:r w:rsidRPr="002C30B3">
        <w:br w:type="page"/>
      </w:r>
    </w:p>
    <w:p w14:paraId="5F58FC09" w14:textId="5B394A56" w:rsidR="001A24C3" w:rsidRPr="002C30B3" w:rsidRDefault="001A24C3" w:rsidP="004B79AC">
      <w:pPr>
        <w:pStyle w:val="Popis"/>
        <w:jc w:val="both"/>
      </w:pPr>
      <w:bookmarkStart w:id="463" w:name="_Toc83678009"/>
      <w:r w:rsidRPr="002C30B3">
        <w:lastRenderedPageBreak/>
        <w:t xml:space="preserve">Graf </w:t>
      </w:r>
      <w:r w:rsidRPr="002C30B3">
        <w:rPr>
          <w:noProof/>
        </w:rPr>
        <w:fldChar w:fldCharType="begin"/>
      </w:r>
      <w:r w:rsidRPr="002C30B3">
        <w:rPr>
          <w:noProof/>
        </w:rPr>
        <w:instrText xml:space="preserve"> SEQ Graf \* ARABIC </w:instrText>
      </w:r>
      <w:r w:rsidRPr="002C30B3">
        <w:rPr>
          <w:noProof/>
        </w:rPr>
        <w:fldChar w:fldCharType="separate"/>
      </w:r>
      <w:r w:rsidR="008208F3">
        <w:rPr>
          <w:noProof/>
        </w:rPr>
        <w:t>12</w:t>
      </w:r>
      <w:r w:rsidRPr="002C30B3">
        <w:rPr>
          <w:noProof/>
        </w:rPr>
        <w:fldChar w:fldCharType="end"/>
      </w:r>
      <w:r w:rsidRPr="002C30B3">
        <w:tab/>
        <w:t>Rozdelenie pravdepodobnosti rizika ENPV</w:t>
      </w:r>
      <w:bookmarkEnd w:id="463"/>
    </w:p>
    <w:p w14:paraId="73C9DD9A" w14:textId="77777777" w:rsidR="001A24C3" w:rsidRPr="002C30B3" w:rsidRDefault="001A24C3" w:rsidP="001A24C3">
      <w:r>
        <w:rPr>
          <w:noProof/>
          <w:lang w:eastAsia="sk-SK"/>
        </w:rPr>
        <w:drawing>
          <wp:inline distT="0" distB="0" distL="0" distR="0" wp14:anchorId="3FF4E3CC" wp14:editId="30D3E785">
            <wp:extent cx="5760720" cy="2165985"/>
            <wp:effectExtent l="0" t="0" r="11430" b="5715"/>
            <wp:docPr id="43" name="Graf 43">
              <a:extLst xmlns:a="http://schemas.openxmlformats.org/drawingml/2006/main">
                <a:ext uri="{FF2B5EF4-FFF2-40B4-BE49-F238E27FC236}">
                  <a16:creationId xmlns:a16="http://schemas.microsoft.com/office/drawing/2014/main" id="{77278FE0-BF53-4FB7-9EF5-6A080F0727E2}"/>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inline>
        </w:drawing>
      </w:r>
    </w:p>
    <w:p w14:paraId="22475236" w14:textId="77777777" w:rsidR="001A24C3" w:rsidRPr="002C30B3" w:rsidRDefault="001A24C3" w:rsidP="001A24C3">
      <w:pPr>
        <w:pStyle w:val="TextKoice0"/>
      </w:pPr>
    </w:p>
    <w:p w14:paraId="25299F6F" w14:textId="77777777" w:rsidR="001A24C3" w:rsidRDefault="001A24C3" w:rsidP="004B79AC">
      <w:pPr>
        <w:pStyle w:val="TextKoice0"/>
        <w:ind w:left="0"/>
      </w:pPr>
      <w:r w:rsidRPr="002C30B3">
        <w:t xml:space="preserve">Pravdepodobnosť, že by celospoločenské benefity projektu klesli tak, že by hodnota ENPV bola menšia ako 1 a zároveň hodnota ERR menšia ako diskontná sadzba je </w:t>
      </w:r>
      <w:r>
        <w:t>41,43</w:t>
      </w:r>
      <w:r w:rsidRPr="002C30B3">
        <w:t xml:space="preserve"> %, teda môže nastať, ale pravdepodobnosť je primeraná a riziko akceptovateľné. To potvrdzuje spoločenskú prínosnosť projektu.</w:t>
      </w:r>
      <w:r>
        <w:t xml:space="preserve"> </w:t>
      </w:r>
    </w:p>
    <w:p w14:paraId="48D6398B" w14:textId="77777777" w:rsidR="001A24C3" w:rsidRDefault="001A24C3" w:rsidP="004B79AC">
      <w:pPr>
        <w:pStyle w:val="TextKoice0"/>
        <w:ind w:left="0"/>
      </w:pPr>
    </w:p>
    <w:p w14:paraId="5D6A69A1" w14:textId="77777777" w:rsidR="001A24C3" w:rsidRDefault="001A24C3" w:rsidP="001A24C3">
      <w:pPr>
        <w:pStyle w:val="TextKoice0"/>
      </w:pPr>
    </w:p>
    <w:p w14:paraId="5663210D" w14:textId="77777777" w:rsidR="001A24C3" w:rsidRDefault="001A24C3" w:rsidP="001A24C3">
      <w:pPr>
        <w:pStyle w:val="TextKoice0"/>
      </w:pPr>
    </w:p>
    <w:p w14:paraId="33F7C837" w14:textId="77777777" w:rsidR="001A24C3" w:rsidRDefault="001A24C3" w:rsidP="001A24C3">
      <w:pPr>
        <w:pStyle w:val="TextKoice0"/>
      </w:pPr>
    </w:p>
    <w:p w14:paraId="43C8AD50" w14:textId="77777777" w:rsidR="001A24C3" w:rsidRDefault="001A24C3" w:rsidP="001A24C3">
      <w:pPr>
        <w:pStyle w:val="TextKoice0"/>
      </w:pPr>
    </w:p>
    <w:p w14:paraId="04ADACE9" w14:textId="77777777" w:rsidR="001A24C3" w:rsidRDefault="001A24C3" w:rsidP="001A24C3">
      <w:pPr>
        <w:pStyle w:val="TextKoice0"/>
      </w:pPr>
    </w:p>
    <w:p w14:paraId="15CF07C4" w14:textId="77777777" w:rsidR="001A24C3" w:rsidRDefault="001A24C3" w:rsidP="001A24C3">
      <w:pPr>
        <w:pStyle w:val="TextKoice0"/>
      </w:pPr>
    </w:p>
    <w:p w14:paraId="4269A89E" w14:textId="77777777" w:rsidR="001A24C3" w:rsidRDefault="001A24C3" w:rsidP="001A24C3">
      <w:pPr>
        <w:pStyle w:val="TextKoice0"/>
      </w:pPr>
    </w:p>
    <w:p w14:paraId="6A769B00" w14:textId="77777777" w:rsidR="001A24C3" w:rsidRDefault="001A24C3" w:rsidP="001A24C3">
      <w:pPr>
        <w:pStyle w:val="TextKoice0"/>
      </w:pPr>
    </w:p>
    <w:p w14:paraId="63253487" w14:textId="77777777" w:rsidR="001A24C3" w:rsidRDefault="001A24C3" w:rsidP="001A24C3">
      <w:pPr>
        <w:pStyle w:val="TextKoice0"/>
      </w:pPr>
    </w:p>
    <w:p w14:paraId="255CFD9B" w14:textId="77777777" w:rsidR="001A24C3" w:rsidRDefault="001A24C3" w:rsidP="001A24C3">
      <w:pPr>
        <w:pStyle w:val="TextKoice0"/>
      </w:pPr>
    </w:p>
    <w:p w14:paraId="7B79DF9F" w14:textId="77777777" w:rsidR="001A24C3" w:rsidRDefault="001A24C3" w:rsidP="001A24C3">
      <w:pPr>
        <w:pStyle w:val="TextKoice0"/>
      </w:pPr>
    </w:p>
    <w:p w14:paraId="0D84DF6F" w14:textId="77777777" w:rsidR="001A24C3" w:rsidRDefault="001A24C3" w:rsidP="001A24C3">
      <w:pPr>
        <w:pStyle w:val="TextKoice0"/>
      </w:pPr>
    </w:p>
    <w:p w14:paraId="3D7C64CA" w14:textId="77777777" w:rsidR="001A24C3" w:rsidRDefault="001A24C3" w:rsidP="001A24C3">
      <w:pPr>
        <w:pStyle w:val="TextKoice0"/>
      </w:pPr>
    </w:p>
    <w:p w14:paraId="68336D73" w14:textId="77777777" w:rsidR="001A24C3" w:rsidRDefault="001A24C3" w:rsidP="001A24C3">
      <w:pPr>
        <w:pStyle w:val="TextKoice0"/>
      </w:pPr>
    </w:p>
    <w:p w14:paraId="17FACD57" w14:textId="77777777" w:rsidR="001A24C3" w:rsidRDefault="001A24C3" w:rsidP="001A24C3">
      <w:pPr>
        <w:pStyle w:val="TextKoice0"/>
      </w:pPr>
    </w:p>
    <w:p w14:paraId="0BA4400D" w14:textId="77777777" w:rsidR="001A24C3" w:rsidRDefault="001A24C3" w:rsidP="001A24C3">
      <w:pPr>
        <w:pStyle w:val="TextKoice0"/>
      </w:pPr>
    </w:p>
    <w:p w14:paraId="3739E41A" w14:textId="77777777" w:rsidR="001A24C3" w:rsidRDefault="001A24C3" w:rsidP="001A24C3">
      <w:pPr>
        <w:pStyle w:val="TextKoice0"/>
      </w:pPr>
    </w:p>
    <w:p w14:paraId="42F087D2" w14:textId="77777777" w:rsidR="001A24C3" w:rsidRDefault="001A24C3" w:rsidP="001A24C3">
      <w:pPr>
        <w:pStyle w:val="TextKoice0"/>
      </w:pPr>
    </w:p>
    <w:p w14:paraId="20975CFB" w14:textId="77777777" w:rsidR="001A24C3" w:rsidRDefault="001A24C3" w:rsidP="001A24C3">
      <w:pPr>
        <w:pStyle w:val="TextKoice0"/>
      </w:pPr>
    </w:p>
    <w:p w14:paraId="69D6CCEB" w14:textId="77777777" w:rsidR="001A24C3" w:rsidRDefault="001A24C3" w:rsidP="001A24C3">
      <w:pPr>
        <w:pStyle w:val="TextKoice0"/>
      </w:pPr>
    </w:p>
    <w:p w14:paraId="70803500" w14:textId="77777777" w:rsidR="001A24C3" w:rsidRDefault="001A24C3" w:rsidP="001A24C3">
      <w:pPr>
        <w:pStyle w:val="TextKoice0"/>
      </w:pPr>
    </w:p>
    <w:p w14:paraId="017E34D8" w14:textId="77777777" w:rsidR="001A24C3" w:rsidRDefault="001A24C3" w:rsidP="001A24C3">
      <w:pPr>
        <w:pStyle w:val="TextKoice0"/>
      </w:pPr>
    </w:p>
    <w:p w14:paraId="61BDEF0D" w14:textId="77777777" w:rsidR="001A24C3" w:rsidRDefault="001A24C3" w:rsidP="001A24C3">
      <w:pPr>
        <w:pStyle w:val="TextKoice0"/>
      </w:pPr>
    </w:p>
    <w:p w14:paraId="4E88A27C" w14:textId="77777777" w:rsidR="001A24C3" w:rsidRDefault="001A24C3" w:rsidP="001A24C3">
      <w:pPr>
        <w:pStyle w:val="TextKoice0"/>
      </w:pPr>
    </w:p>
    <w:p w14:paraId="47E65AAB" w14:textId="77777777" w:rsidR="001A24C3" w:rsidRDefault="001A24C3" w:rsidP="004B79AC">
      <w:pPr>
        <w:pStyle w:val="TextKoice0"/>
        <w:ind w:left="0"/>
      </w:pPr>
    </w:p>
    <w:p w14:paraId="6B31218B" w14:textId="77777777" w:rsidR="001A24C3" w:rsidRPr="00316A48" w:rsidRDefault="001A24C3" w:rsidP="00316A48">
      <w:pPr>
        <w:pStyle w:val="Nadpis1"/>
        <w:numPr>
          <w:ilvl w:val="0"/>
          <w:numId w:val="72"/>
        </w:numPr>
        <w:rPr>
          <w:rFonts w:cstheme="minorHAnsi"/>
          <w:caps/>
        </w:rPr>
      </w:pPr>
      <w:bookmarkStart w:id="464" w:name="_Toc88653060"/>
      <w:r w:rsidRPr="00316A48">
        <w:rPr>
          <w:rFonts w:cstheme="minorHAnsi"/>
          <w:caps/>
        </w:rPr>
        <w:lastRenderedPageBreak/>
        <w:t>Záver</w:t>
      </w:r>
      <w:bookmarkEnd w:id="464"/>
    </w:p>
    <w:p w14:paraId="56E0C004" w14:textId="77777777" w:rsidR="001A24C3" w:rsidRDefault="001A24C3" w:rsidP="001A24C3">
      <w:r>
        <w:t xml:space="preserve">CBA analýzy v rámci štúdie realizovateľnosti boli spracované v súlade s metodikou pre CBA RO OPII 2014 – 2020 v 3.0. </w:t>
      </w:r>
    </w:p>
    <w:p w14:paraId="0733304C" w14:textId="34957BDF" w:rsidR="001A24C3" w:rsidRDefault="001A24C3" w:rsidP="001A24C3">
      <w:r>
        <w:t>Pre každý variant bola vypočítaná zvlá</w:t>
      </w:r>
      <w:r w:rsidR="004B79AC">
        <w:t>š</w:t>
      </w:r>
      <w:r>
        <w:t xml:space="preserve">ť finančná analýza, ekonomická analýza, citlivostná analýza a riziková analýza. </w:t>
      </w:r>
    </w:p>
    <w:p w14:paraId="51D09B17" w14:textId="65BDF19A" w:rsidR="001A24C3" w:rsidRDefault="001A24C3" w:rsidP="001A24C3">
      <w:r>
        <w:t xml:space="preserve">Na základe výpočtov možno konštatovať, že jednotlivé varianty sa neodlišujú iba svojím technickým riešením a dopravným modelom, ale aj svojimi výsledkami, ktoré predstavujú aj jednoznačné odporúčanie, ktorý variant je vhodné realizovať. </w:t>
      </w:r>
    </w:p>
    <w:p w14:paraId="42EA87BF" w14:textId="77777777" w:rsidR="004B79AC" w:rsidRDefault="004B79AC" w:rsidP="001A24C3"/>
    <w:p w14:paraId="4ADAA622" w14:textId="3A668C52" w:rsidR="001A24C3" w:rsidRDefault="001A24C3" w:rsidP="001A24C3">
      <w:r>
        <w:t xml:space="preserve">Z pohľadu finančnej analýzy sú všetky varianty vhodné na financovanie z nenávratného finančného príspevku. Konkrétna výška spolufinancovania je daná vypočítanou finančnou medzerou a rozdelenie jednotlivých zdrojov spolufinancovania je dané platnou schémou financovania pre konkrétneho prijímateľa, ktorým sú Železnice Slovenskej republiky. </w:t>
      </w:r>
    </w:p>
    <w:p w14:paraId="0B21E8C7" w14:textId="77777777" w:rsidR="004B79AC" w:rsidRDefault="004B79AC" w:rsidP="001A24C3"/>
    <w:p w14:paraId="41244BF4" w14:textId="0E8CA2B9" w:rsidR="001A24C3" w:rsidRDefault="001A24C3" w:rsidP="001A24C3">
      <w:r>
        <w:t>V rámci ekonomickej analýzy síce vyšli všetky varianty ako realizovateľné, no na druhej strane sú už rozdiely oveľa väčšia ako to bolo pri finančnej analýze, kedy sme sa bavili iba tom akú sumu je možné/potrebné dofinancovať. V prípade ekonomickej analýzy vychádza najhoršie modernizačný variant</w:t>
      </w:r>
      <w:r w:rsidR="004B79AC">
        <w:t xml:space="preserve"> (VARIANT B)</w:t>
      </w:r>
      <w:r>
        <w:t xml:space="preserve">. </w:t>
      </w:r>
      <w:r w:rsidR="004B79AC">
        <w:t xml:space="preserve">V prípade variantu B nejde len o skutočnosť, že </w:t>
      </w:r>
      <w:r>
        <w:t xml:space="preserve">je finančne najviac nákladný, ale </w:t>
      </w:r>
      <w:r w:rsidR="00303269">
        <w:t>ide najmä o to , že m</w:t>
      </w:r>
      <w:r>
        <w:t xml:space="preserve">á aj blízko k hranici nerealizovateľnosti. V prípade variantov týkajúcich sa </w:t>
      </w:r>
      <w:r w:rsidR="00303269">
        <w:t>základnej modernizácie (variant A)</w:t>
      </w:r>
      <w:r>
        <w:t xml:space="preserve">, prípadne </w:t>
      </w:r>
      <w:r w:rsidR="00303269">
        <w:t>kombinovaný -</w:t>
      </w:r>
      <w:r>
        <w:t>optimalizáci</w:t>
      </w:r>
      <w:r w:rsidR="00303269">
        <w:t>a (variant C)</w:t>
      </w:r>
      <w:r>
        <w:t xml:space="preserve"> sú už tieto výsledky oveľa robustnejšie v porovnaní s modernizačným variantom</w:t>
      </w:r>
      <w:r w:rsidR="00303269">
        <w:t xml:space="preserve"> B</w:t>
      </w:r>
      <w:r>
        <w:t>.</w:t>
      </w:r>
    </w:p>
    <w:p w14:paraId="1A8AB0E1" w14:textId="77777777" w:rsidR="00303269" w:rsidRDefault="00303269" w:rsidP="001A24C3"/>
    <w:p w14:paraId="2882B52C" w14:textId="3E429CC4" w:rsidR="001A24C3" w:rsidRPr="00D41D64" w:rsidRDefault="00715096" w:rsidP="001A24C3">
      <w:pPr>
        <w:rPr>
          <w:b/>
          <w:bCs/>
        </w:rPr>
      </w:pPr>
      <w:r>
        <w:t xml:space="preserve">Pre zabezpečenie komplexného a relevantného posúdenia a vyhodnotenia variantov </w:t>
      </w:r>
      <w:r w:rsidR="001A24C3">
        <w:t>boli jednotlivé varianty ešte preverené v rámci rizikovej a citlivostnej analýzy, ktorá preukázala v prípade modernizačného variantu</w:t>
      </w:r>
      <w:r>
        <w:t xml:space="preserve"> (variant B)</w:t>
      </w:r>
      <w:r w:rsidR="001A24C3">
        <w:t xml:space="preserve"> veľmi tenkú hranicu medzi realizovateľnosťou a normalizovateľnosťou </w:t>
      </w:r>
      <w:r w:rsidR="001A24C3">
        <w:rPr>
          <w:lang w:val="en-US"/>
        </w:rPr>
        <w:t>(</w:t>
      </w:r>
      <w:r w:rsidR="001A24C3">
        <w:rPr>
          <w:lang w:val="cs-CZ"/>
        </w:rPr>
        <w:t>všetky testované premenné sa ukázali ako kritické</w:t>
      </w:r>
      <w:r w:rsidR="001A24C3">
        <w:rPr>
          <w:lang w:val="en-US"/>
        </w:rPr>
        <w:t>)</w:t>
      </w:r>
      <w:r>
        <w:rPr>
          <w:lang w:val="en-US"/>
        </w:rPr>
        <w:t>.</w:t>
      </w:r>
      <w:r w:rsidR="001A24C3">
        <w:t xml:space="preserve"> V prípade analýzy </w:t>
      </w:r>
      <w:r>
        <w:t xml:space="preserve">možných </w:t>
      </w:r>
      <w:r w:rsidR="001A24C3">
        <w:t>scenárov až 2 scenáre (dokonca aj realistický) preukázal</w:t>
      </w:r>
      <w:r>
        <w:t>i</w:t>
      </w:r>
      <w:r w:rsidR="001A24C3">
        <w:t>, že by projekt mohol byť nerealizovateľný, čo pri podobných projektoch nebýva bežné. Kvantitatívna analýza preukázala viac ako 50 % riziko, že dôjde k situácií, že projekt bude nerealizovateľný a z uvedeného dôvodu spracovatelia zaraďujú modernizačný variant</w:t>
      </w:r>
      <w:r>
        <w:t xml:space="preserve">, tzn. </w:t>
      </w:r>
      <w:r w:rsidRPr="00D41D64">
        <w:rPr>
          <w:b/>
          <w:bCs/>
        </w:rPr>
        <w:t>Variant B</w:t>
      </w:r>
      <w:r w:rsidR="001A24C3" w:rsidRPr="00D41D64">
        <w:rPr>
          <w:b/>
          <w:bCs/>
        </w:rPr>
        <w:t xml:space="preserve"> až na 3. miesto z 3 posudzovaných variantov.</w:t>
      </w:r>
    </w:p>
    <w:p w14:paraId="1C84D0BD" w14:textId="77777777" w:rsidR="00715096" w:rsidRPr="00715096" w:rsidRDefault="00715096" w:rsidP="001A24C3">
      <w:pPr>
        <w:rPr>
          <w:lang w:val="en-US"/>
        </w:rPr>
      </w:pPr>
    </w:p>
    <w:p w14:paraId="396D112E" w14:textId="4B974E27" w:rsidR="001A24C3" w:rsidRPr="00D41D64" w:rsidRDefault="001A24C3" w:rsidP="001A24C3">
      <w:pPr>
        <w:rPr>
          <w:b/>
          <w:bCs/>
        </w:rPr>
      </w:pPr>
      <w:r>
        <w:t xml:space="preserve">V prípade variantu </w:t>
      </w:r>
      <w:r w:rsidR="00715096">
        <w:t>A „ZÁKLADNÁ MODERNIZÁCIA“</w:t>
      </w:r>
      <w:r>
        <w:t xml:space="preserve"> v rámci ekonomickej analýzy vyšli čísla výrazne lepšie ako pri modernizačnom variant</w:t>
      </w:r>
      <w:r w:rsidR="00715096">
        <w:t>e B</w:t>
      </w:r>
      <w:r>
        <w:t xml:space="preserve">. V rámci analýzy </w:t>
      </w:r>
      <w:r w:rsidR="00715096">
        <w:t xml:space="preserve">možných </w:t>
      </w:r>
      <w:r>
        <w:t xml:space="preserve">scenárov už iba pesimistický variant naznačoval možnosť nerealizovateľnosti. Celkovo kritických premenných bolo o polovicu menej ako pri modernizačnom variante </w:t>
      </w:r>
      <w:r w:rsidR="00715096">
        <w:t xml:space="preserve">B </w:t>
      </w:r>
      <w:r>
        <w:t>a rozpätie kedy by tieto skutočnosti zmenou nejakej premennej mohli nastať bol</w:t>
      </w:r>
      <w:r w:rsidR="00715096">
        <w:t>i</w:t>
      </w:r>
      <w:r>
        <w:t xml:space="preserve"> oveľa väčšie. V prípade analýzy scenárov už iba pesimistický variant vyjadroval tento problém, čo sa pri podobných projektoch stáva. Stále však znepokojujúcim faktorom </w:t>
      </w:r>
      <w:r w:rsidR="00715096">
        <w:t xml:space="preserve">pri variante A </w:t>
      </w:r>
      <w:r>
        <w:t xml:space="preserve">bola v rámci kvantitatívnej analýzy pravdepodobnosť nerealizovateľnosti nad 50 % </w:t>
      </w:r>
      <w:r w:rsidR="00D41D64">
        <w:t xml:space="preserve">rovnako </w:t>
      </w:r>
      <w:r>
        <w:t>ako pri modernizačnom variante</w:t>
      </w:r>
      <w:r w:rsidR="00715096">
        <w:t xml:space="preserve"> B</w:t>
      </w:r>
      <w:r>
        <w:t xml:space="preserve">. No celkovo tento variant po zhodnotení všetkých ostatných skutočnosti javí ako realizovateľnejší a bezpečnejší a preto ho spracovateľa zaraďujú </w:t>
      </w:r>
      <w:r w:rsidR="00D41D64" w:rsidRPr="00D41D64">
        <w:rPr>
          <w:b/>
          <w:bCs/>
        </w:rPr>
        <w:t xml:space="preserve">variant A </w:t>
      </w:r>
      <w:r w:rsidRPr="00D41D64">
        <w:rPr>
          <w:b/>
          <w:bCs/>
        </w:rPr>
        <w:t xml:space="preserve">na </w:t>
      </w:r>
      <w:r w:rsidR="00D41D64">
        <w:rPr>
          <w:b/>
          <w:bCs/>
        </w:rPr>
        <w:t>2.</w:t>
      </w:r>
      <w:r w:rsidRPr="00D41D64">
        <w:rPr>
          <w:b/>
          <w:bCs/>
        </w:rPr>
        <w:t xml:space="preserve"> miesto z 3 posudzovaných variantov. </w:t>
      </w:r>
    </w:p>
    <w:p w14:paraId="2838F465" w14:textId="60A0F42C" w:rsidR="001A24C3" w:rsidRDefault="001A24C3" w:rsidP="001A24C3">
      <w:r>
        <w:lastRenderedPageBreak/>
        <w:t xml:space="preserve">V prípade variantu </w:t>
      </w:r>
      <w:r w:rsidR="00D41D64">
        <w:t xml:space="preserve">C „KOMBINOVANÝ – </w:t>
      </w:r>
      <w:r>
        <w:t>optimalizáci</w:t>
      </w:r>
      <w:r w:rsidR="00D41D64">
        <w:t>a trate“</w:t>
      </w:r>
      <w:r>
        <w:t xml:space="preserve"> bol počet kritických premenných rovnaký ako pri variante </w:t>
      </w:r>
      <w:r w:rsidR="00D41D64">
        <w:t>A</w:t>
      </w:r>
      <w:r>
        <w:t xml:space="preserve">. No všetky </w:t>
      </w:r>
      <w:r w:rsidR="00D41D64">
        <w:t xml:space="preserve">možných </w:t>
      </w:r>
      <w:r>
        <w:t>scenár</w:t>
      </w:r>
      <w:r w:rsidR="00D41D64">
        <w:t>och</w:t>
      </w:r>
      <w:r>
        <w:t xml:space="preserve"> v prípade ekonomickej analýzy vychádzali realizovateľne aj keď pesimistický variant bol blízko hodnoty diskontnej sadzby. Kvantitatívna analýza preukázala ako u jediného variantu, že pravdepodobnosť jeho nerealizovateľnosti je menšia ako 50 % a z uvedeného dôvodu ho spracovatelia považujú za </w:t>
      </w:r>
      <w:r w:rsidRPr="00D41D64">
        <w:rPr>
          <w:b/>
          <w:bCs/>
        </w:rPr>
        <w:t xml:space="preserve">variant </w:t>
      </w:r>
      <w:r w:rsidR="00D41D64">
        <w:rPr>
          <w:b/>
          <w:bCs/>
        </w:rPr>
        <w:t xml:space="preserve">C za víťazný, tzn. najlepší </w:t>
      </w:r>
      <w:r w:rsidRPr="00D41D64">
        <w:rPr>
          <w:b/>
          <w:bCs/>
        </w:rPr>
        <w:t>pre realizáciu</w:t>
      </w:r>
      <w:r w:rsidR="00D41D64">
        <w:rPr>
          <w:b/>
          <w:bCs/>
        </w:rPr>
        <w:t xml:space="preserve"> stavby</w:t>
      </w:r>
      <w:r>
        <w:t xml:space="preserve">. </w:t>
      </w:r>
      <w:bookmarkEnd w:id="210"/>
      <w:bookmarkEnd w:id="214"/>
    </w:p>
    <w:p w14:paraId="1D80AB63" w14:textId="77777777" w:rsidR="005B6C21" w:rsidRPr="005B6C21" w:rsidRDefault="005B6C21" w:rsidP="005B6C21"/>
    <w:p w14:paraId="12418E98" w14:textId="63A23F91" w:rsidR="00A15647" w:rsidRPr="00930B46" w:rsidRDefault="00A15647" w:rsidP="00316A48">
      <w:pPr>
        <w:pStyle w:val="Nadpis1"/>
        <w:rPr>
          <w:rFonts w:cstheme="minorHAnsi"/>
          <w:szCs w:val="24"/>
        </w:rPr>
      </w:pPr>
    </w:p>
    <w:p w14:paraId="780815A3" w14:textId="36245E0C" w:rsidR="00656F67" w:rsidRPr="00930B46" w:rsidRDefault="00A15647" w:rsidP="000E5539">
      <w:pPr>
        <w:ind w:left="5812" w:hanging="5812"/>
        <w:rPr>
          <w:rFonts w:cstheme="minorHAnsi"/>
          <w:szCs w:val="24"/>
        </w:rPr>
      </w:pPr>
      <w:r w:rsidRPr="00930B46">
        <w:rPr>
          <w:rFonts w:cstheme="minorHAnsi"/>
          <w:szCs w:val="24"/>
        </w:rPr>
        <w:t>V </w:t>
      </w:r>
      <w:r w:rsidR="00316A48">
        <w:rPr>
          <w:rFonts w:cstheme="minorHAnsi"/>
          <w:szCs w:val="24"/>
        </w:rPr>
        <w:t>Bratislave</w:t>
      </w:r>
      <w:r w:rsidRPr="00930B46">
        <w:rPr>
          <w:rFonts w:cstheme="minorHAnsi"/>
          <w:szCs w:val="24"/>
        </w:rPr>
        <w:t xml:space="preserve">, </w:t>
      </w:r>
      <w:r w:rsidR="001D29C5">
        <w:rPr>
          <w:rFonts w:cstheme="minorHAnsi"/>
          <w:szCs w:val="24"/>
        </w:rPr>
        <w:t>november</w:t>
      </w:r>
      <w:r w:rsidR="00EC058C" w:rsidRPr="00930B46">
        <w:rPr>
          <w:rFonts w:cstheme="minorHAnsi"/>
          <w:szCs w:val="24"/>
        </w:rPr>
        <w:t xml:space="preserve"> </w:t>
      </w:r>
      <w:r w:rsidR="00316A48">
        <w:rPr>
          <w:rFonts w:cstheme="minorHAnsi"/>
          <w:szCs w:val="24"/>
        </w:rPr>
        <w:t>2021</w:t>
      </w:r>
      <w:r w:rsidRPr="00930B46">
        <w:rPr>
          <w:rFonts w:cstheme="minorHAnsi"/>
          <w:szCs w:val="24"/>
        </w:rPr>
        <w:tab/>
      </w:r>
      <w:r w:rsidR="00316A48">
        <w:rPr>
          <w:rFonts w:cstheme="minorHAnsi"/>
          <w:szCs w:val="24"/>
        </w:rPr>
        <w:t>REMING CONSULT, a.</w:t>
      </w:r>
      <w:r w:rsidR="008208F3">
        <w:rPr>
          <w:rFonts w:cstheme="minorHAnsi"/>
          <w:szCs w:val="24"/>
        </w:rPr>
        <w:t xml:space="preserve"> </w:t>
      </w:r>
      <w:r w:rsidR="00316A48">
        <w:rPr>
          <w:rFonts w:cstheme="minorHAnsi"/>
          <w:szCs w:val="24"/>
        </w:rPr>
        <w:t xml:space="preserve">s. a kol. </w:t>
      </w:r>
      <w:r w:rsidR="000E5539">
        <w:rPr>
          <w:rFonts w:cstheme="minorHAnsi"/>
          <w:szCs w:val="24"/>
        </w:rPr>
        <w:t xml:space="preserve">  spracovateľov CBA</w:t>
      </w:r>
    </w:p>
    <w:p w14:paraId="693305CC" w14:textId="77777777" w:rsidR="00E8256D" w:rsidRPr="00930B46" w:rsidRDefault="00E8256D" w:rsidP="00931169">
      <w:pPr>
        <w:rPr>
          <w:rFonts w:cstheme="minorHAnsi"/>
          <w:szCs w:val="24"/>
        </w:rPr>
      </w:pPr>
    </w:p>
    <w:p w14:paraId="65725F6A" w14:textId="77777777" w:rsidR="00E8256D" w:rsidRPr="00930B46" w:rsidRDefault="00E8256D" w:rsidP="00931169">
      <w:pPr>
        <w:rPr>
          <w:rFonts w:cstheme="minorHAnsi"/>
          <w:szCs w:val="24"/>
        </w:rPr>
      </w:pPr>
    </w:p>
    <w:p w14:paraId="1C32022B" w14:textId="77777777" w:rsidR="002F0717" w:rsidRDefault="002F0717" w:rsidP="00931169">
      <w:pPr>
        <w:spacing w:after="200" w:line="276" w:lineRule="auto"/>
        <w:rPr>
          <w:rFonts w:eastAsiaTheme="majorEastAsia" w:cstheme="minorHAnsi"/>
          <w:b/>
          <w:bCs/>
          <w:color w:val="00B050"/>
          <w:sz w:val="28"/>
          <w:szCs w:val="28"/>
        </w:rPr>
      </w:pPr>
      <w:r>
        <w:rPr>
          <w:rFonts w:cstheme="minorHAnsi"/>
        </w:rPr>
        <w:br w:type="page"/>
      </w:r>
    </w:p>
    <w:p w14:paraId="6AB05813" w14:textId="77777777" w:rsidR="00515EE4" w:rsidRDefault="00B24E11" w:rsidP="00C34E4F">
      <w:pPr>
        <w:pStyle w:val="Nadpis1"/>
        <w:rPr>
          <w:rFonts w:cstheme="minorHAnsi"/>
        </w:rPr>
      </w:pPr>
      <w:r w:rsidRPr="00930B46">
        <w:rPr>
          <w:rFonts w:cstheme="minorHAnsi"/>
        </w:rPr>
        <w:lastRenderedPageBreak/>
        <w:t>8</w:t>
      </w:r>
      <w:r w:rsidR="00A216D4" w:rsidRPr="00930B46">
        <w:rPr>
          <w:rFonts w:cstheme="minorHAnsi"/>
        </w:rPr>
        <w:t>.</w:t>
      </w:r>
      <w:r w:rsidR="00A216D4" w:rsidRPr="00930B46">
        <w:rPr>
          <w:rFonts w:cstheme="minorHAnsi"/>
        </w:rPr>
        <w:tab/>
      </w:r>
      <w:bookmarkStart w:id="465" w:name="_Toc88653061"/>
      <w:r w:rsidR="00A216D4" w:rsidRPr="00930B46">
        <w:rPr>
          <w:rFonts w:cstheme="minorHAnsi"/>
        </w:rPr>
        <w:t>PRÍLOHY</w:t>
      </w:r>
      <w:r w:rsidR="009510D0">
        <w:rPr>
          <w:rFonts w:cstheme="minorHAnsi"/>
        </w:rPr>
        <w:t xml:space="preserve"> </w:t>
      </w:r>
      <w:r w:rsidR="00515EE4">
        <w:rPr>
          <w:rFonts w:cstheme="minorHAnsi"/>
        </w:rPr>
        <w:t>–</w:t>
      </w:r>
      <w:r w:rsidR="009510D0">
        <w:rPr>
          <w:rFonts w:cstheme="minorHAnsi"/>
        </w:rPr>
        <w:t xml:space="preserve"> zoznam</w:t>
      </w:r>
      <w:bookmarkEnd w:id="465"/>
      <w:r w:rsidR="00515EE4">
        <w:rPr>
          <w:rFonts w:cstheme="minorHAnsi"/>
        </w:rPr>
        <w:t xml:space="preserve"> </w:t>
      </w:r>
    </w:p>
    <w:p w14:paraId="7AF1D785" w14:textId="2DC2003C" w:rsidR="005F7470" w:rsidRPr="00930B46" w:rsidRDefault="00515EE4" w:rsidP="00C34E4F">
      <w:pPr>
        <w:pStyle w:val="Nadpis1"/>
        <w:rPr>
          <w:rFonts w:cstheme="minorHAnsi"/>
        </w:rPr>
      </w:pPr>
      <w:r>
        <w:rPr>
          <w:rFonts w:cstheme="minorHAnsi"/>
        </w:rPr>
        <w:t>Poznámka ŽSR: Prílohy nie sú súčasťou publikačnej verzie.</w:t>
      </w:r>
      <w:bookmarkStart w:id="466" w:name="_GoBack"/>
      <w:bookmarkEnd w:id="466"/>
    </w:p>
    <w:p w14:paraId="4012BC5F" w14:textId="77777777" w:rsidR="00C34E4F" w:rsidRDefault="00C34E4F" w:rsidP="00931169">
      <w:pPr>
        <w:rPr>
          <w:rFonts w:cstheme="minorHAnsi"/>
        </w:rPr>
      </w:pPr>
      <w:r>
        <w:rPr>
          <w:rFonts w:cstheme="minorHAnsi"/>
        </w:rPr>
        <w:t>A</w:t>
      </w:r>
      <w:r w:rsidR="00EC058C" w:rsidRPr="00930B46">
        <w:rPr>
          <w:rFonts w:cstheme="minorHAnsi"/>
        </w:rPr>
        <w:t>) Náklady variantov</w:t>
      </w:r>
      <w:r>
        <w:rPr>
          <w:rFonts w:cstheme="minorHAnsi"/>
        </w:rPr>
        <w:t xml:space="preserve"> - </w:t>
      </w:r>
      <w:r w:rsidRPr="00930B46">
        <w:rPr>
          <w:rFonts w:cstheme="minorHAnsi"/>
        </w:rPr>
        <w:t>elektronická príloha (.xlcs)</w:t>
      </w:r>
    </w:p>
    <w:p w14:paraId="566F8068" w14:textId="714A079B" w:rsidR="00EC058C" w:rsidRPr="00930B46" w:rsidRDefault="00C34E4F" w:rsidP="00931169">
      <w:pPr>
        <w:rPr>
          <w:rFonts w:cstheme="minorHAnsi"/>
        </w:rPr>
      </w:pPr>
      <w:r>
        <w:rPr>
          <w:rFonts w:cstheme="minorHAnsi"/>
        </w:rPr>
        <w:t>B</w:t>
      </w:r>
      <w:r w:rsidR="00EC058C" w:rsidRPr="00930B46">
        <w:rPr>
          <w:rFonts w:cstheme="minorHAnsi"/>
        </w:rPr>
        <w:t>) CBA  - elektronická príloha (.xlcs)</w:t>
      </w:r>
    </w:p>
    <w:p w14:paraId="0E9DFB3D" w14:textId="4C337103" w:rsidR="00EC058C" w:rsidRDefault="00C34E4F" w:rsidP="00931169">
      <w:pPr>
        <w:rPr>
          <w:rFonts w:cstheme="minorHAnsi"/>
        </w:rPr>
      </w:pPr>
      <w:r>
        <w:rPr>
          <w:rFonts w:cstheme="minorHAnsi"/>
        </w:rPr>
        <w:t>C</w:t>
      </w:r>
      <w:r w:rsidR="00EC058C" w:rsidRPr="00930B46">
        <w:rPr>
          <w:rFonts w:cstheme="minorHAnsi"/>
        </w:rPr>
        <w:t>) Dopravný model - elektronická príloha (.xlcs)</w:t>
      </w:r>
    </w:p>
    <w:p w14:paraId="131ECAB7" w14:textId="07D87D38" w:rsidR="00B43070" w:rsidRPr="00930B46" w:rsidRDefault="00C34E4F" w:rsidP="00931169">
      <w:pPr>
        <w:rPr>
          <w:rFonts w:cstheme="minorHAnsi"/>
        </w:rPr>
      </w:pPr>
      <w:r>
        <w:rPr>
          <w:rFonts w:cstheme="minorHAnsi"/>
        </w:rPr>
        <w:t>D</w:t>
      </w:r>
      <w:r w:rsidR="00B43070">
        <w:rPr>
          <w:rFonts w:cstheme="minorHAnsi"/>
        </w:rPr>
        <w:t>) Doklady</w:t>
      </w:r>
    </w:p>
    <w:p w14:paraId="5DBC0463" w14:textId="77777777" w:rsidR="00937B56" w:rsidRPr="00930B46" w:rsidRDefault="00937B56" w:rsidP="00931169">
      <w:pPr>
        <w:rPr>
          <w:rFonts w:cstheme="minorHAnsi"/>
        </w:rPr>
      </w:pPr>
    </w:p>
    <w:p w14:paraId="110130C5" w14:textId="77777777" w:rsidR="00937B56" w:rsidRPr="00930B46" w:rsidRDefault="00937B56" w:rsidP="00931169">
      <w:pPr>
        <w:rPr>
          <w:rFonts w:cstheme="minorHAnsi"/>
        </w:rPr>
      </w:pPr>
    </w:p>
    <w:p w14:paraId="75B8B122" w14:textId="77777777" w:rsidR="00937B56" w:rsidRPr="00930B46" w:rsidRDefault="00937B56" w:rsidP="00931169">
      <w:pPr>
        <w:rPr>
          <w:rFonts w:cstheme="minorHAnsi"/>
        </w:rPr>
      </w:pPr>
    </w:p>
    <w:p w14:paraId="49704EB3" w14:textId="77777777" w:rsidR="00937B56" w:rsidRPr="00930B46" w:rsidRDefault="00937B56" w:rsidP="00931169">
      <w:pPr>
        <w:rPr>
          <w:rFonts w:cstheme="minorHAnsi"/>
        </w:rPr>
      </w:pPr>
    </w:p>
    <w:p w14:paraId="748811D9" w14:textId="77777777" w:rsidR="00937B56" w:rsidRPr="00930B46" w:rsidRDefault="00937B56" w:rsidP="00931169">
      <w:pPr>
        <w:rPr>
          <w:rFonts w:cstheme="minorHAnsi"/>
        </w:rPr>
      </w:pPr>
    </w:p>
    <w:p w14:paraId="2321B675" w14:textId="77777777" w:rsidR="00937B56" w:rsidRPr="00930B46" w:rsidRDefault="00937B56" w:rsidP="00931169">
      <w:pPr>
        <w:rPr>
          <w:rFonts w:cstheme="minorHAnsi"/>
        </w:rPr>
      </w:pPr>
    </w:p>
    <w:p w14:paraId="5F616D76" w14:textId="77777777" w:rsidR="00937B56" w:rsidRPr="00930B46" w:rsidRDefault="00937B56" w:rsidP="00931169">
      <w:pPr>
        <w:rPr>
          <w:rFonts w:cstheme="minorHAnsi"/>
        </w:rPr>
      </w:pPr>
    </w:p>
    <w:p w14:paraId="37B1223B" w14:textId="77777777" w:rsidR="00937B56" w:rsidRPr="00930B46" w:rsidRDefault="00937B56" w:rsidP="00931169">
      <w:pPr>
        <w:rPr>
          <w:rFonts w:cstheme="minorHAnsi"/>
        </w:rPr>
      </w:pPr>
    </w:p>
    <w:p w14:paraId="217B0D86" w14:textId="77777777" w:rsidR="00937B56" w:rsidRPr="00930B46" w:rsidRDefault="00937B56" w:rsidP="00931169">
      <w:pPr>
        <w:rPr>
          <w:rFonts w:cstheme="minorHAnsi"/>
        </w:rPr>
      </w:pPr>
    </w:p>
    <w:p w14:paraId="051666D5" w14:textId="174891E8" w:rsidR="002F0717" w:rsidRDefault="002F0717" w:rsidP="00931169">
      <w:pPr>
        <w:spacing w:after="200" w:line="276" w:lineRule="auto"/>
        <w:rPr>
          <w:rFonts w:eastAsiaTheme="majorEastAsia" w:cstheme="minorHAnsi"/>
          <w:b/>
          <w:bCs/>
          <w:color w:val="4F81BD" w:themeColor="accent1"/>
          <w:sz w:val="26"/>
          <w:szCs w:val="26"/>
        </w:rPr>
      </w:pPr>
    </w:p>
    <w:sectPr w:rsidR="002F0717" w:rsidSect="00F751DA">
      <w:headerReference w:type="default" r:id="rId61"/>
      <w:footerReference w:type="default" r:id="rId62"/>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6D575B2" w14:textId="77777777" w:rsidR="00DC2DF4" w:rsidRDefault="00DC2DF4" w:rsidP="0064498E">
      <w:r>
        <w:separator/>
      </w:r>
    </w:p>
  </w:endnote>
  <w:endnote w:type="continuationSeparator" w:id="0">
    <w:p w14:paraId="67CF60B8" w14:textId="77777777" w:rsidR="00DC2DF4" w:rsidRDefault="00DC2DF4" w:rsidP="006449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LtCn BT">
    <w:altName w:val="Arial Narrow"/>
    <w:charset w:val="00"/>
    <w:family w:val="swiss"/>
    <w:pitch w:val="variable"/>
    <w:sig w:usb0="00000001" w:usb1="00000000" w:usb2="00000000" w:usb3="00000000" w:csb0="0000001B" w:csb1="00000000"/>
  </w:font>
  <w:font w:name="Arial">
    <w:panose1 w:val="020B0604020202020204"/>
    <w:charset w:val="EE"/>
    <w:family w:val="swiss"/>
    <w:pitch w:val="variable"/>
    <w:sig w:usb0="E0002EFF" w:usb1="C000785B" w:usb2="00000009" w:usb3="00000000" w:csb0="000001FF" w:csb1="00000000"/>
  </w:font>
  <w:font w:name="Corbel">
    <w:panose1 w:val="020B0503020204020204"/>
    <w:charset w:val="EE"/>
    <w:family w:val="swiss"/>
    <w:pitch w:val="variable"/>
    <w:sig w:usb0="A00002EF" w:usb1="4000A44B" w:usb2="00000000" w:usb3="00000000" w:csb0="0000019F" w:csb1="00000000"/>
  </w:font>
  <w:font w:name="Tahoma">
    <w:panose1 w:val="020B0604030504040204"/>
    <w:charset w:val="EE"/>
    <w:family w:val="swiss"/>
    <w:pitch w:val="variable"/>
    <w:sig w:usb0="E1002EFF" w:usb1="C000605B" w:usb2="00000029" w:usb3="00000000" w:csb0="000101FF" w:csb1="00000000"/>
  </w:font>
  <w:font w:name="Monotype Sorts">
    <w:altName w:val="Segoe UI Symbol"/>
    <w:panose1 w:val="00000000000000000000"/>
    <w:charset w:val="02"/>
    <w:family w:val="auto"/>
    <w:notTrueType/>
    <w:pitch w:val="variable"/>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EE"/>
    <w:family w:val="swiss"/>
    <w:pitch w:val="variable"/>
    <w:sig w:usb0="A00006FF" w:usb1="4000205B" w:usb2="00000010" w:usb3="00000000" w:csb0="0000019F" w:csb1="00000000"/>
  </w:font>
  <w:font w:name="Humnst777 Lt BT">
    <w:charset w:val="00"/>
    <w:family w:val="swiss"/>
    <w:pitch w:val="variable"/>
    <w:sig w:usb0="800000AF" w:usb1="1000204A" w:usb2="00000000" w:usb3="00000000" w:csb0="00000011" w:csb1="00000000"/>
  </w:font>
  <w:font w:name="Georgia">
    <w:panose1 w:val="02040502050405020303"/>
    <w:charset w:val="EE"/>
    <w:family w:val="roman"/>
    <w:pitch w:val="variable"/>
    <w:sig w:usb0="00000287" w:usb1="00000000" w:usb2="00000000" w:usb3="00000000" w:csb0="0000009F" w:csb1="00000000"/>
  </w:font>
  <w:font w:name="Mangal">
    <w:panose1 w:val="00000400000000000000"/>
    <w:charset w:val="00"/>
    <w:family w:val="roman"/>
    <w:pitch w:val="variable"/>
    <w:sig w:usb0="00008003" w:usb1="00000000" w:usb2="00000000" w:usb3="00000000" w:csb0="00000001" w:csb1="00000000"/>
  </w:font>
  <w:font w:name="Cambria">
    <w:panose1 w:val="02040503050406030204"/>
    <w:charset w:val="EE"/>
    <w:family w:val="roman"/>
    <w:pitch w:val="variable"/>
    <w:sig w:usb0="E00006FF" w:usb1="420024FF" w:usb2="02000000" w:usb3="00000000" w:csb0="0000019F" w:csb1="00000000"/>
  </w:font>
  <w:font w:name="StarSymbol">
    <w:altName w:val="MS Gothic"/>
    <w:charset w:val="80"/>
    <w:family w:val="auto"/>
    <w:pitch w:val="default"/>
  </w:font>
  <w:font w:name="Lucida Sans Unicode">
    <w:panose1 w:val="020B0602030504020204"/>
    <w:charset w:val="EE"/>
    <w:family w:val="swiss"/>
    <w:pitch w:val="variable"/>
    <w:sig w:usb0="80000AFF" w:usb1="0000396B" w:usb2="00000000" w:usb3="00000000" w:csb0="000000BF" w:csb1="00000000"/>
  </w:font>
  <w:font w:name="EUAlbertina">
    <w:altName w:val="Times New Roman"/>
    <w:panose1 w:val="00000000000000000000"/>
    <w:charset w:val="00"/>
    <w:family w:val="roman"/>
    <w:notTrueType/>
    <w:pitch w:val="default"/>
    <w:sig w:usb0="00000003" w:usb1="00000000" w:usb2="00000000" w:usb3="00000000" w:csb0="00000001" w:csb1="00000000"/>
  </w:font>
  <w:font w:name="ITC Bookman EE">
    <w:panose1 w:val="00000000000000000000"/>
    <w:charset w:val="EE"/>
    <w:family w:val="roman"/>
    <w:notTrueType/>
    <w:pitch w:val="variable"/>
    <w:sig w:usb0="00000005" w:usb1="00000000" w:usb2="00000000" w:usb3="00000000" w:csb0="00000002" w:csb1="00000000"/>
  </w:font>
  <w:font w:name="Lucida Sans">
    <w:altName w:val="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2"/>
      </w:rPr>
      <w:id w:val="1844201214"/>
      <w:docPartObj>
        <w:docPartGallery w:val="Page Numbers (Bottom of Page)"/>
        <w:docPartUnique/>
      </w:docPartObj>
    </w:sdtPr>
    <w:sdtEndPr/>
    <w:sdtContent>
      <w:p w14:paraId="19E5BB08" w14:textId="77777777" w:rsidR="00E579AE" w:rsidRDefault="00E579AE" w:rsidP="00E579AE">
        <w:pPr>
          <w:pStyle w:val="Pta"/>
          <w:jc w:val="right"/>
          <w:rPr>
            <w:sz w:val="20"/>
            <w:szCs w:val="20"/>
          </w:rPr>
        </w:pPr>
      </w:p>
      <w:p w14:paraId="1D44E8CA" w14:textId="308E6FE3" w:rsidR="00E579AE" w:rsidRPr="00877955" w:rsidRDefault="00E579AE" w:rsidP="00E579AE">
        <w:pPr>
          <w:pStyle w:val="Pta"/>
          <w:jc w:val="right"/>
          <w:rPr>
            <w:sz w:val="20"/>
            <w:szCs w:val="20"/>
          </w:rPr>
        </w:pPr>
        <w:r>
          <w:rPr>
            <w:noProof/>
            <w:sz w:val="20"/>
            <w:szCs w:val="20"/>
            <w:lang w:eastAsia="sk-SK"/>
          </w:rPr>
          <w:drawing>
            <wp:anchor distT="0" distB="0" distL="114300" distR="114300" simplePos="0" relativeHeight="251688448" behindDoc="0" locked="0" layoutInCell="1" allowOverlap="1" wp14:anchorId="795AD646" wp14:editId="2CDB29A7">
              <wp:simplePos x="0" y="0"/>
              <wp:positionH relativeFrom="column">
                <wp:posOffset>53492</wp:posOffset>
              </wp:positionH>
              <wp:positionV relativeFrom="paragraph">
                <wp:posOffset>-124744</wp:posOffset>
              </wp:positionV>
              <wp:extent cx="1056422" cy="266132"/>
              <wp:effectExtent l="19050" t="0" r="0" b="0"/>
              <wp:wrapNone/>
              <wp:docPr id="220" name="Obrázok 2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
                      <a:srcRect/>
                      <a:stretch>
                        <a:fillRect/>
                      </a:stretch>
                    </pic:blipFill>
                    <pic:spPr bwMode="auto">
                      <a:xfrm>
                        <a:off x="0" y="0"/>
                        <a:ext cx="1056422" cy="266132"/>
                      </a:xfrm>
                      <a:prstGeom prst="rect">
                        <a:avLst/>
                      </a:prstGeom>
                      <a:noFill/>
                      <a:ln w="9525">
                        <a:noFill/>
                        <a:miter lim="800000"/>
                        <a:headEnd/>
                        <a:tailEnd/>
                      </a:ln>
                    </pic:spPr>
                  </pic:pic>
                </a:graphicData>
              </a:graphic>
            </wp:anchor>
          </w:drawing>
        </w:r>
        <w:r>
          <w:rPr>
            <w:noProof/>
            <w:sz w:val="20"/>
            <w:szCs w:val="20"/>
            <w:lang w:eastAsia="sk-SK"/>
          </w:rPr>
          <mc:AlternateContent>
            <mc:Choice Requires="wps">
              <w:drawing>
                <wp:anchor distT="0" distB="0" distL="114300" distR="114300" simplePos="0" relativeHeight="251689472" behindDoc="0" locked="0" layoutInCell="1" allowOverlap="1" wp14:anchorId="6ED9A6A2" wp14:editId="2EDA932F">
                  <wp:simplePos x="0" y="0"/>
                  <wp:positionH relativeFrom="margin">
                    <wp:posOffset>0</wp:posOffset>
                  </wp:positionH>
                  <wp:positionV relativeFrom="margin">
                    <wp:posOffset>8789670</wp:posOffset>
                  </wp:positionV>
                  <wp:extent cx="5760085" cy="0"/>
                  <wp:effectExtent l="19050" t="26670" r="21590" b="20955"/>
                  <wp:wrapSquare wrapText="bothSides"/>
                  <wp:docPr id="54"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straightConnector1">
                            <a:avLst/>
                          </a:prstGeom>
                          <a:noFill/>
                          <a:ln w="3810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D9369AB" id="_x0000_t32" coordsize="21600,21600" o:spt="32" o:oned="t" path="m,l21600,21600e" filled="f">
                  <v:path arrowok="t" fillok="f" o:connecttype="none"/>
                  <o:lock v:ext="edit" shapetype="t"/>
                </v:shapetype>
                <v:shape id="AutoShape 2" o:spid="_x0000_s1026" type="#_x0000_t32" style="position:absolute;margin-left:0;margin-top:692.1pt;width:453.55pt;height:0;z-index:25168947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" strokecolor="#002060" strokeweight="3pt">
                  <v:shadow color="#868686"/>
                  <w10:wrap type="square" anchorx="margin" anchory="margin"/>
                </v:shape>
              </w:pict>
            </mc:Fallback>
          </mc:AlternateContent>
        </w:r>
        <w:r w:rsidRPr="00877955">
          <w:rPr>
            <w:sz w:val="20"/>
            <w:szCs w:val="20"/>
          </w:rPr>
          <w:tab/>
        </w:r>
        <w:r w:rsidRPr="00877955">
          <w:rPr>
            <w:sz w:val="20"/>
            <w:szCs w:val="20"/>
          </w:rPr>
          <w:fldChar w:fldCharType="begin"/>
        </w:r>
        <w:r w:rsidRPr="00877955">
          <w:rPr>
            <w:sz w:val="20"/>
            <w:szCs w:val="20"/>
          </w:rPr>
          <w:instrText xml:space="preserve"> PAGE   \* MERGEFORMAT </w:instrText>
        </w:r>
        <w:r w:rsidRPr="00877955">
          <w:rPr>
            <w:sz w:val="20"/>
            <w:szCs w:val="20"/>
          </w:rPr>
          <w:fldChar w:fldCharType="separate"/>
        </w:r>
        <w:r w:rsidR="00515EE4">
          <w:rPr>
            <w:noProof/>
            <w:sz w:val="20"/>
            <w:szCs w:val="20"/>
          </w:rPr>
          <w:t>124</w:t>
        </w:r>
        <w:r w:rsidRPr="00877955">
          <w:rPr>
            <w:sz w:val="20"/>
            <w:szCs w:val="20"/>
          </w:rPr>
          <w:fldChar w:fldCharType="end"/>
        </w:r>
      </w:p>
      <w:p w14:paraId="77A360C6" w14:textId="77777777" w:rsidR="00E579AE" w:rsidRDefault="00E579AE" w:rsidP="00E579AE"/>
      <w:p w14:paraId="51C49280" w14:textId="77777777" w:rsidR="00E579AE" w:rsidRDefault="00E579AE" w:rsidP="00E579AE"/>
      <w:p w14:paraId="0F169EB8" w14:textId="56FCB0FE" w:rsidR="001A24C3" w:rsidRDefault="00DC2DF4">
        <w:pPr>
          <w:pStyle w:val="Zpat1"/>
          <w:jc w:val="right"/>
          <w:rPr>
            <w:color w:val="8A0000"/>
            <w:sz w:val="28"/>
            <w:szCs w:val="28"/>
          </w:rPr>
        </w:pPr>
      </w:p>
    </w:sdtContent>
  </w:sdt>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9F37B2F" w14:textId="20B2D199" w:rsidR="00E579AE" w:rsidRDefault="00E579AE" w:rsidP="00E579AE">
    <w:pPr>
      <w:pStyle w:val="Pta"/>
      <w:jc w:val="right"/>
      <w:rPr>
        <w:sz w:val="20"/>
        <w:szCs w:val="20"/>
      </w:rPr>
    </w:pPr>
    <w:r>
      <w:tab/>
    </w:r>
  </w:p>
  <w:sdt>
    <w:sdtPr>
      <w:rPr>
        <w:sz w:val="22"/>
      </w:rPr>
      <w:id w:val="-13920607"/>
      <w:docPartObj>
        <w:docPartGallery w:val="Page Numbers (Bottom of Page)"/>
        <w:docPartUnique/>
      </w:docPartObj>
    </w:sdtPr>
    <w:sdtEndPr/>
    <w:sdtContent>
      <w:p w14:paraId="76E3C6AB" w14:textId="7C0A954D" w:rsidR="006D4862" w:rsidRDefault="009124A9" w:rsidP="006D4862">
        <w:pPr>
          <w:pStyle w:val="Pta"/>
          <w:jc w:val="right"/>
          <w:rPr>
            <w:sz w:val="20"/>
            <w:szCs w:val="20"/>
          </w:rPr>
        </w:pPr>
        <w:r>
          <w:rPr>
            <w:noProof/>
            <w:sz w:val="20"/>
            <w:szCs w:val="20"/>
            <w:lang w:eastAsia="sk-SK"/>
          </w:rPr>
          <w:drawing>
            <wp:anchor distT="0" distB="0" distL="114300" distR="114300" simplePos="0" relativeHeight="251697664" behindDoc="0" locked="0" layoutInCell="1" allowOverlap="1" wp14:anchorId="16ED3364" wp14:editId="2BEC8CB1">
              <wp:simplePos x="0" y="0"/>
              <wp:positionH relativeFrom="margin">
                <wp:align>left</wp:align>
              </wp:positionH>
              <wp:positionV relativeFrom="paragraph">
                <wp:posOffset>119767</wp:posOffset>
              </wp:positionV>
              <wp:extent cx="1056422" cy="266132"/>
              <wp:effectExtent l="0" t="0" r="0" b="635"/>
              <wp:wrapNone/>
              <wp:docPr id="222" name="Obrázok 2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
                      <a:srcRect/>
                      <a:stretch>
                        <a:fillRect/>
                      </a:stretch>
                    </pic:blipFill>
                    <pic:spPr bwMode="auto">
                      <a:xfrm>
                        <a:off x="0" y="0"/>
                        <a:ext cx="1056422" cy="266132"/>
                      </a:xfrm>
                      <a:prstGeom prst="rect">
                        <a:avLst/>
                      </a:prstGeom>
                      <a:noFill/>
                      <a:ln w="9525">
                        <a:noFill/>
                        <a:miter lim="800000"/>
                        <a:headEnd/>
                        <a:tailEnd/>
                      </a:ln>
                    </pic:spPr>
                  </pic:pic>
                </a:graphicData>
              </a:graphic>
            </wp:anchor>
          </w:drawing>
        </w:r>
      </w:p>
      <w:p w14:paraId="1B49870F" w14:textId="4ADC37B4" w:rsidR="006D4862" w:rsidRPr="00877955" w:rsidRDefault="006D4862" w:rsidP="006D4862">
        <w:pPr>
          <w:pStyle w:val="Pta"/>
          <w:jc w:val="right"/>
          <w:rPr>
            <w:sz w:val="20"/>
            <w:szCs w:val="20"/>
          </w:rPr>
        </w:pPr>
        <w:r>
          <w:rPr>
            <w:noProof/>
            <w:sz w:val="20"/>
            <w:szCs w:val="20"/>
            <w:lang w:eastAsia="sk-SK"/>
          </w:rPr>
          <mc:AlternateContent>
            <mc:Choice Requires="wps">
              <w:drawing>
                <wp:anchor distT="0" distB="0" distL="114300" distR="114300" simplePos="0" relativeHeight="251698688" behindDoc="0" locked="0" layoutInCell="1" allowOverlap="1" wp14:anchorId="3F31AAD0" wp14:editId="697D35EA">
                  <wp:simplePos x="0" y="0"/>
                  <wp:positionH relativeFrom="margin">
                    <wp:posOffset>0</wp:posOffset>
                  </wp:positionH>
                  <wp:positionV relativeFrom="margin">
                    <wp:posOffset>8789670</wp:posOffset>
                  </wp:positionV>
                  <wp:extent cx="5760085" cy="0"/>
                  <wp:effectExtent l="19050" t="26670" r="21590" b="20955"/>
                  <wp:wrapSquare wrapText="bothSides"/>
                  <wp:docPr id="149"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straightConnector1">
                            <a:avLst/>
                          </a:prstGeom>
                          <a:noFill/>
                          <a:ln w="3810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8EF1B9F" id="_x0000_t32" coordsize="21600,21600" o:spt="32" o:oned="t" path="m,l21600,21600e" filled="f">
                  <v:path arrowok="t" fillok="f" o:connecttype="none"/>
                  <o:lock v:ext="edit" shapetype="t"/>
                </v:shapetype>
                <v:shape id="AutoShape 2" o:spid="_x0000_s1026" type="#_x0000_t32" style="position:absolute;margin-left:0;margin-top:692.1pt;width:453.55pt;height:0;z-index:25169868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" strokecolor="#002060" strokeweight="3pt">
                  <v:shadow color="#868686"/>
                  <w10:wrap type="square" anchorx="margin" anchory="margin"/>
                </v:shape>
              </w:pict>
            </mc:Fallback>
          </mc:AlternateContent>
        </w:r>
        <w:r w:rsidRPr="00877955">
          <w:rPr>
            <w:sz w:val="20"/>
            <w:szCs w:val="20"/>
          </w:rPr>
          <w:tab/>
        </w:r>
        <w:r w:rsidRPr="00877955">
          <w:rPr>
            <w:sz w:val="20"/>
            <w:szCs w:val="20"/>
          </w:rPr>
          <w:fldChar w:fldCharType="begin"/>
        </w:r>
        <w:r w:rsidRPr="00877955">
          <w:rPr>
            <w:sz w:val="20"/>
            <w:szCs w:val="20"/>
          </w:rPr>
          <w:instrText xml:space="preserve"> PAGE   \* MERGEFORMAT </w:instrText>
        </w:r>
        <w:r w:rsidRPr="00877955">
          <w:rPr>
            <w:sz w:val="20"/>
            <w:szCs w:val="20"/>
          </w:rPr>
          <w:fldChar w:fldCharType="separate"/>
        </w:r>
        <w:r w:rsidR="00515EE4">
          <w:rPr>
            <w:noProof/>
            <w:sz w:val="20"/>
            <w:szCs w:val="20"/>
          </w:rPr>
          <w:t>141</w:t>
        </w:r>
        <w:r w:rsidRPr="00877955">
          <w:rPr>
            <w:sz w:val="20"/>
            <w:szCs w:val="20"/>
          </w:rPr>
          <w:fldChar w:fldCharType="end"/>
        </w:r>
      </w:p>
      <w:p w14:paraId="6ECF0484" w14:textId="4B41AEA1" w:rsidR="006D4862" w:rsidRDefault="00DC2DF4" w:rsidP="006D4862">
        <w:pPr>
          <w:pStyle w:val="Zpat1"/>
          <w:jc w:val="right"/>
        </w:pPr>
      </w:p>
    </w:sdtContent>
  </w:sdt>
  <w:p w14:paraId="323B44B2" w14:textId="04FBD609" w:rsidR="00E579AE" w:rsidRDefault="00E579AE" w:rsidP="009124A9">
    <w:pPr>
      <w:pStyle w:val="Pta"/>
    </w:pPr>
    <w:r>
      <w:rPr>
        <w:noProof/>
        <w:sz w:val="20"/>
        <w:szCs w:val="20"/>
        <w:lang w:eastAsia="sk-SK"/>
      </w:rPr>
      <mc:AlternateContent>
        <mc:Choice Requires="wps">
          <w:drawing>
            <wp:anchor distT="0" distB="0" distL="114300" distR="114300" simplePos="0" relativeHeight="251686400" behindDoc="0" locked="0" layoutInCell="1" allowOverlap="1" wp14:anchorId="09F1AF7D" wp14:editId="677B486D">
              <wp:simplePos x="0" y="0"/>
              <wp:positionH relativeFrom="margin">
                <wp:posOffset>0</wp:posOffset>
              </wp:positionH>
              <wp:positionV relativeFrom="margin">
                <wp:posOffset>8789670</wp:posOffset>
              </wp:positionV>
              <wp:extent cx="5760085" cy="0"/>
              <wp:effectExtent l="19050" t="26670" r="21590" b="20955"/>
              <wp:wrapSquare wrapText="bothSides"/>
              <wp:docPr id="52"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straightConnector1">
                        <a:avLst/>
                      </a:prstGeom>
                      <a:noFill/>
                      <a:ln w="3810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B120FC2" id="AutoShape 2" o:spid="_x0000_s1026" type="#_x0000_t32" style="position:absolute;margin-left:0;margin-top:692.1pt;width:453.55pt;height:0;z-index:25168640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" strokecolor="#002060" strokeweight="3pt">
              <v:shadow color="#868686"/>
              <w10:wrap type="square" anchorx="margin" anchory="margin"/>
            </v:shape>
          </w:pict>
        </mc:Fallback>
      </mc:AlternateContent>
    </w:r>
    <w:r w:rsidRPr="00877955">
      <w:rPr>
        <w:sz w:val="20"/>
        <w:szCs w:val="20"/>
      </w:rPr>
      <w:tab/>
    </w:r>
  </w:p>
  <w:p w14:paraId="26C73316" w14:textId="3D72C2FC" w:rsidR="00E579AE" w:rsidRDefault="00E579AE" w:rsidP="00E579AE"/>
  <w:p w14:paraId="2DEE7CB3" w14:textId="2CDE2644" w:rsidR="00E579AE" w:rsidRDefault="009124A9" w:rsidP="009124A9">
    <w:pPr>
      <w:pStyle w:val="Pta"/>
      <w:tabs>
        <w:tab w:val="clear" w:pos="4536"/>
        <w:tab w:val="clear" w:pos="9072"/>
        <w:tab w:val="left" w:pos="1139"/>
      </w:tabs>
    </w:pPr>
    <w:r>
      <w:tab/>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22"/>
      </w:rPr>
      <w:id w:val="-1748801387"/>
      <w:docPartObj>
        <w:docPartGallery w:val="Page Numbers (Bottom of Page)"/>
        <w:docPartUnique/>
      </w:docPartObj>
    </w:sdtPr>
    <w:sdtEndPr/>
    <w:sdtContent>
      <w:sdt>
        <w:sdtPr>
          <w:id w:val="-1629384902"/>
          <w:docPartObj>
            <w:docPartGallery w:val="Page Numbers (Bottom of Page)"/>
            <w:docPartUnique/>
          </w:docPartObj>
        </w:sdtPr>
        <w:sdtEndPr/>
        <w:sdtContent>
          <w:p w14:paraId="0793448B" w14:textId="2A8C7F8B" w:rsidR="009124A9" w:rsidRDefault="009124A9" w:rsidP="009124A9">
            <w:pPr>
              <w:pStyle w:val="Pta"/>
              <w:jc w:val="right"/>
              <w:rPr>
                <w:sz w:val="20"/>
                <w:szCs w:val="20"/>
              </w:rPr>
            </w:pPr>
          </w:p>
          <w:p w14:paraId="5AD3B362" w14:textId="5F3EC5C1" w:rsidR="009124A9" w:rsidRPr="009124A9" w:rsidRDefault="000E5539" w:rsidP="009124A9">
            <w:pPr>
              <w:pStyle w:val="Pta"/>
              <w:jc w:val="right"/>
              <w:rPr>
                <w:sz w:val="20"/>
                <w:szCs w:val="20"/>
              </w:rPr>
            </w:pPr>
            <w:r>
              <w:rPr>
                <w:noProof/>
                <w:sz w:val="20"/>
                <w:szCs w:val="20"/>
                <w:lang w:eastAsia="sk-SK"/>
              </w:rPr>
              <w:drawing>
                <wp:anchor distT="0" distB="0" distL="114300" distR="114300" simplePos="0" relativeHeight="251700736" behindDoc="0" locked="0" layoutInCell="1" allowOverlap="1" wp14:anchorId="3470FE1A" wp14:editId="6C8843A7">
                  <wp:simplePos x="0" y="0"/>
                  <wp:positionH relativeFrom="margin">
                    <wp:align>left</wp:align>
                  </wp:positionH>
                  <wp:positionV relativeFrom="paragraph">
                    <wp:posOffset>-148590</wp:posOffset>
                  </wp:positionV>
                  <wp:extent cx="1056422" cy="266132"/>
                  <wp:effectExtent l="0" t="0" r="0" b="635"/>
                  <wp:wrapNone/>
                  <wp:docPr id="173" name="Obrázok 1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
                          <a:srcRect/>
                          <a:stretch>
                            <a:fillRect/>
                          </a:stretch>
                        </pic:blipFill>
                        <pic:spPr bwMode="auto">
                          <a:xfrm>
                            <a:off x="0" y="0"/>
                            <a:ext cx="1056422" cy="266132"/>
                          </a:xfrm>
                          <a:prstGeom prst="rect">
                            <a:avLst/>
                          </a:prstGeom>
                          <a:noFill/>
                          <a:ln w="9525">
                            <a:noFill/>
                            <a:miter lim="800000"/>
                            <a:headEnd/>
                            <a:tailEnd/>
                          </a:ln>
                        </pic:spPr>
                      </pic:pic>
                    </a:graphicData>
                  </a:graphic>
                </wp:anchor>
              </w:drawing>
            </w:r>
            <w:r w:rsidR="009124A9">
              <w:rPr>
                <w:noProof/>
                <w:sz w:val="20"/>
                <w:szCs w:val="20"/>
                <w:lang w:eastAsia="sk-SK"/>
              </w:rPr>
              <mc:AlternateContent>
                <mc:Choice Requires="wps">
                  <w:drawing>
                    <wp:anchor distT="0" distB="0" distL="114300" distR="114300" simplePos="0" relativeHeight="251701760" behindDoc="0" locked="0" layoutInCell="1" allowOverlap="1" wp14:anchorId="04017302" wp14:editId="46A5D716">
                      <wp:simplePos x="0" y="0"/>
                      <wp:positionH relativeFrom="margin">
                        <wp:posOffset>0</wp:posOffset>
                      </wp:positionH>
                      <wp:positionV relativeFrom="margin">
                        <wp:posOffset>8789670</wp:posOffset>
                      </wp:positionV>
                      <wp:extent cx="5760085" cy="0"/>
                      <wp:effectExtent l="19050" t="26670" r="21590" b="20955"/>
                      <wp:wrapSquare wrapText="bothSides"/>
                      <wp:docPr id="157"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straightConnector1">
                                <a:avLst/>
                              </a:prstGeom>
                              <a:noFill/>
                              <a:ln w="3810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5ABAC814" id="_x0000_t32" coordsize="21600,21600" o:spt="32" o:oned="t" path="m,l21600,21600e" filled="f">
                      <v:path arrowok="t" fillok="f" o:connecttype="none"/>
                      <o:lock v:ext="edit" shapetype="t"/>
                    </v:shapetype>
                    <v:shape id="AutoShape 2" o:spid="_x0000_s1026" type="#_x0000_t32" style="position:absolute;margin-left:0;margin-top:692.1pt;width:453.55pt;height:0;z-index:2517017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" strokecolor="#002060" strokeweight="3pt">
                      <v:shadow color="#868686"/>
                      <w10:wrap type="square" anchorx="margin" anchory="margin"/>
                    </v:shape>
                  </w:pict>
                </mc:Fallback>
              </mc:AlternateContent>
            </w:r>
            <w:r w:rsidR="009124A9" w:rsidRPr="00877955">
              <w:rPr>
                <w:sz w:val="20"/>
                <w:szCs w:val="20"/>
              </w:rPr>
              <w:tab/>
            </w:r>
            <w:r w:rsidR="009124A9" w:rsidRPr="00877955">
              <w:rPr>
                <w:sz w:val="20"/>
                <w:szCs w:val="20"/>
              </w:rPr>
              <w:fldChar w:fldCharType="begin"/>
            </w:r>
            <w:r w:rsidR="009124A9" w:rsidRPr="00877955">
              <w:rPr>
                <w:sz w:val="20"/>
                <w:szCs w:val="20"/>
              </w:rPr>
              <w:instrText xml:space="preserve"> PAGE   \* MERGEFORMAT </w:instrText>
            </w:r>
            <w:r w:rsidR="009124A9" w:rsidRPr="00877955">
              <w:rPr>
                <w:sz w:val="20"/>
                <w:szCs w:val="20"/>
              </w:rPr>
              <w:fldChar w:fldCharType="separate"/>
            </w:r>
            <w:r w:rsidR="00515EE4">
              <w:rPr>
                <w:noProof/>
                <w:sz w:val="20"/>
                <w:szCs w:val="20"/>
              </w:rPr>
              <w:t>140</w:t>
            </w:r>
            <w:r w:rsidR="009124A9" w:rsidRPr="00877955">
              <w:rPr>
                <w:sz w:val="20"/>
                <w:szCs w:val="20"/>
              </w:rPr>
              <w:fldChar w:fldCharType="end"/>
            </w:r>
          </w:p>
        </w:sdtContent>
      </w:sdt>
      <w:p w14:paraId="1D03DF85" w14:textId="06959B3C" w:rsidR="007E1BED" w:rsidRDefault="007E1BED" w:rsidP="00AF44EA">
        <w:pPr>
          <w:pStyle w:val="Pta"/>
          <w:jc w:val="left"/>
          <w:rPr>
            <w:sz w:val="20"/>
            <w:szCs w:val="20"/>
          </w:rPr>
        </w:pPr>
      </w:p>
      <w:p w14:paraId="1308204A" w14:textId="5D24DAC3" w:rsidR="001A24C3" w:rsidRDefault="00DC2DF4">
        <w:pPr>
          <w:pStyle w:val="Zpat1"/>
          <w:jc w:val="right"/>
          <w:rPr>
            <w:color w:val="8A0000"/>
            <w:sz w:val="28"/>
            <w:szCs w:val="28"/>
          </w:rPr>
        </w:pPr>
      </w:p>
    </w:sdtContent>
  </w:sdt>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C012C7" w14:textId="05BC2F30" w:rsidR="00E579AE" w:rsidRDefault="006A1E13" w:rsidP="00877955">
    <w:pPr>
      <w:pStyle w:val="Pta"/>
      <w:jc w:val="right"/>
      <w:rPr>
        <w:sz w:val="20"/>
        <w:szCs w:val="20"/>
      </w:rPr>
    </w:pPr>
    <w:r>
      <w:rPr>
        <w:noProof/>
        <w:sz w:val="20"/>
        <w:szCs w:val="20"/>
        <w:lang w:eastAsia="sk-SK"/>
      </w:rPr>
      <w:drawing>
        <wp:anchor distT="0" distB="0" distL="114300" distR="114300" simplePos="0" relativeHeight="251694592" behindDoc="0" locked="0" layoutInCell="1" allowOverlap="1" wp14:anchorId="30C7FD62" wp14:editId="6FC69E67">
          <wp:simplePos x="0" y="0"/>
          <wp:positionH relativeFrom="margin">
            <wp:posOffset>28575</wp:posOffset>
          </wp:positionH>
          <wp:positionV relativeFrom="paragraph">
            <wp:posOffset>53340</wp:posOffset>
          </wp:positionV>
          <wp:extent cx="1056422" cy="266132"/>
          <wp:effectExtent l="0" t="0" r="0" b="635"/>
          <wp:wrapNone/>
          <wp:docPr id="139" name="Obrázok 1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rrowheads="1"/>
                  </pic:cNvPicPr>
                </pic:nvPicPr>
                <pic:blipFill>
                  <a:blip r:embed="rId1"/>
                  <a:srcRect/>
                  <a:stretch>
                    <a:fillRect/>
                  </a:stretch>
                </pic:blipFill>
                <pic:spPr bwMode="auto">
                  <a:xfrm>
                    <a:off x="0" y="0"/>
                    <a:ext cx="1056422" cy="266132"/>
                  </a:xfrm>
                  <a:prstGeom prst="rect">
                    <a:avLst/>
                  </a:prstGeom>
                  <a:noFill/>
                  <a:ln w="9525">
                    <a:noFill/>
                    <a:miter lim="800000"/>
                    <a:headEnd/>
                    <a:tailEnd/>
                  </a:ln>
                </pic:spPr>
              </pic:pic>
            </a:graphicData>
          </a:graphic>
        </wp:anchor>
      </w:drawing>
    </w:r>
  </w:p>
  <w:p w14:paraId="09FB7C95" w14:textId="1A09D1A4" w:rsidR="007E1BED" w:rsidRDefault="007E1BED" w:rsidP="007E1BED">
    <w:pPr>
      <w:pStyle w:val="Pta"/>
      <w:jc w:val="right"/>
      <w:rPr>
        <w:sz w:val="20"/>
        <w:szCs w:val="20"/>
      </w:rPr>
    </w:pPr>
  </w:p>
  <w:p w14:paraId="0FE7201F" w14:textId="5CF85F26" w:rsidR="007E1BED" w:rsidRPr="00877955" w:rsidRDefault="007E1BED" w:rsidP="007E1BED">
    <w:pPr>
      <w:pStyle w:val="Pta"/>
      <w:jc w:val="right"/>
      <w:rPr>
        <w:sz w:val="20"/>
        <w:szCs w:val="20"/>
      </w:rPr>
    </w:pPr>
    <w:r>
      <w:rPr>
        <w:noProof/>
        <w:sz w:val="20"/>
        <w:szCs w:val="20"/>
        <w:lang w:eastAsia="sk-SK"/>
      </w:rPr>
      <mc:AlternateContent>
        <mc:Choice Requires="wps">
          <w:drawing>
            <wp:anchor distT="0" distB="0" distL="114300" distR="114300" simplePos="0" relativeHeight="251695616" behindDoc="0" locked="0" layoutInCell="1" allowOverlap="1" wp14:anchorId="408B077D" wp14:editId="30AB2BDE">
              <wp:simplePos x="0" y="0"/>
              <wp:positionH relativeFrom="margin">
                <wp:posOffset>0</wp:posOffset>
              </wp:positionH>
              <wp:positionV relativeFrom="margin">
                <wp:posOffset>8789670</wp:posOffset>
              </wp:positionV>
              <wp:extent cx="5760085" cy="0"/>
              <wp:effectExtent l="19050" t="26670" r="21590" b="20955"/>
              <wp:wrapSquare wrapText="bothSides"/>
              <wp:docPr id="138" name="AutoShap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0085" cy="0"/>
                      </a:xfrm>
                      <a:prstGeom prst="straightConnector1">
                        <a:avLst/>
                      </a:prstGeom>
                      <a:noFill/>
                      <a:ln w="38100">
                        <a:solidFill>
                          <a:srgbClr val="00206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B8CBBFA" id="_x0000_t32" coordsize="21600,21600" o:spt="32" o:oned="t" path="m,l21600,21600e" filled="f">
              <v:path arrowok="t" fillok="f" o:connecttype="none"/>
              <o:lock v:ext="edit" shapetype="t"/>
            </v:shapetype>
            <v:shape id="AutoShape 2" o:spid="_x0000_s1026" type="#_x0000_t32" style="position:absolute;margin-left:0;margin-top:692.1pt;width:453.55pt;height:0;z-index:2516956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" strokecolor="#002060" strokeweight="3pt">
              <v:shadow color="#868686"/>
              <w10:wrap type="square" anchorx="margin" anchory="margin"/>
            </v:shape>
          </w:pict>
        </mc:Fallback>
      </mc:AlternateContent>
    </w:r>
    <w:r w:rsidRPr="00877955">
      <w:rPr>
        <w:sz w:val="20"/>
        <w:szCs w:val="20"/>
      </w:rPr>
      <w:tab/>
    </w:r>
    <w:r w:rsidRPr="00877955">
      <w:rPr>
        <w:sz w:val="20"/>
        <w:szCs w:val="20"/>
      </w:rPr>
      <w:fldChar w:fldCharType="begin"/>
    </w:r>
    <w:r w:rsidRPr="00877955">
      <w:rPr>
        <w:sz w:val="20"/>
        <w:szCs w:val="20"/>
      </w:rPr>
      <w:instrText xml:space="preserve"> PAGE   \* MERGEFORMAT </w:instrText>
    </w:r>
    <w:r w:rsidRPr="00877955">
      <w:rPr>
        <w:sz w:val="20"/>
        <w:szCs w:val="20"/>
      </w:rPr>
      <w:fldChar w:fldCharType="separate"/>
    </w:r>
    <w:r w:rsidR="00515EE4">
      <w:rPr>
        <w:noProof/>
        <w:sz w:val="20"/>
        <w:szCs w:val="20"/>
      </w:rPr>
      <w:t>146</w:t>
    </w:r>
    <w:r w:rsidRPr="00877955">
      <w:rPr>
        <w:sz w:val="20"/>
        <w:szCs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9C822CD" w14:textId="77777777" w:rsidR="00DC2DF4" w:rsidRDefault="00DC2DF4" w:rsidP="0064498E">
      <w:r>
        <w:separator/>
      </w:r>
    </w:p>
  </w:footnote>
  <w:footnote w:type="continuationSeparator" w:id="0">
    <w:p w14:paraId="5A381FE3" w14:textId="77777777" w:rsidR="00DC2DF4" w:rsidRDefault="00DC2DF4" w:rsidP="0064498E">
      <w:r>
        <w:continuationSeparator/>
      </w:r>
    </w:p>
  </w:footnote>
  <w:footnote w:id="1">
    <w:p w14:paraId="5FEE1699" w14:textId="77777777" w:rsidR="001C5DDF" w:rsidRDefault="001C5DDF" w:rsidP="00E03380">
      <w:pPr>
        <w:pStyle w:val="Textpoznmkypodiarou"/>
      </w:pPr>
      <w:r>
        <w:rPr>
          <w:rStyle w:val="Odkaznapoznmkupodiarou"/>
        </w:rPr>
        <w:footnoteRef/>
      </w:r>
      <w:r>
        <w:t xml:space="preserve"> </w:t>
      </w:r>
      <w:hyperlink r:id="rId1" w:history="1">
        <w:r w:rsidRPr="00877315">
          <w:rPr>
            <w:rStyle w:val="Hypertextovprepojenie"/>
          </w:rPr>
          <w:t>http://www.telecom.gov.sk/index/index.php?ids=200559</w:t>
        </w:r>
      </w:hyperlink>
    </w:p>
    <w:p w14:paraId="4BE5C9EB" w14:textId="77777777" w:rsidR="001C5DDF" w:rsidRDefault="001C5DDF" w:rsidP="00E03380">
      <w:pPr>
        <w:pStyle w:val="Textpoznmkypodiarou"/>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F83416D" w14:textId="77777777" w:rsidR="00E579AE" w:rsidRPr="00877955" w:rsidRDefault="001A24C3" w:rsidP="00E579AE">
    <w:pPr>
      <w:pStyle w:val="Hlavika"/>
      <w:ind w:left="851"/>
      <w:jc w:val="right"/>
      <w:rPr>
        <w:sz w:val="20"/>
      </w:rPr>
    </w:pPr>
    <w:r>
      <w:tab/>
    </w:r>
    <w:r w:rsidR="00E579AE">
      <w:rPr>
        <w:noProof/>
        <w:sz w:val="20"/>
        <w:lang w:eastAsia="sk-SK"/>
      </w:rPr>
      <w:drawing>
        <wp:anchor distT="0" distB="0" distL="114300" distR="114300" simplePos="0" relativeHeight="251677184" behindDoc="1" locked="0" layoutInCell="1" allowOverlap="1" wp14:anchorId="2B7F72DC" wp14:editId="53662249">
          <wp:simplePos x="0" y="0"/>
          <wp:positionH relativeFrom="column">
            <wp:posOffset>20007</wp:posOffset>
          </wp:positionH>
          <wp:positionV relativeFrom="paragraph">
            <wp:posOffset>796</wp:posOffset>
          </wp:positionV>
          <wp:extent cx="451637" cy="327546"/>
          <wp:effectExtent l="19050" t="0" r="5563" b="0"/>
          <wp:wrapNone/>
          <wp:docPr id="219" name="Obrázok 219" descr="C:\Users\jant\AppData\Local\Microsoft\Windows\Temporary Internet Files\Content.Word\zs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nt\AppData\Local\Microsoft\Windows\Temporary Internet Files\Content.Word\zsr_2.jpg"/>
                  <pic:cNvPicPr>
                    <a:picLocks noChangeAspect="1" noChangeArrowheads="1"/>
                  </pic:cNvPicPr>
                </pic:nvPicPr>
                <pic:blipFill>
                  <a:blip r:embed="rId1"/>
                  <a:srcRect/>
                  <a:stretch>
                    <a:fillRect/>
                  </a:stretch>
                </pic:blipFill>
                <pic:spPr bwMode="auto">
                  <a:xfrm>
                    <a:off x="0" y="0"/>
                    <a:ext cx="451637" cy="327546"/>
                  </a:xfrm>
                  <a:prstGeom prst="rect">
                    <a:avLst/>
                  </a:prstGeom>
                  <a:noFill/>
                  <a:ln w="9525">
                    <a:noFill/>
                    <a:miter lim="800000"/>
                    <a:headEnd/>
                    <a:tailEnd/>
                  </a:ln>
                </pic:spPr>
              </pic:pic>
            </a:graphicData>
          </a:graphic>
        </wp:anchor>
      </w:drawing>
    </w:r>
    <w:r w:rsidR="00E579AE">
      <w:rPr>
        <w:sz w:val="20"/>
      </w:rPr>
      <w:t xml:space="preserve">Štúdia realizovateľnosti - </w:t>
    </w:r>
    <w:r w:rsidR="00E579AE" w:rsidRPr="00877955">
      <w:rPr>
        <w:sz w:val="20"/>
      </w:rPr>
      <w:t>ŽSR, Modernizácia koridoru,</w:t>
    </w:r>
  </w:p>
  <w:p w14:paraId="2971C9AB" w14:textId="77777777" w:rsidR="00E579AE" w:rsidRPr="00877955" w:rsidRDefault="00E579AE" w:rsidP="00E579AE">
    <w:pPr>
      <w:pStyle w:val="Hlavika"/>
      <w:spacing w:after="480"/>
      <w:ind w:left="851"/>
      <w:jc w:val="right"/>
    </w:pPr>
    <w:r>
      <w:rPr>
        <w:noProof/>
        <w:sz w:val="20"/>
        <w:lang w:eastAsia="sk-SK"/>
      </w:rPr>
      <mc:AlternateContent>
        <mc:Choice Requires="wps">
          <w:drawing>
            <wp:anchor distT="0" distB="0" distL="114300" distR="114300" simplePos="0" relativeHeight="251676160" behindDoc="0" locked="0" layoutInCell="1" allowOverlap="1" wp14:anchorId="103E257C" wp14:editId="3B30CD28">
              <wp:simplePos x="0" y="0"/>
              <wp:positionH relativeFrom="column">
                <wp:posOffset>204470</wp:posOffset>
              </wp:positionH>
              <wp:positionV relativeFrom="paragraph">
                <wp:posOffset>261620</wp:posOffset>
              </wp:positionV>
              <wp:extent cx="8744585" cy="0"/>
              <wp:effectExtent l="42545" t="42545" r="42545" b="43180"/>
              <wp:wrapNone/>
              <wp:docPr id="46"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44585" cy="0"/>
                      </a:xfrm>
                      <a:prstGeom prst="straightConnector1">
                        <a:avLst/>
                      </a:prstGeom>
                      <a:noFill/>
                      <a:ln w="76200">
                        <a:solidFill>
                          <a:srgbClr val="00B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sy="50000" kx="-2453608" rotWithShape="0">
                                <a:schemeClr val="accent3">
                                  <a:lumMod val="40000"/>
                                  <a:lumOff val="6000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D915464" id="_x0000_t32" coordsize="21600,21600" o:spt="32" o:oned="t" path="m,l21600,21600e" filled="f">
              <v:path arrowok="t" fillok="f" o:connecttype="none"/>
              <o:lock v:ext="edit" shapetype="t"/>
            </v:shapetype>
            <v:shape id="AutoShape 3" o:spid="_x0000_s1026" type="#_x0000_t32" style="position:absolute;margin-left:16.1pt;margin-top:20.6pt;width:688.55pt;height:0;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" strokecolor="#00b050" strokeweight="6pt">
              <v:shadow type="perspective" color="#d6e3bc [1302]" opacity=".5" origin=",.5" offset="0,0" matrix=",-56756f,,.5"/>
            </v:shape>
          </w:pict>
        </mc:Fallback>
      </mc:AlternateContent>
    </w:r>
    <w:r w:rsidRPr="00877955">
      <w:rPr>
        <w:sz w:val="20"/>
      </w:rPr>
      <w:t>štátna hranica ČR/SR - Čadca - Krásno nad Kysucou (mimo), železničná trať</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37A8AC" w14:textId="77777777" w:rsidR="00E579AE" w:rsidRPr="00877955" w:rsidRDefault="00E579AE" w:rsidP="00E579AE">
    <w:pPr>
      <w:pStyle w:val="Hlavika"/>
      <w:ind w:left="851"/>
      <w:jc w:val="right"/>
      <w:rPr>
        <w:sz w:val="20"/>
      </w:rPr>
    </w:pPr>
    <w:r>
      <w:rPr>
        <w:noProof/>
        <w:sz w:val="20"/>
        <w:lang w:eastAsia="sk-SK"/>
      </w:rPr>
      <w:drawing>
        <wp:anchor distT="0" distB="0" distL="114300" distR="114300" simplePos="0" relativeHeight="251674112" behindDoc="1" locked="0" layoutInCell="1" allowOverlap="1" wp14:anchorId="2366034E" wp14:editId="1B998095">
          <wp:simplePos x="0" y="0"/>
          <wp:positionH relativeFrom="column">
            <wp:posOffset>20007</wp:posOffset>
          </wp:positionH>
          <wp:positionV relativeFrom="paragraph">
            <wp:posOffset>796</wp:posOffset>
          </wp:positionV>
          <wp:extent cx="451637" cy="327546"/>
          <wp:effectExtent l="19050" t="0" r="5563" b="0"/>
          <wp:wrapNone/>
          <wp:docPr id="221" name="Obrázok 221" descr="C:\Users\jant\AppData\Local\Microsoft\Windows\Temporary Internet Files\Content.Word\zs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nt\AppData\Local\Microsoft\Windows\Temporary Internet Files\Content.Word\zsr_2.jpg"/>
                  <pic:cNvPicPr>
                    <a:picLocks noChangeAspect="1" noChangeArrowheads="1"/>
                  </pic:cNvPicPr>
                </pic:nvPicPr>
                <pic:blipFill>
                  <a:blip r:embed="rId1"/>
                  <a:srcRect/>
                  <a:stretch>
                    <a:fillRect/>
                  </a:stretch>
                </pic:blipFill>
                <pic:spPr bwMode="auto">
                  <a:xfrm>
                    <a:off x="0" y="0"/>
                    <a:ext cx="451637" cy="327546"/>
                  </a:xfrm>
                  <a:prstGeom prst="rect">
                    <a:avLst/>
                  </a:prstGeom>
                  <a:noFill/>
                  <a:ln w="9525">
                    <a:noFill/>
                    <a:miter lim="800000"/>
                    <a:headEnd/>
                    <a:tailEnd/>
                  </a:ln>
                </pic:spPr>
              </pic:pic>
            </a:graphicData>
          </a:graphic>
        </wp:anchor>
      </w:drawing>
    </w:r>
    <w:r>
      <w:rPr>
        <w:sz w:val="20"/>
      </w:rPr>
      <w:t xml:space="preserve">Štúdia realizovateľnosti - </w:t>
    </w:r>
    <w:r w:rsidRPr="00877955">
      <w:rPr>
        <w:sz w:val="20"/>
      </w:rPr>
      <w:t>ŽSR, Modernizácia koridoru,</w:t>
    </w:r>
  </w:p>
  <w:p w14:paraId="354E9990" w14:textId="77777777" w:rsidR="00E579AE" w:rsidRPr="00877955" w:rsidRDefault="00E579AE" w:rsidP="00E579AE">
    <w:pPr>
      <w:pStyle w:val="Hlavika"/>
      <w:spacing w:after="480"/>
      <w:ind w:left="851"/>
      <w:jc w:val="right"/>
    </w:pPr>
    <w:r>
      <w:rPr>
        <w:noProof/>
        <w:sz w:val="20"/>
        <w:lang w:eastAsia="sk-SK"/>
      </w:rPr>
      <mc:AlternateContent>
        <mc:Choice Requires="wps">
          <w:drawing>
            <wp:anchor distT="0" distB="0" distL="114300" distR="114300" simplePos="0" relativeHeight="251673088" behindDoc="0" locked="0" layoutInCell="1" allowOverlap="1" wp14:anchorId="6AE6A546" wp14:editId="2D5F63C5">
              <wp:simplePos x="0" y="0"/>
              <wp:positionH relativeFrom="column">
                <wp:posOffset>204470</wp:posOffset>
              </wp:positionH>
              <wp:positionV relativeFrom="paragraph">
                <wp:posOffset>261620</wp:posOffset>
              </wp:positionV>
              <wp:extent cx="8744585" cy="0"/>
              <wp:effectExtent l="42545" t="42545" r="42545" b="43180"/>
              <wp:wrapNone/>
              <wp:docPr id="44"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44585" cy="0"/>
                      </a:xfrm>
                      <a:prstGeom prst="straightConnector1">
                        <a:avLst/>
                      </a:prstGeom>
                      <a:noFill/>
                      <a:ln w="76200">
                        <a:solidFill>
                          <a:srgbClr val="00B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sy="50000" kx="-2453608" rotWithShape="0">
                                <a:schemeClr val="accent3">
                                  <a:lumMod val="40000"/>
                                  <a:lumOff val="6000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65B1AE33" id="_x0000_t32" coordsize="21600,21600" o:spt="32" o:oned="t" path="m,l21600,21600e" filled="f">
              <v:path arrowok="t" fillok="f" o:connecttype="none"/>
              <o:lock v:ext="edit" shapetype="t"/>
            </v:shapetype>
            <v:shape id="AutoShape 3" o:spid="_x0000_s1026" type="#_x0000_t32" style="position:absolute;margin-left:16.1pt;margin-top:20.6pt;width:688.55pt;height:0;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" strokecolor="#00b050" strokeweight="6pt">
              <v:shadow type="perspective" color="#d6e3bc [1302]" opacity=".5" origin=",.5" offset="0,0" matrix=",-56756f,,.5"/>
            </v:shape>
          </w:pict>
        </mc:Fallback>
      </mc:AlternateContent>
    </w:r>
    <w:r w:rsidRPr="00877955">
      <w:rPr>
        <w:sz w:val="20"/>
      </w:rPr>
      <w:t>štátna hranica ČR/SR - Čadca - Krásno nad Kysucou (mimo), železničná trať</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3AB940" w14:textId="77777777" w:rsidR="00E579AE" w:rsidRPr="00877955" w:rsidRDefault="00E579AE" w:rsidP="00E579AE">
    <w:pPr>
      <w:pStyle w:val="Hlavika"/>
      <w:ind w:left="851"/>
      <w:jc w:val="right"/>
      <w:rPr>
        <w:sz w:val="20"/>
      </w:rPr>
    </w:pPr>
    <w:r>
      <w:rPr>
        <w:noProof/>
        <w:sz w:val="20"/>
        <w:lang w:eastAsia="sk-SK"/>
      </w:rPr>
      <w:drawing>
        <wp:anchor distT="0" distB="0" distL="114300" distR="114300" simplePos="0" relativeHeight="251683328" behindDoc="1" locked="0" layoutInCell="1" allowOverlap="1" wp14:anchorId="2945BFAA" wp14:editId="73D6AC67">
          <wp:simplePos x="0" y="0"/>
          <wp:positionH relativeFrom="column">
            <wp:posOffset>20007</wp:posOffset>
          </wp:positionH>
          <wp:positionV relativeFrom="paragraph">
            <wp:posOffset>796</wp:posOffset>
          </wp:positionV>
          <wp:extent cx="451637" cy="327546"/>
          <wp:effectExtent l="19050" t="0" r="5563" b="0"/>
          <wp:wrapNone/>
          <wp:docPr id="172" name="Obrázok 172" descr="C:\Users\jant\AppData\Local\Microsoft\Windows\Temporary Internet Files\Content.Word\zs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nt\AppData\Local\Microsoft\Windows\Temporary Internet Files\Content.Word\zsr_2.jpg"/>
                  <pic:cNvPicPr>
                    <a:picLocks noChangeAspect="1" noChangeArrowheads="1"/>
                  </pic:cNvPicPr>
                </pic:nvPicPr>
                <pic:blipFill>
                  <a:blip r:embed="rId1"/>
                  <a:srcRect/>
                  <a:stretch>
                    <a:fillRect/>
                  </a:stretch>
                </pic:blipFill>
                <pic:spPr bwMode="auto">
                  <a:xfrm>
                    <a:off x="0" y="0"/>
                    <a:ext cx="451637" cy="327546"/>
                  </a:xfrm>
                  <a:prstGeom prst="rect">
                    <a:avLst/>
                  </a:prstGeom>
                  <a:noFill/>
                  <a:ln w="9525">
                    <a:noFill/>
                    <a:miter lim="800000"/>
                    <a:headEnd/>
                    <a:tailEnd/>
                  </a:ln>
                </pic:spPr>
              </pic:pic>
            </a:graphicData>
          </a:graphic>
        </wp:anchor>
      </w:drawing>
    </w:r>
    <w:r>
      <w:rPr>
        <w:sz w:val="20"/>
      </w:rPr>
      <w:t xml:space="preserve">Štúdia realizovateľnosti - </w:t>
    </w:r>
    <w:r w:rsidRPr="00877955">
      <w:rPr>
        <w:sz w:val="20"/>
      </w:rPr>
      <w:t>ŽSR, Modernizácia koridoru,</w:t>
    </w:r>
  </w:p>
  <w:p w14:paraId="6760D549" w14:textId="64D15A5B" w:rsidR="001A24C3" w:rsidRDefault="00E579AE" w:rsidP="00E579AE">
    <w:pPr>
      <w:pStyle w:val="Hlavika"/>
      <w:spacing w:after="480"/>
      <w:ind w:left="851"/>
      <w:jc w:val="right"/>
    </w:pPr>
    <w:r>
      <w:rPr>
        <w:noProof/>
        <w:sz w:val="20"/>
        <w:lang w:eastAsia="sk-SK"/>
      </w:rPr>
      <mc:AlternateContent>
        <mc:Choice Requires="wps">
          <w:drawing>
            <wp:anchor distT="0" distB="0" distL="114300" distR="114300" simplePos="0" relativeHeight="251682304" behindDoc="0" locked="0" layoutInCell="1" allowOverlap="1" wp14:anchorId="0DA0EED8" wp14:editId="71F79F05">
              <wp:simplePos x="0" y="0"/>
              <wp:positionH relativeFrom="column">
                <wp:posOffset>204470</wp:posOffset>
              </wp:positionH>
              <wp:positionV relativeFrom="paragraph">
                <wp:posOffset>261620</wp:posOffset>
              </wp:positionV>
              <wp:extent cx="8744585" cy="0"/>
              <wp:effectExtent l="42545" t="42545" r="42545" b="43180"/>
              <wp:wrapNone/>
              <wp:docPr id="50"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44585" cy="0"/>
                      </a:xfrm>
                      <a:prstGeom prst="straightConnector1">
                        <a:avLst/>
                      </a:prstGeom>
                      <a:noFill/>
                      <a:ln w="76200">
                        <a:solidFill>
                          <a:srgbClr val="00B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sy="50000" kx="-2453608" rotWithShape="0">
                                <a:schemeClr val="accent3">
                                  <a:lumMod val="40000"/>
                                  <a:lumOff val="6000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FF7D164" id="_x0000_t32" coordsize="21600,21600" o:spt="32" o:oned="t" path="m,l21600,21600e" filled="f">
              <v:path arrowok="t" fillok="f" o:connecttype="none"/>
              <o:lock v:ext="edit" shapetype="t"/>
            </v:shapetype>
            <v:shape id="AutoShape 3" o:spid="_x0000_s1026" type="#_x0000_t32" style="position:absolute;margin-left:16.1pt;margin-top:20.6pt;width:688.55pt;height:0;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" strokecolor="#00b050" strokeweight="6pt">
              <v:shadow type="perspective" color="#d6e3bc [1302]" opacity=".5" origin=",.5" offset="0,0" matrix=",-56756f,,.5"/>
            </v:shape>
          </w:pict>
        </mc:Fallback>
      </mc:AlternateContent>
    </w:r>
    <w:r w:rsidRPr="00877955">
      <w:rPr>
        <w:sz w:val="20"/>
      </w:rPr>
      <w:t>štátna hranica ČR/SR - Čadca - Krásno nad Kysucou (mimo), železničná trať</w:t>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3B3978" w14:textId="77777777" w:rsidR="00E579AE" w:rsidRPr="00877955" w:rsidRDefault="00E579AE" w:rsidP="006D4862">
    <w:pPr>
      <w:pStyle w:val="Hlavika"/>
      <w:tabs>
        <w:tab w:val="left" w:pos="4678"/>
      </w:tabs>
      <w:ind w:left="851"/>
      <w:jc w:val="right"/>
      <w:rPr>
        <w:sz w:val="20"/>
      </w:rPr>
    </w:pPr>
    <w:r>
      <w:rPr>
        <w:noProof/>
        <w:sz w:val="20"/>
        <w:lang w:eastAsia="sk-SK"/>
      </w:rPr>
      <w:drawing>
        <wp:anchor distT="0" distB="0" distL="114300" distR="114300" simplePos="0" relativeHeight="251680256" behindDoc="1" locked="0" layoutInCell="1" allowOverlap="1" wp14:anchorId="209DA058" wp14:editId="5A1D19C6">
          <wp:simplePos x="0" y="0"/>
          <wp:positionH relativeFrom="column">
            <wp:posOffset>20007</wp:posOffset>
          </wp:positionH>
          <wp:positionV relativeFrom="paragraph">
            <wp:posOffset>796</wp:posOffset>
          </wp:positionV>
          <wp:extent cx="451637" cy="327546"/>
          <wp:effectExtent l="19050" t="0" r="5563" b="0"/>
          <wp:wrapNone/>
          <wp:docPr id="174" name="Obrázok 174" descr="C:\Users\jant\AppData\Local\Microsoft\Windows\Temporary Internet Files\Content.Word\zs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nt\AppData\Local\Microsoft\Windows\Temporary Internet Files\Content.Word\zsr_2.jpg"/>
                  <pic:cNvPicPr>
                    <a:picLocks noChangeAspect="1" noChangeArrowheads="1"/>
                  </pic:cNvPicPr>
                </pic:nvPicPr>
                <pic:blipFill>
                  <a:blip r:embed="rId1"/>
                  <a:srcRect/>
                  <a:stretch>
                    <a:fillRect/>
                  </a:stretch>
                </pic:blipFill>
                <pic:spPr bwMode="auto">
                  <a:xfrm>
                    <a:off x="0" y="0"/>
                    <a:ext cx="451637" cy="327546"/>
                  </a:xfrm>
                  <a:prstGeom prst="rect">
                    <a:avLst/>
                  </a:prstGeom>
                  <a:noFill/>
                  <a:ln w="9525">
                    <a:noFill/>
                    <a:miter lim="800000"/>
                    <a:headEnd/>
                    <a:tailEnd/>
                  </a:ln>
                </pic:spPr>
              </pic:pic>
            </a:graphicData>
          </a:graphic>
        </wp:anchor>
      </w:drawing>
    </w:r>
    <w:r>
      <w:rPr>
        <w:sz w:val="20"/>
      </w:rPr>
      <w:t xml:space="preserve">Štúdia realizovateľnosti - </w:t>
    </w:r>
    <w:r w:rsidRPr="00877955">
      <w:rPr>
        <w:sz w:val="20"/>
      </w:rPr>
      <w:t>ŽSR, Modernizácia koridoru,</w:t>
    </w:r>
  </w:p>
  <w:p w14:paraId="2D188471" w14:textId="77777777" w:rsidR="00E579AE" w:rsidRPr="00877955" w:rsidRDefault="00E579AE" w:rsidP="00E579AE">
    <w:pPr>
      <w:pStyle w:val="Hlavika"/>
      <w:spacing w:after="480"/>
      <w:ind w:left="851"/>
      <w:jc w:val="right"/>
    </w:pPr>
    <w:r>
      <w:rPr>
        <w:noProof/>
        <w:sz w:val="20"/>
        <w:lang w:eastAsia="sk-SK"/>
      </w:rPr>
      <mc:AlternateContent>
        <mc:Choice Requires="wps">
          <w:drawing>
            <wp:anchor distT="0" distB="0" distL="114300" distR="114300" simplePos="0" relativeHeight="251679232" behindDoc="0" locked="0" layoutInCell="1" allowOverlap="1" wp14:anchorId="2972978C" wp14:editId="2C2CAECD">
              <wp:simplePos x="0" y="0"/>
              <wp:positionH relativeFrom="column">
                <wp:posOffset>204470</wp:posOffset>
              </wp:positionH>
              <wp:positionV relativeFrom="paragraph">
                <wp:posOffset>261620</wp:posOffset>
              </wp:positionV>
              <wp:extent cx="8744585" cy="0"/>
              <wp:effectExtent l="42545" t="42545" r="42545" b="43180"/>
              <wp:wrapNone/>
              <wp:docPr id="48"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44585" cy="0"/>
                      </a:xfrm>
                      <a:prstGeom prst="straightConnector1">
                        <a:avLst/>
                      </a:prstGeom>
                      <a:noFill/>
                      <a:ln w="76200">
                        <a:solidFill>
                          <a:srgbClr val="00B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sy="50000" kx="-2453608" rotWithShape="0">
                                <a:schemeClr val="accent3">
                                  <a:lumMod val="40000"/>
                                  <a:lumOff val="6000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06BC9A5" id="_x0000_t32" coordsize="21600,21600" o:spt="32" o:oned="t" path="m,l21600,21600e" filled="f">
              <v:path arrowok="t" fillok="f" o:connecttype="none"/>
              <o:lock v:ext="edit" shapetype="t"/>
            </v:shapetype>
            <v:shape id="AutoShape 3" o:spid="_x0000_s1026" type="#_x0000_t32" style="position:absolute;margin-left:16.1pt;margin-top:20.6pt;width:688.55pt;height:0;z-index:251679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" strokecolor="#00b050" strokeweight="6pt">
              <v:shadow type="perspective" color="#d6e3bc [1302]" opacity=".5" origin=",.5" offset="0,0" matrix=",-56756f,,.5"/>
            </v:shape>
          </w:pict>
        </mc:Fallback>
      </mc:AlternateContent>
    </w:r>
    <w:r w:rsidRPr="00877955">
      <w:rPr>
        <w:sz w:val="20"/>
      </w:rPr>
      <w:t>štátna hranica ČR/SR - Čadca - Krásno nad Kysucou (mimo), železničná trať</w:t>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B7D606" w14:textId="77777777" w:rsidR="001C5DDF" w:rsidRPr="00877955" w:rsidRDefault="001C5DDF" w:rsidP="00877955">
    <w:pPr>
      <w:pStyle w:val="Hlavika"/>
      <w:ind w:left="851"/>
      <w:jc w:val="right"/>
      <w:rPr>
        <w:sz w:val="20"/>
      </w:rPr>
    </w:pPr>
    <w:r>
      <w:rPr>
        <w:noProof/>
        <w:sz w:val="20"/>
        <w:lang w:eastAsia="sk-SK"/>
      </w:rPr>
      <w:drawing>
        <wp:anchor distT="0" distB="0" distL="114300" distR="114300" simplePos="0" relativeHeight="251671040" behindDoc="1" locked="0" layoutInCell="1" allowOverlap="1" wp14:anchorId="0BF53861" wp14:editId="5980AAE4">
          <wp:simplePos x="0" y="0"/>
          <wp:positionH relativeFrom="column">
            <wp:posOffset>20007</wp:posOffset>
          </wp:positionH>
          <wp:positionV relativeFrom="paragraph">
            <wp:posOffset>796</wp:posOffset>
          </wp:positionV>
          <wp:extent cx="451637" cy="327546"/>
          <wp:effectExtent l="19050" t="0" r="5563" b="0"/>
          <wp:wrapNone/>
          <wp:docPr id="9" name="Obrázok 9" descr="C:\Users\jant\AppData\Local\Microsoft\Windows\Temporary Internet Files\Content.Word\zsr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nt\AppData\Local\Microsoft\Windows\Temporary Internet Files\Content.Word\zsr_2.jpg"/>
                  <pic:cNvPicPr>
                    <a:picLocks noChangeAspect="1" noChangeArrowheads="1"/>
                  </pic:cNvPicPr>
                </pic:nvPicPr>
                <pic:blipFill>
                  <a:blip r:embed="rId1"/>
                  <a:srcRect/>
                  <a:stretch>
                    <a:fillRect/>
                  </a:stretch>
                </pic:blipFill>
                <pic:spPr bwMode="auto">
                  <a:xfrm>
                    <a:off x="0" y="0"/>
                    <a:ext cx="451637" cy="327546"/>
                  </a:xfrm>
                  <a:prstGeom prst="rect">
                    <a:avLst/>
                  </a:prstGeom>
                  <a:noFill/>
                  <a:ln w="9525">
                    <a:noFill/>
                    <a:miter lim="800000"/>
                    <a:headEnd/>
                    <a:tailEnd/>
                  </a:ln>
                </pic:spPr>
              </pic:pic>
            </a:graphicData>
          </a:graphic>
        </wp:anchor>
      </w:drawing>
    </w:r>
    <w:r>
      <w:rPr>
        <w:sz w:val="20"/>
      </w:rPr>
      <w:t xml:space="preserve">Štúdia realizovateľnosti - </w:t>
    </w:r>
    <w:r w:rsidRPr="00877955">
      <w:rPr>
        <w:sz w:val="20"/>
      </w:rPr>
      <w:t>ŽSR, Modernizácia koridoru,</w:t>
    </w:r>
  </w:p>
  <w:p w14:paraId="3E712EB1" w14:textId="119F70E9" w:rsidR="003F1B79" w:rsidRDefault="001C5DDF" w:rsidP="004B79AC">
    <w:pPr>
      <w:pStyle w:val="Hlavika"/>
      <w:spacing w:after="480"/>
      <w:ind w:left="851"/>
      <w:jc w:val="right"/>
    </w:pPr>
    <w:r>
      <w:rPr>
        <w:noProof/>
        <w:sz w:val="20"/>
        <w:lang w:eastAsia="sk-SK"/>
      </w:rPr>
      <mc:AlternateContent>
        <mc:Choice Requires="wps">
          <w:drawing>
            <wp:anchor distT="0" distB="0" distL="114300" distR="114300" simplePos="0" relativeHeight="251660288" behindDoc="0" locked="0" layoutInCell="1" allowOverlap="1" wp14:anchorId="3828DBDF" wp14:editId="1287DB32">
              <wp:simplePos x="0" y="0"/>
              <wp:positionH relativeFrom="column">
                <wp:posOffset>204470</wp:posOffset>
              </wp:positionH>
              <wp:positionV relativeFrom="paragraph">
                <wp:posOffset>261620</wp:posOffset>
              </wp:positionV>
              <wp:extent cx="8744585" cy="0"/>
              <wp:effectExtent l="42545" t="42545" r="42545" b="43180"/>
              <wp:wrapNone/>
              <wp:docPr id="2" name="AutoShap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744585" cy="0"/>
                      </a:xfrm>
                      <a:prstGeom prst="straightConnector1">
                        <a:avLst/>
                      </a:prstGeom>
                      <a:noFill/>
                      <a:ln w="76200">
                        <a:solidFill>
                          <a:srgbClr val="00B05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sy="50000" kx="-2453608" rotWithShape="0">
                                <a:schemeClr val="accent3">
                                  <a:lumMod val="40000"/>
                                  <a:lumOff val="60000"/>
                                  <a:alpha val="50000"/>
                                </a:scheme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1C0F3B54" id="_x0000_t32" coordsize="21600,21600" o:spt="32" o:oned="t" path="m,l21600,21600e" filled="f">
              <v:path arrowok="t" fillok="f" o:connecttype="none"/>
              <o:lock v:ext="edit" shapetype="t"/>
            </v:shapetype>
            <v:shape id="AutoShape 3" o:spid="_x0000_s1026" type="#_x0000_t32" style="position:absolute;margin-left:16.1pt;margin-top:20.6pt;width:688.5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" strokecolor="#00b050" strokeweight="6pt">
              <v:shadow type="perspective" color="#d6e3bc [1302]" opacity=".5" origin=",.5" offset="0,0" matrix=",-56756f,,.5"/>
            </v:shape>
          </w:pict>
        </mc:Fallback>
      </mc:AlternateContent>
    </w:r>
    <w:r w:rsidRPr="00877955">
      <w:rPr>
        <w:sz w:val="20"/>
      </w:rPr>
      <w:t>štátna hranica ČR/SR - Čadca - Krásno nad Kysucou (mimo), železničná tra</w:t>
    </w:r>
    <w:r w:rsidR="004B79AC">
      <w:rPr>
        <w:sz w:val="20"/>
      </w:rPr>
      <w:t>ť</w:t>
    </w:r>
  </w:p>
  <w:p w14:paraId="143BC41B" w14:textId="77777777" w:rsidR="003F1B79" w:rsidRDefault="003F1B79"/>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520783"/>
    <w:multiLevelType w:val="multilevel"/>
    <w:tmpl w:val="041B001D"/>
    <w:styleLink w:val="Tabukaslovanzoznam1"/>
    <w:lvl w:ilvl="0">
      <w:start w:val="1"/>
      <w:numFmt w:val="decimal"/>
      <w:lvlText w:val="%1)"/>
      <w:lvlJc w:val="left"/>
      <w:pPr>
        <w:ind w:left="360" w:hanging="360"/>
      </w:pPr>
      <w:rPr>
        <w:rFonts w:ascii="Calibri" w:hAnsi="Calibri"/>
        <w:b w:val="0"/>
        <w:i w:val="0"/>
        <w:spacing w:val="0"/>
        <w:position w:val="0"/>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06D0A35"/>
    <w:multiLevelType w:val="hybridMultilevel"/>
    <w:tmpl w:val="652007CC"/>
    <w:lvl w:ilvl="0" w:tplc="081C68A8">
      <w:start w:val="1"/>
      <w:numFmt w:val="decimal"/>
      <w:pStyle w:val="Nzevobrzku"/>
      <w:lvlText w:val="Obr.%1"/>
      <w:lvlJc w:val="left"/>
      <w:pPr>
        <w:tabs>
          <w:tab w:val="num" w:pos="2220"/>
        </w:tabs>
        <w:ind w:left="2220" w:hanging="802"/>
      </w:pPr>
      <w:rPr>
        <w:rFonts w:hint="default"/>
      </w:rPr>
    </w:lvl>
    <w:lvl w:ilvl="1" w:tplc="68121344" w:tentative="1">
      <w:start w:val="1"/>
      <w:numFmt w:val="lowerLetter"/>
      <w:lvlText w:val="%2."/>
      <w:lvlJc w:val="left"/>
      <w:pPr>
        <w:tabs>
          <w:tab w:val="num" w:pos="1440"/>
        </w:tabs>
        <w:ind w:left="1440" w:hanging="360"/>
      </w:pPr>
    </w:lvl>
    <w:lvl w:ilvl="2" w:tplc="7E308868" w:tentative="1">
      <w:start w:val="1"/>
      <w:numFmt w:val="lowerRoman"/>
      <w:lvlText w:val="%3."/>
      <w:lvlJc w:val="right"/>
      <w:pPr>
        <w:tabs>
          <w:tab w:val="num" w:pos="2160"/>
        </w:tabs>
        <w:ind w:left="2160" w:hanging="180"/>
      </w:pPr>
    </w:lvl>
    <w:lvl w:ilvl="3" w:tplc="9238E2E6" w:tentative="1">
      <w:start w:val="1"/>
      <w:numFmt w:val="decimal"/>
      <w:lvlText w:val="%4."/>
      <w:lvlJc w:val="left"/>
      <w:pPr>
        <w:tabs>
          <w:tab w:val="num" w:pos="2880"/>
        </w:tabs>
        <w:ind w:left="2880" w:hanging="360"/>
      </w:pPr>
    </w:lvl>
    <w:lvl w:ilvl="4" w:tplc="2C7E5612" w:tentative="1">
      <w:start w:val="1"/>
      <w:numFmt w:val="lowerLetter"/>
      <w:lvlText w:val="%5."/>
      <w:lvlJc w:val="left"/>
      <w:pPr>
        <w:tabs>
          <w:tab w:val="num" w:pos="3600"/>
        </w:tabs>
        <w:ind w:left="3600" w:hanging="360"/>
      </w:pPr>
    </w:lvl>
    <w:lvl w:ilvl="5" w:tplc="6FB4EAE4" w:tentative="1">
      <w:start w:val="1"/>
      <w:numFmt w:val="lowerRoman"/>
      <w:lvlText w:val="%6."/>
      <w:lvlJc w:val="right"/>
      <w:pPr>
        <w:tabs>
          <w:tab w:val="num" w:pos="4320"/>
        </w:tabs>
        <w:ind w:left="4320" w:hanging="180"/>
      </w:pPr>
    </w:lvl>
    <w:lvl w:ilvl="6" w:tplc="B9B29912" w:tentative="1">
      <w:start w:val="1"/>
      <w:numFmt w:val="decimal"/>
      <w:lvlText w:val="%7."/>
      <w:lvlJc w:val="left"/>
      <w:pPr>
        <w:tabs>
          <w:tab w:val="num" w:pos="5040"/>
        </w:tabs>
        <w:ind w:left="5040" w:hanging="360"/>
      </w:pPr>
    </w:lvl>
    <w:lvl w:ilvl="7" w:tplc="C4A69C42" w:tentative="1">
      <w:start w:val="1"/>
      <w:numFmt w:val="lowerLetter"/>
      <w:lvlText w:val="%8."/>
      <w:lvlJc w:val="left"/>
      <w:pPr>
        <w:tabs>
          <w:tab w:val="num" w:pos="5760"/>
        </w:tabs>
        <w:ind w:left="5760" w:hanging="360"/>
      </w:pPr>
    </w:lvl>
    <w:lvl w:ilvl="8" w:tplc="05609E9A" w:tentative="1">
      <w:start w:val="1"/>
      <w:numFmt w:val="lowerRoman"/>
      <w:lvlText w:val="%9."/>
      <w:lvlJc w:val="right"/>
      <w:pPr>
        <w:tabs>
          <w:tab w:val="num" w:pos="6480"/>
        </w:tabs>
        <w:ind w:left="6480" w:hanging="180"/>
      </w:pPr>
    </w:lvl>
  </w:abstractNum>
  <w:abstractNum w:abstractNumId="2" w15:restartNumberingAfterBreak="0">
    <w:nsid w:val="02F234D1"/>
    <w:multiLevelType w:val="hybridMultilevel"/>
    <w:tmpl w:val="A52C23F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 w15:restartNumberingAfterBreak="0">
    <w:nsid w:val="068428BF"/>
    <w:multiLevelType w:val="hybridMultilevel"/>
    <w:tmpl w:val="B04AB2D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 w15:restartNumberingAfterBreak="0">
    <w:nsid w:val="06907C40"/>
    <w:multiLevelType w:val="hybridMultilevel"/>
    <w:tmpl w:val="3D08CB98"/>
    <w:lvl w:ilvl="0" w:tplc="63485220">
      <w:start w:val="1"/>
      <w:numFmt w:val="bullet"/>
      <w:pStyle w:val="NormOdst"/>
      <w:lvlText w:val=""/>
      <w:lvlJc w:val="left"/>
      <w:pPr>
        <w:tabs>
          <w:tab w:val="num" w:pos="1368"/>
        </w:tabs>
        <w:ind w:left="1368" w:hanging="360"/>
      </w:pPr>
      <w:rPr>
        <w:rFonts w:ascii="Symbol" w:hAnsi="Symbol" w:hint="default"/>
      </w:rPr>
    </w:lvl>
    <w:lvl w:ilvl="1" w:tplc="04050003">
      <w:start w:val="1"/>
      <w:numFmt w:val="bullet"/>
      <w:lvlText w:val="o"/>
      <w:lvlJc w:val="left"/>
      <w:pPr>
        <w:tabs>
          <w:tab w:val="num" w:pos="2088"/>
        </w:tabs>
        <w:ind w:left="2088" w:hanging="360"/>
      </w:pPr>
      <w:rPr>
        <w:rFonts w:ascii="Courier New" w:hAnsi="Courier New" w:hint="default"/>
      </w:rPr>
    </w:lvl>
    <w:lvl w:ilvl="2" w:tplc="04050005">
      <w:start w:val="1"/>
      <w:numFmt w:val="bullet"/>
      <w:lvlText w:val=""/>
      <w:lvlJc w:val="left"/>
      <w:pPr>
        <w:tabs>
          <w:tab w:val="num" w:pos="2808"/>
        </w:tabs>
        <w:ind w:left="2808" w:hanging="360"/>
      </w:pPr>
      <w:rPr>
        <w:rFonts w:ascii="Wingdings" w:hAnsi="Wingdings" w:hint="default"/>
      </w:rPr>
    </w:lvl>
    <w:lvl w:ilvl="3" w:tplc="04050001">
      <w:start w:val="1"/>
      <w:numFmt w:val="bullet"/>
      <w:lvlText w:val=""/>
      <w:lvlJc w:val="left"/>
      <w:pPr>
        <w:tabs>
          <w:tab w:val="num" w:pos="3528"/>
        </w:tabs>
        <w:ind w:left="3528" w:hanging="360"/>
      </w:pPr>
      <w:rPr>
        <w:rFonts w:ascii="Symbol" w:hAnsi="Symbol" w:hint="default"/>
      </w:rPr>
    </w:lvl>
    <w:lvl w:ilvl="4" w:tplc="04050003" w:tentative="1">
      <w:start w:val="1"/>
      <w:numFmt w:val="bullet"/>
      <w:lvlText w:val="o"/>
      <w:lvlJc w:val="left"/>
      <w:pPr>
        <w:tabs>
          <w:tab w:val="num" w:pos="4248"/>
        </w:tabs>
        <w:ind w:left="4248" w:hanging="360"/>
      </w:pPr>
      <w:rPr>
        <w:rFonts w:ascii="Courier New" w:hAnsi="Courier New" w:hint="default"/>
      </w:rPr>
    </w:lvl>
    <w:lvl w:ilvl="5" w:tplc="04050005" w:tentative="1">
      <w:start w:val="1"/>
      <w:numFmt w:val="bullet"/>
      <w:lvlText w:val=""/>
      <w:lvlJc w:val="left"/>
      <w:pPr>
        <w:tabs>
          <w:tab w:val="num" w:pos="4968"/>
        </w:tabs>
        <w:ind w:left="4968" w:hanging="360"/>
      </w:pPr>
      <w:rPr>
        <w:rFonts w:ascii="Wingdings" w:hAnsi="Wingdings" w:hint="default"/>
      </w:rPr>
    </w:lvl>
    <w:lvl w:ilvl="6" w:tplc="04050001" w:tentative="1">
      <w:start w:val="1"/>
      <w:numFmt w:val="bullet"/>
      <w:lvlText w:val=""/>
      <w:lvlJc w:val="left"/>
      <w:pPr>
        <w:tabs>
          <w:tab w:val="num" w:pos="5688"/>
        </w:tabs>
        <w:ind w:left="5688" w:hanging="360"/>
      </w:pPr>
      <w:rPr>
        <w:rFonts w:ascii="Symbol" w:hAnsi="Symbol" w:hint="default"/>
      </w:rPr>
    </w:lvl>
    <w:lvl w:ilvl="7" w:tplc="04050003" w:tentative="1">
      <w:start w:val="1"/>
      <w:numFmt w:val="bullet"/>
      <w:lvlText w:val="o"/>
      <w:lvlJc w:val="left"/>
      <w:pPr>
        <w:tabs>
          <w:tab w:val="num" w:pos="6408"/>
        </w:tabs>
        <w:ind w:left="6408" w:hanging="360"/>
      </w:pPr>
      <w:rPr>
        <w:rFonts w:ascii="Courier New" w:hAnsi="Courier New" w:hint="default"/>
      </w:rPr>
    </w:lvl>
    <w:lvl w:ilvl="8" w:tplc="04050005" w:tentative="1">
      <w:start w:val="1"/>
      <w:numFmt w:val="bullet"/>
      <w:lvlText w:val=""/>
      <w:lvlJc w:val="left"/>
      <w:pPr>
        <w:tabs>
          <w:tab w:val="num" w:pos="7128"/>
        </w:tabs>
        <w:ind w:left="7128" w:hanging="360"/>
      </w:pPr>
      <w:rPr>
        <w:rFonts w:ascii="Wingdings" w:hAnsi="Wingdings" w:hint="default"/>
      </w:rPr>
    </w:lvl>
  </w:abstractNum>
  <w:abstractNum w:abstractNumId="5" w15:restartNumberingAfterBreak="0">
    <w:nsid w:val="0D9F45C3"/>
    <w:multiLevelType w:val="hybridMultilevel"/>
    <w:tmpl w:val="32A65AB0"/>
    <w:lvl w:ilvl="0" w:tplc="CCFA2AF8">
      <w:start w:val="9026"/>
      <w:numFmt w:val="bullet"/>
      <w:lvlText w:val="-"/>
      <w:lvlJc w:val="left"/>
      <w:pPr>
        <w:ind w:left="720" w:hanging="360"/>
      </w:pPr>
      <w:rPr>
        <w:rFonts w:ascii="Times New Roman" w:eastAsia="Times New Roman"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 w15:restartNumberingAfterBreak="0">
    <w:nsid w:val="0EC26193"/>
    <w:multiLevelType w:val="hybridMultilevel"/>
    <w:tmpl w:val="BBFC43AA"/>
    <w:lvl w:ilvl="0" w:tplc="265E5964">
      <w:start w:val="1"/>
      <w:numFmt w:val="decimal"/>
      <w:lvlText w:val="%1)"/>
      <w:lvlJc w:val="left"/>
      <w:pPr>
        <w:ind w:left="1068" w:hanging="360"/>
      </w:pPr>
      <w:rPr>
        <w:rFonts w:hint="default"/>
      </w:rPr>
    </w:lvl>
    <w:lvl w:ilvl="1" w:tplc="041B0019" w:tentative="1">
      <w:start w:val="1"/>
      <w:numFmt w:val="lowerLetter"/>
      <w:lvlText w:val="%2."/>
      <w:lvlJc w:val="left"/>
      <w:pPr>
        <w:ind w:left="1788" w:hanging="360"/>
      </w:pPr>
    </w:lvl>
    <w:lvl w:ilvl="2" w:tplc="041B001B" w:tentative="1">
      <w:start w:val="1"/>
      <w:numFmt w:val="lowerRoman"/>
      <w:lvlText w:val="%3."/>
      <w:lvlJc w:val="right"/>
      <w:pPr>
        <w:ind w:left="2508" w:hanging="180"/>
      </w:pPr>
    </w:lvl>
    <w:lvl w:ilvl="3" w:tplc="041B000F" w:tentative="1">
      <w:start w:val="1"/>
      <w:numFmt w:val="decimal"/>
      <w:lvlText w:val="%4."/>
      <w:lvlJc w:val="left"/>
      <w:pPr>
        <w:ind w:left="3228" w:hanging="360"/>
      </w:pPr>
    </w:lvl>
    <w:lvl w:ilvl="4" w:tplc="041B0019" w:tentative="1">
      <w:start w:val="1"/>
      <w:numFmt w:val="lowerLetter"/>
      <w:lvlText w:val="%5."/>
      <w:lvlJc w:val="left"/>
      <w:pPr>
        <w:ind w:left="3948" w:hanging="360"/>
      </w:pPr>
    </w:lvl>
    <w:lvl w:ilvl="5" w:tplc="041B001B" w:tentative="1">
      <w:start w:val="1"/>
      <w:numFmt w:val="lowerRoman"/>
      <w:lvlText w:val="%6."/>
      <w:lvlJc w:val="right"/>
      <w:pPr>
        <w:ind w:left="4668" w:hanging="180"/>
      </w:pPr>
    </w:lvl>
    <w:lvl w:ilvl="6" w:tplc="041B000F" w:tentative="1">
      <w:start w:val="1"/>
      <w:numFmt w:val="decimal"/>
      <w:lvlText w:val="%7."/>
      <w:lvlJc w:val="left"/>
      <w:pPr>
        <w:ind w:left="5388" w:hanging="360"/>
      </w:pPr>
    </w:lvl>
    <w:lvl w:ilvl="7" w:tplc="041B0019" w:tentative="1">
      <w:start w:val="1"/>
      <w:numFmt w:val="lowerLetter"/>
      <w:lvlText w:val="%8."/>
      <w:lvlJc w:val="left"/>
      <w:pPr>
        <w:ind w:left="6108" w:hanging="360"/>
      </w:pPr>
    </w:lvl>
    <w:lvl w:ilvl="8" w:tplc="041B001B" w:tentative="1">
      <w:start w:val="1"/>
      <w:numFmt w:val="lowerRoman"/>
      <w:lvlText w:val="%9."/>
      <w:lvlJc w:val="right"/>
      <w:pPr>
        <w:ind w:left="6828" w:hanging="180"/>
      </w:pPr>
    </w:lvl>
  </w:abstractNum>
  <w:abstractNum w:abstractNumId="7" w15:restartNumberingAfterBreak="0">
    <w:nsid w:val="1146679E"/>
    <w:multiLevelType w:val="multilevel"/>
    <w:tmpl w:val="F33AA766"/>
    <w:lvl w:ilvl="0">
      <w:start w:val="1"/>
      <w:numFmt w:val="decimal"/>
      <w:lvlText w:val="%1."/>
      <w:lvlJc w:val="left"/>
      <w:pPr>
        <w:ind w:left="720" w:hanging="360"/>
      </w:pPr>
      <w:rPr>
        <w:rFonts w:hint="default"/>
      </w:rPr>
    </w:lvl>
    <w:lvl w:ilvl="1">
      <w:start w:val="1"/>
      <w:numFmt w:val="decimal"/>
      <w:pStyle w:val="Koice2"/>
      <w:isLgl/>
      <w:lvlText w:val="%1.%2"/>
      <w:lvlJc w:val="left"/>
      <w:pPr>
        <w:ind w:left="1100" w:hanging="39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rPr>
    </w:lvl>
    <w:lvl w:ilvl="2">
      <w:start w:val="1"/>
      <w:numFmt w:val="decimal"/>
      <w:isLgl/>
      <w:lvlText w:val="%1.%2.%3"/>
      <w:lvlJc w:val="left"/>
      <w:pPr>
        <w:ind w:left="1004"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8" w15:restartNumberingAfterBreak="0">
    <w:nsid w:val="11843B19"/>
    <w:multiLevelType w:val="hybridMultilevel"/>
    <w:tmpl w:val="AFDC288C"/>
    <w:lvl w:ilvl="0" w:tplc="2DB4A2F8">
      <w:start w:val="1"/>
      <w:numFmt w:val="bullet"/>
      <w:lvlText w:val="-"/>
      <w:lvlJc w:val="left"/>
      <w:pPr>
        <w:ind w:left="720" w:hanging="360"/>
      </w:pPr>
      <w:rPr>
        <w:rFonts w:ascii="Swis721 LtCn BT" w:hAnsi="Swis721 LtCn BT" w:hint="default"/>
      </w:rPr>
    </w:lvl>
    <w:lvl w:ilvl="1" w:tplc="2DB4A2F8">
      <w:start w:val="1"/>
      <w:numFmt w:val="bullet"/>
      <w:lvlText w:val="-"/>
      <w:lvlJc w:val="left"/>
      <w:pPr>
        <w:ind w:left="1440" w:hanging="360"/>
      </w:pPr>
      <w:rPr>
        <w:rFonts w:ascii="Swis721 LtCn BT" w:hAnsi="Swis721 LtCn BT"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 w15:restartNumberingAfterBreak="0">
    <w:nsid w:val="12952155"/>
    <w:multiLevelType w:val="hybridMultilevel"/>
    <w:tmpl w:val="E8BE6F5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0" w15:restartNumberingAfterBreak="0">
    <w:nsid w:val="16294AC7"/>
    <w:multiLevelType w:val="hybridMultilevel"/>
    <w:tmpl w:val="0666F10E"/>
    <w:lvl w:ilvl="0" w:tplc="FFFFFFFF">
      <w:start w:val="1"/>
      <w:numFmt w:val="bullet"/>
      <w:lvlText w:val=""/>
      <w:lvlJc w:val="left"/>
      <w:pPr>
        <w:ind w:left="720" w:hanging="360"/>
      </w:pPr>
      <w:rPr>
        <w:rFonts w:ascii="Symbol" w:hAnsi="Symbol" w:hint="default"/>
      </w:rPr>
    </w:lvl>
    <w:lvl w:ilvl="1" w:tplc="041B0001">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 w15:restartNumberingAfterBreak="0">
    <w:nsid w:val="17141A4C"/>
    <w:multiLevelType w:val="hybridMultilevel"/>
    <w:tmpl w:val="16FAB45C"/>
    <w:lvl w:ilvl="0" w:tplc="041B000F">
      <w:numFmt w:val="decimal"/>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2" w15:restartNumberingAfterBreak="0">
    <w:nsid w:val="179F58C6"/>
    <w:multiLevelType w:val="hybridMultilevel"/>
    <w:tmpl w:val="F6BA09F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3" w15:restartNumberingAfterBreak="0">
    <w:nsid w:val="17A97306"/>
    <w:multiLevelType w:val="hybridMultilevel"/>
    <w:tmpl w:val="FF04F95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4" w15:restartNumberingAfterBreak="0">
    <w:nsid w:val="18A769DC"/>
    <w:multiLevelType w:val="hybridMultilevel"/>
    <w:tmpl w:val="BEC8A04A"/>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15" w15:restartNumberingAfterBreak="0">
    <w:nsid w:val="1C692AC1"/>
    <w:multiLevelType w:val="hybridMultilevel"/>
    <w:tmpl w:val="C8BC607C"/>
    <w:lvl w:ilvl="0" w:tplc="904417EA">
      <w:start w:val="1"/>
      <w:numFmt w:val="decimal"/>
      <w:lvlText w:val="%1."/>
      <w:lvlJc w:val="left"/>
      <w:pPr>
        <w:ind w:left="1080" w:hanging="360"/>
      </w:pPr>
      <w:rPr>
        <w:rFonts w:hint="default"/>
      </w:rPr>
    </w:lvl>
    <w:lvl w:ilvl="1" w:tplc="041B0019" w:tentative="1">
      <w:start w:val="1"/>
      <w:numFmt w:val="lowerLetter"/>
      <w:lvlText w:val="%2."/>
      <w:lvlJc w:val="left"/>
      <w:pPr>
        <w:ind w:left="1800" w:hanging="360"/>
      </w:pPr>
    </w:lvl>
    <w:lvl w:ilvl="2" w:tplc="041B001B" w:tentative="1">
      <w:start w:val="1"/>
      <w:numFmt w:val="lowerRoman"/>
      <w:lvlText w:val="%3."/>
      <w:lvlJc w:val="right"/>
      <w:pPr>
        <w:ind w:left="2520" w:hanging="180"/>
      </w:pPr>
    </w:lvl>
    <w:lvl w:ilvl="3" w:tplc="041B000F" w:tentative="1">
      <w:start w:val="1"/>
      <w:numFmt w:val="decimal"/>
      <w:lvlText w:val="%4."/>
      <w:lvlJc w:val="left"/>
      <w:pPr>
        <w:ind w:left="3240" w:hanging="360"/>
      </w:pPr>
    </w:lvl>
    <w:lvl w:ilvl="4" w:tplc="041B0019" w:tentative="1">
      <w:start w:val="1"/>
      <w:numFmt w:val="lowerLetter"/>
      <w:lvlText w:val="%5."/>
      <w:lvlJc w:val="left"/>
      <w:pPr>
        <w:ind w:left="3960" w:hanging="360"/>
      </w:pPr>
    </w:lvl>
    <w:lvl w:ilvl="5" w:tplc="041B001B" w:tentative="1">
      <w:start w:val="1"/>
      <w:numFmt w:val="lowerRoman"/>
      <w:lvlText w:val="%6."/>
      <w:lvlJc w:val="right"/>
      <w:pPr>
        <w:ind w:left="4680" w:hanging="180"/>
      </w:pPr>
    </w:lvl>
    <w:lvl w:ilvl="6" w:tplc="041B000F" w:tentative="1">
      <w:start w:val="1"/>
      <w:numFmt w:val="decimal"/>
      <w:lvlText w:val="%7."/>
      <w:lvlJc w:val="left"/>
      <w:pPr>
        <w:ind w:left="5400" w:hanging="360"/>
      </w:pPr>
    </w:lvl>
    <w:lvl w:ilvl="7" w:tplc="041B0019" w:tentative="1">
      <w:start w:val="1"/>
      <w:numFmt w:val="lowerLetter"/>
      <w:lvlText w:val="%8."/>
      <w:lvlJc w:val="left"/>
      <w:pPr>
        <w:ind w:left="6120" w:hanging="360"/>
      </w:pPr>
    </w:lvl>
    <w:lvl w:ilvl="8" w:tplc="041B001B" w:tentative="1">
      <w:start w:val="1"/>
      <w:numFmt w:val="lowerRoman"/>
      <w:lvlText w:val="%9."/>
      <w:lvlJc w:val="right"/>
      <w:pPr>
        <w:ind w:left="6840" w:hanging="180"/>
      </w:pPr>
    </w:lvl>
  </w:abstractNum>
  <w:abstractNum w:abstractNumId="16" w15:restartNumberingAfterBreak="0">
    <w:nsid w:val="1E974FA1"/>
    <w:multiLevelType w:val="hybridMultilevel"/>
    <w:tmpl w:val="533C7BDC"/>
    <w:lvl w:ilvl="0" w:tplc="041B0001">
      <w:start w:val="1"/>
      <w:numFmt w:val="bullet"/>
      <w:lvlText w:val=""/>
      <w:lvlJc w:val="left"/>
      <w:pPr>
        <w:ind w:left="780" w:hanging="360"/>
      </w:pPr>
      <w:rPr>
        <w:rFonts w:ascii="Symbol" w:hAnsi="Symbol" w:hint="default"/>
      </w:rPr>
    </w:lvl>
    <w:lvl w:ilvl="1" w:tplc="041B0003">
      <w:start w:val="1"/>
      <w:numFmt w:val="bullet"/>
      <w:lvlText w:val="o"/>
      <w:lvlJc w:val="left"/>
      <w:pPr>
        <w:ind w:left="1500" w:hanging="360"/>
      </w:pPr>
      <w:rPr>
        <w:rFonts w:ascii="Courier New" w:hAnsi="Courier New" w:cs="Courier New" w:hint="default"/>
      </w:rPr>
    </w:lvl>
    <w:lvl w:ilvl="2" w:tplc="041B0005">
      <w:start w:val="1"/>
      <w:numFmt w:val="bullet"/>
      <w:lvlText w:val=""/>
      <w:lvlJc w:val="left"/>
      <w:pPr>
        <w:ind w:left="2220" w:hanging="360"/>
      </w:pPr>
      <w:rPr>
        <w:rFonts w:ascii="Wingdings" w:hAnsi="Wingdings" w:hint="default"/>
      </w:rPr>
    </w:lvl>
    <w:lvl w:ilvl="3" w:tplc="041B0001">
      <w:start w:val="1"/>
      <w:numFmt w:val="bullet"/>
      <w:lvlText w:val=""/>
      <w:lvlJc w:val="left"/>
      <w:pPr>
        <w:ind w:left="2940" w:hanging="360"/>
      </w:pPr>
      <w:rPr>
        <w:rFonts w:ascii="Symbol" w:hAnsi="Symbol" w:hint="default"/>
      </w:rPr>
    </w:lvl>
    <w:lvl w:ilvl="4" w:tplc="041B0003">
      <w:start w:val="1"/>
      <w:numFmt w:val="bullet"/>
      <w:lvlText w:val="o"/>
      <w:lvlJc w:val="left"/>
      <w:pPr>
        <w:ind w:left="3660" w:hanging="360"/>
      </w:pPr>
      <w:rPr>
        <w:rFonts w:ascii="Courier New" w:hAnsi="Courier New" w:cs="Courier New" w:hint="default"/>
      </w:rPr>
    </w:lvl>
    <w:lvl w:ilvl="5" w:tplc="041B0005">
      <w:start w:val="1"/>
      <w:numFmt w:val="bullet"/>
      <w:lvlText w:val=""/>
      <w:lvlJc w:val="left"/>
      <w:pPr>
        <w:ind w:left="4380" w:hanging="360"/>
      </w:pPr>
      <w:rPr>
        <w:rFonts w:ascii="Wingdings" w:hAnsi="Wingdings" w:hint="default"/>
      </w:rPr>
    </w:lvl>
    <w:lvl w:ilvl="6" w:tplc="041B0001">
      <w:start w:val="1"/>
      <w:numFmt w:val="bullet"/>
      <w:lvlText w:val=""/>
      <w:lvlJc w:val="left"/>
      <w:pPr>
        <w:ind w:left="5100" w:hanging="360"/>
      </w:pPr>
      <w:rPr>
        <w:rFonts w:ascii="Symbol" w:hAnsi="Symbol" w:hint="default"/>
      </w:rPr>
    </w:lvl>
    <w:lvl w:ilvl="7" w:tplc="041B0003">
      <w:start w:val="1"/>
      <w:numFmt w:val="bullet"/>
      <w:lvlText w:val="o"/>
      <w:lvlJc w:val="left"/>
      <w:pPr>
        <w:ind w:left="5820" w:hanging="360"/>
      </w:pPr>
      <w:rPr>
        <w:rFonts w:ascii="Courier New" w:hAnsi="Courier New" w:cs="Courier New" w:hint="default"/>
      </w:rPr>
    </w:lvl>
    <w:lvl w:ilvl="8" w:tplc="041B0005">
      <w:start w:val="1"/>
      <w:numFmt w:val="bullet"/>
      <w:lvlText w:val=""/>
      <w:lvlJc w:val="left"/>
      <w:pPr>
        <w:ind w:left="6540" w:hanging="360"/>
      </w:pPr>
      <w:rPr>
        <w:rFonts w:ascii="Wingdings" w:hAnsi="Wingdings" w:hint="default"/>
      </w:rPr>
    </w:lvl>
  </w:abstractNum>
  <w:abstractNum w:abstractNumId="17" w15:restartNumberingAfterBreak="0">
    <w:nsid w:val="21A872C9"/>
    <w:multiLevelType w:val="hybridMultilevel"/>
    <w:tmpl w:val="BC00E0F0"/>
    <w:lvl w:ilvl="0" w:tplc="041B0001">
      <w:start w:val="1"/>
      <w:numFmt w:val="bullet"/>
      <w:lvlText w:val=""/>
      <w:lvlJc w:val="left"/>
      <w:pPr>
        <w:ind w:left="780" w:hanging="360"/>
      </w:pPr>
      <w:rPr>
        <w:rFonts w:ascii="Symbol" w:hAnsi="Symbol" w:hint="default"/>
      </w:rPr>
    </w:lvl>
    <w:lvl w:ilvl="1" w:tplc="041B0003">
      <w:start w:val="1"/>
      <w:numFmt w:val="bullet"/>
      <w:lvlText w:val="o"/>
      <w:lvlJc w:val="left"/>
      <w:pPr>
        <w:ind w:left="1500" w:hanging="360"/>
      </w:pPr>
      <w:rPr>
        <w:rFonts w:ascii="Courier New" w:hAnsi="Courier New" w:cs="Courier New" w:hint="default"/>
      </w:rPr>
    </w:lvl>
    <w:lvl w:ilvl="2" w:tplc="041B0005">
      <w:start w:val="1"/>
      <w:numFmt w:val="bullet"/>
      <w:lvlText w:val=""/>
      <w:lvlJc w:val="left"/>
      <w:pPr>
        <w:ind w:left="2220" w:hanging="360"/>
      </w:pPr>
      <w:rPr>
        <w:rFonts w:ascii="Wingdings" w:hAnsi="Wingdings" w:hint="default"/>
      </w:rPr>
    </w:lvl>
    <w:lvl w:ilvl="3" w:tplc="041B0001">
      <w:start w:val="1"/>
      <w:numFmt w:val="bullet"/>
      <w:lvlText w:val=""/>
      <w:lvlJc w:val="left"/>
      <w:pPr>
        <w:ind w:left="2940" w:hanging="360"/>
      </w:pPr>
      <w:rPr>
        <w:rFonts w:ascii="Symbol" w:hAnsi="Symbol" w:hint="default"/>
      </w:rPr>
    </w:lvl>
    <w:lvl w:ilvl="4" w:tplc="041B0003">
      <w:start w:val="1"/>
      <w:numFmt w:val="bullet"/>
      <w:lvlText w:val="o"/>
      <w:lvlJc w:val="left"/>
      <w:pPr>
        <w:ind w:left="3660" w:hanging="360"/>
      </w:pPr>
      <w:rPr>
        <w:rFonts w:ascii="Courier New" w:hAnsi="Courier New" w:cs="Courier New" w:hint="default"/>
      </w:rPr>
    </w:lvl>
    <w:lvl w:ilvl="5" w:tplc="041B0005">
      <w:start w:val="1"/>
      <w:numFmt w:val="bullet"/>
      <w:lvlText w:val=""/>
      <w:lvlJc w:val="left"/>
      <w:pPr>
        <w:ind w:left="4380" w:hanging="360"/>
      </w:pPr>
      <w:rPr>
        <w:rFonts w:ascii="Wingdings" w:hAnsi="Wingdings" w:hint="default"/>
      </w:rPr>
    </w:lvl>
    <w:lvl w:ilvl="6" w:tplc="041B0001">
      <w:start w:val="1"/>
      <w:numFmt w:val="bullet"/>
      <w:lvlText w:val=""/>
      <w:lvlJc w:val="left"/>
      <w:pPr>
        <w:ind w:left="5100" w:hanging="360"/>
      </w:pPr>
      <w:rPr>
        <w:rFonts w:ascii="Symbol" w:hAnsi="Symbol" w:hint="default"/>
      </w:rPr>
    </w:lvl>
    <w:lvl w:ilvl="7" w:tplc="041B0003">
      <w:start w:val="1"/>
      <w:numFmt w:val="bullet"/>
      <w:lvlText w:val="o"/>
      <w:lvlJc w:val="left"/>
      <w:pPr>
        <w:ind w:left="5820" w:hanging="360"/>
      </w:pPr>
      <w:rPr>
        <w:rFonts w:ascii="Courier New" w:hAnsi="Courier New" w:cs="Courier New" w:hint="default"/>
      </w:rPr>
    </w:lvl>
    <w:lvl w:ilvl="8" w:tplc="041B0005">
      <w:start w:val="1"/>
      <w:numFmt w:val="bullet"/>
      <w:lvlText w:val=""/>
      <w:lvlJc w:val="left"/>
      <w:pPr>
        <w:ind w:left="6540" w:hanging="360"/>
      </w:pPr>
      <w:rPr>
        <w:rFonts w:ascii="Wingdings" w:hAnsi="Wingdings" w:hint="default"/>
      </w:rPr>
    </w:lvl>
  </w:abstractNum>
  <w:abstractNum w:abstractNumId="18" w15:restartNumberingAfterBreak="0">
    <w:nsid w:val="246E4338"/>
    <w:multiLevelType w:val="hybridMultilevel"/>
    <w:tmpl w:val="002C10C2"/>
    <w:lvl w:ilvl="0" w:tplc="B32A05A6">
      <w:numFmt w:val="bullet"/>
      <w:lvlText w:val="-"/>
      <w:lvlJc w:val="left"/>
      <w:pPr>
        <w:ind w:left="720" w:hanging="360"/>
      </w:pPr>
      <w:rPr>
        <w:rFonts w:ascii="Arial" w:eastAsia="Corbel"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9" w15:restartNumberingAfterBreak="0">
    <w:nsid w:val="275408F4"/>
    <w:multiLevelType w:val="hybridMultilevel"/>
    <w:tmpl w:val="46F44B3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0" w15:restartNumberingAfterBreak="0">
    <w:nsid w:val="28462D76"/>
    <w:multiLevelType w:val="hybridMultilevel"/>
    <w:tmpl w:val="9D4AB8CC"/>
    <w:lvl w:ilvl="0" w:tplc="29C84A22">
      <w:start w:val="3"/>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1" w15:restartNumberingAfterBreak="0">
    <w:nsid w:val="29FE3C33"/>
    <w:multiLevelType w:val="hybridMultilevel"/>
    <w:tmpl w:val="78A6EB0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2" w15:restartNumberingAfterBreak="0">
    <w:nsid w:val="2BA773F9"/>
    <w:multiLevelType w:val="singleLevel"/>
    <w:tmpl w:val="A9BABE58"/>
    <w:lvl w:ilvl="0">
      <w:numFmt w:val="bullet"/>
      <w:pStyle w:val="Odsazenvce"/>
      <w:lvlText w:val="-"/>
      <w:lvlJc w:val="left"/>
      <w:pPr>
        <w:tabs>
          <w:tab w:val="num" w:pos="1701"/>
        </w:tabs>
        <w:ind w:left="1701" w:hanging="397"/>
      </w:pPr>
      <w:rPr>
        <w:rFonts w:hint="default"/>
      </w:rPr>
    </w:lvl>
  </w:abstractNum>
  <w:abstractNum w:abstractNumId="23" w15:restartNumberingAfterBreak="0">
    <w:nsid w:val="2C0E5539"/>
    <w:multiLevelType w:val="hybridMultilevel"/>
    <w:tmpl w:val="6BCE386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24" w15:restartNumberingAfterBreak="0">
    <w:nsid w:val="2C404D60"/>
    <w:multiLevelType w:val="multilevel"/>
    <w:tmpl w:val="7F5E9B56"/>
    <w:lvl w:ilvl="0">
      <w:start w:val="1"/>
      <w:numFmt w:val="decimal"/>
      <w:pStyle w:val="StylNadpis2Modr1"/>
      <w:isLgl/>
      <w:lvlText w:val="%1."/>
      <w:lvlJc w:val="left"/>
      <w:pPr>
        <w:tabs>
          <w:tab w:val="num" w:pos="361"/>
        </w:tabs>
        <w:ind w:left="361" w:hanging="360"/>
      </w:pPr>
      <w:rPr>
        <w:rFonts w:hint="default"/>
      </w:rPr>
    </w:lvl>
    <w:lvl w:ilvl="1">
      <w:start w:val="1"/>
      <w:numFmt w:val="decimal"/>
      <w:pStyle w:val="StylNadpis2Modr1"/>
      <w:lvlText w:val="%1.%2."/>
      <w:lvlJc w:val="left"/>
      <w:pPr>
        <w:tabs>
          <w:tab w:val="num" w:pos="577"/>
        </w:tabs>
        <w:ind w:left="577" w:hanging="576"/>
      </w:pPr>
      <w:rPr>
        <w:rFonts w:hint="default"/>
      </w:rPr>
    </w:lvl>
    <w:lvl w:ilvl="2">
      <w:start w:val="1"/>
      <w:numFmt w:val="decimal"/>
      <w:lvlText w:val="%1.%2.%3."/>
      <w:lvlJc w:val="left"/>
      <w:pPr>
        <w:tabs>
          <w:tab w:val="num" w:pos="721"/>
        </w:tabs>
        <w:ind w:left="721" w:hanging="720"/>
      </w:pPr>
      <w:rPr>
        <w:rFonts w:hint="default"/>
      </w:rPr>
    </w:lvl>
    <w:lvl w:ilvl="3">
      <w:start w:val="1"/>
      <w:numFmt w:val="decimal"/>
      <w:lvlText w:val="%1.%2.%3.%4."/>
      <w:lvlJc w:val="left"/>
      <w:pPr>
        <w:tabs>
          <w:tab w:val="num" w:pos="865"/>
        </w:tabs>
        <w:ind w:left="865" w:hanging="864"/>
      </w:pPr>
      <w:rPr>
        <w:rFonts w:hint="default"/>
      </w:rPr>
    </w:lvl>
    <w:lvl w:ilvl="4">
      <w:start w:val="1"/>
      <w:numFmt w:val="decimal"/>
      <w:lvlText w:val="%1.%2.%3.%4.%5"/>
      <w:lvlJc w:val="left"/>
      <w:pPr>
        <w:tabs>
          <w:tab w:val="num" w:pos="1009"/>
        </w:tabs>
        <w:ind w:left="1009" w:hanging="1008"/>
      </w:pPr>
      <w:rPr>
        <w:rFonts w:hint="default"/>
      </w:rPr>
    </w:lvl>
    <w:lvl w:ilvl="5">
      <w:start w:val="1"/>
      <w:numFmt w:val="decimal"/>
      <w:lvlText w:val="%1.%2.%3.%4.%5.%6"/>
      <w:lvlJc w:val="left"/>
      <w:pPr>
        <w:tabs>
          <w:tab w:val="num" w:pos="1153"/>
        </w:tabs>
        <w:ind w:left="1153" w:hanging="1152"/>
      </w:pPr>
      <w:rPr>
        <w:rFonts w:hint="default"/>
      </w:rPr>
    </w:lvl>
    <w:lvl w:ilvl="6">
      <w:start w:val="1"/>
      <w:numFmt w:val="decimal"/>
      <w:lvlText w:val="%1.%2.%3.%4.%5.%6.%7"/>
      <w:lvlJc w:val="left"/>
      <w:pPr>
        <w:tabs>
          <w:tab w:val="num" w:pos="1297"/>
        </w:tabs>
        <w:ind w:left="1297" w:hanging="1296"/>
      </w:pPr>
      <w:rPr>
        <w:rFonts w:hint="default"/>
      </w:rPr>
    </w:lvl>
    <w:lvl w:ilvl="7">
      <w:start w:val="1"/>
      <w:numFmt w:val="decimal"/>
      <w:lvlText w:val="%1.%2.%3.%4.%5.%6.%7.%8"/>
      <w:lvlJc w:val="left"/>
      <w:pPr>
        <w:tabs>
          <w:tab w:val="num" w:pos="1441"/>
        </w:tabs>
        <w:ind w:left="1441" w:hanging="1440"/>
      </w:pPr>
      <w:rPr>
        <w:rFonts w:hint="default"/>
      </w:rPr>
    </w:lvl>
    <w:lvl w:ilvl="8">
      <w:start w:val="1"/>
      <w:numFmt w:val="decimal"/>
      <w:lvlText w:val="%1.%2.%3.%4.%5.%6.%7.%8.%9"/>
      <w:lvlJc w:val="left"/>
      <w:pPr>
        <w:tabs>
          <w:tab w:val="num" w:pos="1585"/>
        </w:tabs>
        <w:ind w:left="1585" w:hanging="1584"/>
      </w:pPr>
      <w:rPr>
        <w:rFonts w:hint="default"/>
      </w:rPr>
    </w:lvl>
  </w:abstractNum>
  <w:abstractNum w:abstractNumId="25" w15:restartNumberingAfterBreak="0">
    <w:nsid w:val="2E6F1698"/>
    <w:multiLevelType w:val="hybridMultilevel"/>
    <w:tmpl w:val="A80679C8"/>
    <w:lvl w:ilvl="0" w:tplc="041B0015">
      <w:start w:val="1"/>
      <w:numFmt w:val="upperLetter"/>
      <w:lvlText w:val="%1."/>
      <w:lvlJc w:val="left"/>
      <w:pPr>
        <w:ind w:left="720" w:hanging="360"/>
      </w:pPr>
      <w:rPr>
        <w:rFonts w:hint="default"/>
      </w:rPr>
    </w:lvl>
    <w:lvl w:ilvl="1" w:tplc="041B0019">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2EBE730C"/>
    <w:multiLevelType w:val="multilevel"/>
    <w:tmpl w:val="3A4E121E"/>
    <w:lvl w:ilvl="0">
      <w:start w:val="1"/>
      <w:numFmt w:val="decimal"/>
      <w:pStyle w:val="Nadpis11"/>
      <w:lvlText w:val="%1"/>
      <w:lvlJc w:val="left"/>
      <w:pPr>
        <w:tabs>
          <w:tab w:val="num" w:pos="0"/>
        </w:tabs>
        <w:ind w:left="432" w:hanging="432"/>
      </w:pPr>
    </w:lvl>
    <w:lvl w:ilvl="1">
      <w:start w:val="1"/>
      <w:numFmt w:val="decimal"/>
      <w:pStyle w:val="Nadpis21"/>
      <w:lvlText w:val="%1.%2"/>
      <w:lvlJc w:val="left"/>
      <w:pPr>
        <w:tabs>
          <w:tab w:val="num" w:pos="0"/>
        </w:tabs>
        <w:ind w:left="576" w:hanging="576"/>
      </w:pPr>
    </w:lvl>
    <w:lvl w:ilvl="2">
      <w:start w:val="1"/>
      <w:numFmt w:val="decimal"/>
      <w:pStyle w:val="Nadpis31"/>
      <w:lvlText w:val="%1.%2.%3"/>
      <w:lvlJc w:val="left"/>
      <w:pPr>
        <w:tabs>
          <w:tab w:val="num" w:pos="142"/>
        </w:tabs>
        <w:ind w:left="862" w:hanging="720"/>
      </w:pPr>
    </w:lvl>
    <w:lvl w:ilvl="3">
      <w:start w:val="1"/>
      <w:numFmt w:val="decimal"/>
      <w:pStyle w:val="Nadpis41"/>
      <w:lvlText w:val="%1.%2.%3.%4"/>
      <w:lvlJc w:val="left"/>
      <w:pPr>
        <w:tabs>
          <w:tab w:val="num" w:pos="993"/>
        </w:tabs>
        <w:ind w:left="1857" w:hanging="864"/>
      </w:pPr>
      <w:rPr>
        <w:color w:val="auto"/>
      </w:rPr>
    </w:lvl>
    <w:lvl w:ilvl="4">
      <w:start w:val="1"/>
      <w:numFmt w:val="decimal"/>
      <w:pStyle w:val="Nadpis51"/>
      <w:lvlText w:val="%1.%2.%3.%4.%5"/>
      <w:lvlJc w:val="left"/>
      <w:pPr>
        <w:tabs>
          <w:tab w:val="num" w:pos="2269"/>
        </w:tabs>
        <w:ind w:left="3277" w:hanging="1008"/>
      </w:pPr>
    </w:lvl>
    <w:lvl w:ilvl="5">
      <w:start w:val="1"/>
      <w:numFmt w:val="decimal"/>
      <w:pStyle w:val="Nadpis61"/>
      <w:lvlText w:val="%1.%2.%3.%4.%5.%6"/>
      <w:lvlJc w:val="left"/>
      <w:pPr>
        <w:tabs>
          <w:tab w:val="num" w:pos="0"/>
        </w:tabs>
        <w:ind w:left="1152" w:hanging="1152"/>
      </w:pPr>
    </w:lvl>
    <w:lvl w:ilvl="6">
      <w:start w:val="1"/>
      <w:numFmt w:val="decimal"/>
      <w:pStyle w:val="Nadpis71"/>
      <w:lvlText w:val="%1.%2.%3.%4.%5.%6.%7"/>
      <w:lvlJc w:val="left"/>
      <w:pPr>
        <w:tabs>
          <w:tab w:val="num" w:pos="0"/>
        </w:tabs>
        <w:ind w:left="1296" w:hanging="1296"/>
      </w:pPr>
    </w:lvl>
    <w:lvl w:ilvl="7">
      <w:start w:val="1"/>
      <w:numFmt w:val="decimal"/>
      <w:pStyle w:val="Nadpis81"/>
      <w:lvlText w:val="%1.%2.%3.%4.%5.%6.%7.%8"/>
      <w:lvlJc w:val="left"/>
      <w:pPr>
        <w:tabs>
          <w:tab w:val="num" w:pos="0"/>
        </w:tabs>
        <w:ind w:left="1440" w:hanging="1440"/>
      </w:pPr>
    </w:lvl>
    <w:lvl w:ilvl="8">
      <w:start w:val="1"/>
      <w:numFmt w:val="decimal"/>
      <w:pStyle w:val="Nadpis91"/>
      <w:lvlText w:val="%1.%2.%3.%4.%5.%6.%7.%8.%9"/>
      <w:lvlJc w:val="left"/>
      <w:pPr>
        <w:tabs>
          <w:tab w:val="num" w:pos="0"/>
        </w:tabs>
        <w:ind w:left="1584" w:hanging="1584"/>
      </w:pPr>
    </w:lvl>
  </w:abstractNum>
  <w:abstractNum w:abstractNumId="27" w15:restartNumberingAfterBreak="0">
    <w:nsid w:val="2F993653"/>
    <w:multiLevelType w:val="hybridMultilevel"/>
    <w:tmpl w:val="6772E5D6"/>
    <w:lvl w:ilvl="0" w:tplc="FB1050DC">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8" w15:restartNumberingAfterBreak="0">
    <w:nsid w:val="301142CC"/>
    <w:multiLevelType w:val="hybridMultilevel"/>
    <w:tmpl w:val="71B6CA32"/>
    <w:lvl w:ilvl="0" w:tplc="6BC4B478">
      <w:start w:val="1"/>
      <w:numFmt w:val="bullet"/>
      <w:pStyle w:val="P0"/>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32CD16B3"/>
    <w:multiLevelType w:val="hybridMultilevel"/>
    <w:tmpl w:val="278EFE84"/>
    <w:lvl w:ilvl="0" w:tplc="51DCEBC4">
      <w:start w:val="1"/>
      <w:numFmt w:val="upperLetter"/>
      <w:pStyle w:val="nadpis110"/>
      <w:lvlText w:val="%1."/>
      <w:lvlJc w:val="left"/>
      <w:pPr>
        <w:tabs>
          <w:tab w:val="num" w:pos="900"/>
        </w:tabs>
        <w:ind w:left="900" w:hanging="360"/>
      </w:pPr>
    </w:lvl>
    <w:lvl w:ilvl="1" w:tplc="2CE83B78">
      <w:start w:val="1"/>
      <w:numFmt w:val="decimal"/>
      <w:lvlText w:val="%2."/>
      <w:lvlJc w:val="left"/>
      <w:pPr>
        <w:tabs>
          <w:tab w:val="num" w:pos="2310"/>
        </w:tabs>
        <w:ind w:left="2310" w:hanging="1050"/>
      </w:pPr>
    </w:lvl>
    <w:lvl w:ilvl="2" w:tplc="041B001B">
      <w:start w:val="1"/>
      <w:numFmt w:val="lowerRoman"/>
      <w:lvlText w:val="%3."/>
      <w:lvlJc w:val="right"/>
      <w:pPr>
        <w:tabs>
          <w:tab w:val="num" w:pos="2340"/>
        </w:tabs>
        <w:ind w:left="2340" w:hanging="180"/>
      </w:pPr>
    </w:lvl>
    <w:lvl w:ilvl="3" w:tplc="041B000F">
      <w:start w:val="1"/>
      <w:numFmt w:val="decimal"/>
      <w:lvlText w:val="%4."/>
      <w:lvlJc w:val="left"/>
      <w:pPr>
        <w:tabs>
          <w:tab w:val="num" w:pos="3060"/>
        </w:tabs>
        <w:ind w:left="3060" w:hanging="360"/>
      </w:pPr>
    </w:lvl>
    <w:lvl w:ilvl="4" w:tplc="041B0019">
      <w:start w:val="1"/>
      <w:numFmt w:val="lowerLetter"/>
      <w:lvlText w:val="%5."/>
      <w:lvlJc w:val="left"/>
      <w:pPr>
        <w:tabs>
          <w:tab w:val="num" w:pos="3780"/>
        </w:tabs>
        <w:ind w:left="3780" w:hanging="360"/>
      </w:pPr>
    </w:lvl>
    <w:lvl w:ilvl="5" w:tplc="041B001B">
      <w:start w:val="1"/>
      <w:numFmt w:val="lowerRoman"/>
      <w:lvlText w:val="%6."/>
      <w:lvlJc w:val="right"/>
      <w:pPr>
        <w:tabs>
          <w:tab w:val="num" w:pos="4500"/>
        </w:tabs>
        <w:ind w:left="4500" w:hanging="180"/>
      </w:pPr>
    </w:lvl>
    <w:lvl w:ilvl="6" w:tplc="041B000F">
      <w:start w:val="1"/>
      <w:numFmt w:val="decimal"/>
      <w:lvlText w:val="%7."/>
      <w:lvlJc w:val="left"/>
      <w:pPr>
        <w:tabs>
          <w:tab w:val="num" w:pos="5220"/>
        </w:tabs>
        <w:ind w:left="5220" w:hanging="360"/>
      </w:pPr>
    </w:lvl>
    <w:lvl w:ilvl="7" w:tplc="041B0019">
      <w:start w:val="1"/>
      <w:numFmt w:val="lowerLetter"/>
      <w:lvlText w:val="%8."/>
      <w:lvlJc w:val="left"/>
      <w:pPr>
        <w:tabs>
          <w:tab w:val="num" w:pos="5940"/>
        </w:tabs>
        <w:ind w:left="5940" w:hanging="360"/>
      </w:pPr>
    </w:lvl>
    <w:lvl w:ilvl="8" w:tplc="041B001B">
      <w:start w:val="1"/>
      <w:numFmt w:val="lowerRoman"/>
      <w:lvlText w:val="%9."/>
      <w:lvlJc w:val="right"/>
      <w:pPr>
        <w:tabs>
          <w:tab w:val="num" w:pos="6660"/>
        </w:tabs>
        <w:ind w:left="6660" w:hanging="180"/>
      </w:pPr>
    </w:lvl>
  </w:abstractNum>
  <w:abstractNum w:abstractNumId="30" w15:restartNumberingAfterBreak="0">
    <w:nsid w:val="3362620E"/>
    <w:multiLevelType w:val="hybridMultilevel"/>
    <w:tmpl w:val="A52C23F4"/>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31" w15:restartNumberingAfterBreak="0">
    <w:nsid w:val="34457FCB"/>
    <w:multiLevelType w:val="hybridMultilevel"/>
    <w:tmpl w:val="B09E0D20"/>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2" w15:restartNumberingAfterBreak="0">
    <w:nsid w:val="34DF7E80"/>
    <w:multiLevelType w:val="hybridMultilevel"/>
    <w:tmpl w:val="8B8E376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3" w15:restartNumberingAfterBreak="0">
    <w:nsid w:val="34ED1305"/>
    <w:multiLevelType w:val="multilevel"/>
    <w:tmpl w:val="C4C40612"/>
    <w:lvl w:ilvl="0">
      <w:start w:val="1"/>
      <w:numFmt w:val="decimal"/>
      <w:lvlText w:val="%1."/>
      <w:lvlJc w:val="left"/>
      <w:pPr>
        <w:ind w:left="785" w:hanging="360"/>
      </w:pPr>
    </w:lvl>
    <w:lvl w:ilvl="1">
      <w:start w:val="1"/>
      <w:numFmt w:val="decimal"/>
      <w:isLgl/>
      <w:lvlText w:val="%1.%2"/>
      <w:lvlJc w:val="left"/>
      <w:pPr>
        <w:ind w:left="905" w:hanging="48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145" w:hanging="720"/>
      </w:pPr>
      <w:rPr>
        <w:rFonts w:hint="default"/>
      </w:rPr>
    </w:lvl>
    <w:lvl w:ilvl="4">
      <w:start w:val="1"/>
      <w:numFmt w:val="decimal"/>
      <w:isLgl/>
      <w:lvlText w:val="%1.%2.%3.%4.%5"/>
      <w:lvlJc w:val="left"/>
      <w:pPr>
        <w:ind w:left="1505" w:hanging="1080"/>
      </w:pPr>
      <w:rPr>
        <w:rFonts w:hint="default"/>
      </w:rPr>
    </w:lvl>
    <w:lvl w:ilvl="5">
      <w:start w:val="1"/>
      <w:numFmt w:val="decimal"/>
      <w:isLgl/>
      <w:lvlText w:val="%1.%2.%3.%4.%5.%6"/>
      <w:lvlJc w:val="left"/>
      <w:pPr>
        <w:ind w:left="1505" w:hanging="1080"/>
      </w:pPr>
      <w:rPr>
        <w:rFonts w:hint="default"/>
      </w:rPr>
    </w:lvl>
    <w:lvl w:ilvl="6">
      <w:start w:val="1"/>
      <w:numFmt w:val="decimal"/>
      <w:isLgl/>
      <w:lvlText w:val="%1.%2.%3.%4.%5.%6.%7"/>
      <w:lvlJc w:val="left"/>
      <w:pPr>
        <w:ind w:left="1865" w:hanging="1440"/>
      </w:pPr>
      <w:rPr>
        <w:rFonts w:hint="default"/>
      </w:rPr>
    </w:lvl>
    <w:lvl w:ilvl="7">
      <w:start w:val="1"/>
      <w:numFmt w:val="decimal"/>
      <w:isLgl/>
      <w:lvlText w:val="%1.%2.%3.%4.%5.%6.%7.%8"/>
      <w:lvlJc w:val="left"/>
      <w:pPr>
        <w:ind w:left="1865" w:hanging="1440"/>
      </w:pPr>
      <w:rPr>
        <w:rFonts w:hint="default"/>
      </w:rPr>
    </w:lvl>
    <w:lvl w:ilvl="8">
      <w:start w:val="1"/>
      <w:numFmt w:val="decimal"/>
      <w:isLgl/>
      <w:lvlText w:val="%1.%2.%3.%4.%5.%6.%7.%8.%9"/>
      <w:lvlJc w:val="left"/>
      <w:pPr>
        <w:ind w:left="2225" w:hanging="1800"/>
      </w:pPr>
      <w:rPr>
        <w:rFonts w:hint="default"/>
      </w:rPr>
    </w:lvl>
  </w:abstractNum>
  <w:abstractNum w:abstractNumId="34" w15:restartNumberingAfterBreak="0">
    <w:nsid w:val="36BA2F4D"/>
    <w:multiLevelType w:val="hybridMultilevel"/>
    <w:tmpl w:val="55DC2B22"/>
    <w:lvl w:ilvl="0" w:tplc="1BE8D7B4">
      <w:start w:val="1"/>
      <w:numFmt w:val="bullet"/>
      <w:pStyle w:val="ODRKY-KOICE"/>
      <w:lvlText w:val=""/>
      <w:lvlJc w:val="left"/>
      <w:pPr>
        <w:ind w:left="927" w:hanging="360"/>
      </w:pPr>
      <w:rPr>
        <w:rFonts w:ascii="Symbol" w:hAnsi="Symbol" w:hint="default"/>
      </w:rPr>
    </w:lvl>
    <w:lvl w:ilvl="1" w:tplc="041B0003">
      <w:start w:val="1"/>
      <w:numFmt w:val="bullet"/>
      <w:lvlText w:val="o"/>
      <w:lvlJc w:val="left"/>
      <w:pPr>
        <w:ind w:left="1647" w:hanging="360"/>
      </w:pPr>
      <w:rPr>
        <w:rFonts w:ascii="Courier New" w:hAnsi="Courier New" w:cs="Courier New" w:hint="default"/>
      </w:rPr>
    </w:lvl>
    <w:lvl w:ilvl="2" w:tplc="041B0005" w:tentative="1">
      <w:start w:val="1"/>
      <w:numFmt w:val="bullet"/>
      <w:lvlText w:val=""/>
      <w:lvlJc w:val="left"/>
      <w:pPr>
        <w:ind w:left="2367" w:hanging="360"/>
      </w:pPr>
      <w:rPr>
        <w:rFonts w:ascii="Wingdings" w:hAnsi="Wingdings" w:hint="default"/>
      </w:rPr>
    </w:lvl>
    <w:lvl w:ilvl="3" w:tplc="041B0001" w:tentative="1">
      <w:start w:val="1"/>
      <w:numFmt w:val="bullet"/>
      <w:lvlText w:val=""/>
      <w:lvlJc w:val="left"/>
      <w:pPr>
        <w:ind w:left="3087" w:hanging="360"/>
      </w:pPr>
      <w:rPr>
        <w:rFonts w:ascii="Symbol" w:hAnsi="Symbol" w:hint="default"/>
      </w:rPr>
    </w:lvl>
    <w:lvl w:ilvl="4" w:tplc="041B0003" w:tentative="1">
      <w:start w:val="1"/>
      <w:numFmt w:val="bullet"/>
      <w:lvlText w:val="o"/>
      <w:lvlJc w:val="left"/>
      <w:pPr>
        <w:ind w:left="3807" w:hanging="360"/>
      </w:pPr>
      <w:rPr>
        <w:rFonts w:ascii="Courier New" w:hAnsi="Courier New" w:cs="Courier New" w:hint="default"/>
      </w:rPr>
    </w:lvl>
    <w:lvl w:ilvl="5" w:tplc="041B0005" w:tentative="1">
      <w:start w:val="1"/>
      <w:numFmt w:val="bullet"/>
      <w:lvlText w:val=""/>
      <w:lvlJc w:val="left"/>
      <w:pPr>
        <w:ind w:left="4527" w:hanging="360"/>
      </w:pPr>
      <w:rPr>
        <w:rFonts w:ascii="Wingdings" w:hAnsi="Wingdings" w:hint="default"/>
      </w:rPr>
    </w:lvl>
    <w:lvl w:ilvl="6" w:tplc="041B0001" w:tentative="1">
      <w:start w:val="1"/>
      <w:numFmt w:val="bullet"/>
      <w:lvlText w:val=""/>
      <w:lvlJc w:val="left"/>
      <w:pPr>
        <w:ind w:left="5247" w:hanging="360"/>
      </w:pPr>
      <w:rPr>
        <w:rFonts w:ascii="Symbol" w:hAnsi="Symbol" w:hint="default"/>
      </w:rPr>
    </w:lvl>
    <w:lvl w:ilvl="7" w:tplc="041B0003" w:tentative="1">
      <w:start w:val="1"/>
      <w:numFmt w:val="bullet"/>
      <w:lvlText w:val="o"/>
      <w:lvlJc w:val="left"/>
      <w:pPr>
        <w:ind w:left="5967" w:hanging="360"/>
      </w:pPr>
      <w:rPr>
        <w:rFonts w:ascii="Courier New" w:hAnsi="Courier New" w:cs="Courier New" w:hint="default"/>
      </w:rPr>
    </w:lvl>
    <w:lvl w:ilvl="8" w:tplc="041B0005" w:tentative="1">
      <w:start w:val="1"/>
      <w:numFmt w:val="bullet"/>
      <w:lvlText w:val=""/>
      <w:lvlJc w:val="left"/>
      <w:pPr>
        <w:ind w:left="6687" w:hanging="360"/>
      </w:pPr>
      <w:rPr>
        <w:rFonts w:ascii="Wingdings" w:hAnsi="Wingdings" w:hint="default"/>
      </w:rPr>
    </w:lvl>
  </w:abstractNum>
  <w:abstractNum w:abstractNumId="35" w15:restartNumberingAfterBreak="0">
    <w:nsid w:val="36C84C62"/>
    <w:multiLevelType w:val="hybridMultilevel"/>
    <w:tmpl w:val="B11AC814"/>
    <w:lvl w:ilvl="0" w:tplc="68FCF1C4">
      <w:start w:val="3"/>
      <w:numFmt w:val="bullet"/>
      <w:lvlText w:val="-"/>
      <w:lvlJc w:val="left"/>
      <w:pPr>
        <w:ind w:left="1068" w:hanging="360"/>
      </w:pPr>
      <w:rPr>
        <w:rFonts w:ascii="Calibri" w:eastAsiaTheme="minorHAnsi" w:hAnsi="Calibri" w:cs="Calibri" w:hint="default"/>
      </w:rPr>
    </w:lvl>
    <w:lvl w:ilvl="1" w:tplc="041B0003" w:tentative="1">
      <w:start w:val="1"/>
      <w:numFmt w:val="bullet"/>
      <w:lvlText w:val="o"/>
      <w:lvlJc w:val="left"/>
      <w:pPr>
        <w:ind w:left="1788" w:hanging="360"/>
      </w:pPr>
      <w:rPr>
        <w:rFonts w:ascii="Courier New" w:hAnsi="Courier New" w:cs="Courier New" w:hint="default"/>
      </w:rPr>
    </w:lvl>
    <w:lvl w:ilvl="2" w:tplc="041B0005" w:tentative="1">
      <w:start w:val="1"/>
      <w:numFmt w:val="bullet"/>
      <w:lvlText w:val=""/>
      <w:lvlJc w:val="left"/>
      <w:pPr>
        <w:ind w:left="2508" w:hanging="360"/>
      </w:pPr>
      <w:rPr>
        <w:rFonts w:ascii="Wingdings" w:hAnsi="Wingdings" w:hint="default"/>
      </w:rPr>
    </w:lvl>
    <w:lvl w:ilvl="3" w:tplc="041B0001" w:tentative="1">
      <w:start w:val="1"/>
      <w:numFmt w:val="bullet"/>
      <w:lvlText w:val=""/>
      <w:lvlJc w:val="left"/>
      <w:pPr>
        <w:ind w:left="3228" w:hanging="360"/>
      </w:pPr>
      <w:rPr>
        <w:rFonts w:ascii="Symbol" w:hAnsi="Symbol" w:hint="default"/>
      </w:rPr>
    </w:lvl>
    <w:lvl w:ilvl="4" w:tplc="041B0003" w:tentative="1">
      <w:start w:val="1"/>
      <w:numFmt w:val="bullet"/>
      <w:lvlText w:val="o"/>
      <w:lvlJc w:val="left"/>
      <w:pPr>
        <w:ind w:left="3948" w:hanging="360"/>
      </w:pPr>
      <w:rPr>
        <w:rFonts w:ascii="Courier New" w:hAnsi="Courier New" w:cs="Courier New" w:hint="default"/>
      </w:rPr>
    </w:lvl>
    <w:lvl w:ilvl="5" w:tplc="041B0005" w:tentative="1">
      <w:start w:val="1"/>
      <w:numFmt w:val="bullet"/>
      <w:lvlText w:val=""/>
      <w:lvlJc w:val="left"/>
      <w:pPr>
        <w:ind w:left="4668" w:hanging="360"/>
      </w:pPr>
      <w:rPr>
        <w:rFonts w:ascii="Wingdings" w:hAnsi="Wingdings" w:hint="default"/>
      </w:rPr>
    </w:lvl>
    <w:lvl w:ilvl="6" w:tplc="041B0001" w:tentative="1">
      <w:start w:val="1"/>
      <w:numFmt w:val="bullet"/>
      <w:lvlText w:val=""/>
      <w:lvlJc w:val="left"/>
      <w:pPr>
        <w:ind w:left="5388" w:hanging="360"/>
      </w:pPr>
      <w:rPr>
        <w:rFonts w:ascii="Symbol" w:hAnsi="Symbol" w:hint="default"/>
      </w:rPr>
    </w:lvl>
    <w:lvl w:ilvl="7" w:tplc="041B0003" w:tentative="1">
      <w:start w:val="1"/>
      <w:numFmt w:val="bullet"/>
      <w:lvlText w:val="o"/>
      <w:lvlJc w:val="left"/>
      <w:pPr>
        <w:ind w:left="6108" w:hanging="360"/>
      </w:pPr>
      <w:rPr>
        <w:rFonts w:ascii="Courier New" w:hAnsi="Courier New" w:cs="Courier New" w:hint="default"/>
      </w:rPr>
    </w:lvl>
    <w:lvl w:ilvl="8" w:tplc="041B0005" w:tentative="1">
      <w:start w:val="1"/>
      <w:numFmt w:val="bullet"/>
      <w:lvlText w:val=""/>
      <w:lvlJc w:val="left"/>
      <w:pPr>
        <w:ind w:left="6828" w:hanging="360"/>
      </w:pPr>
      <w:rPr>
        <w:rFonts w:ascii="Wingdings" w:hAnsi="Wingdings" w:hint="default"/>
      </w:rPr>
    </w:lvl>
  </w:abstractNum>
  <w:abstractNum w:abstractNumId="36" w15:restartNumberingAfterBreak="0">
    <w:nsid w:val="3B296469"/>
    <w:multiLevelType w:val="hybridMultilevel"/>
    <w:tmpl w:val="C3D0AA20"/>
    <w:lvl w:ilvl="0" w:tplc="B902F81A">
      <w:numFmt w:val="bullet"/>
      <w:lvlText w:val="-"/>
      <w:lvlJc w:val="left"/>
      <w:pPr>
        <w:ind w:left="720" w:hanging="360"/>
      </w:pPr>
      <w:rPr>
        <w:rFonts w:ascii="Calibri" w:eastAsiaTheme="minorHAnsi" w:hAnsi="Calibri" w:cs="Calibri"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7" w15:restartNumberingAfterBreak="0">
    <w:nsid w:val="3DFB7DF8"/>
    <w:multiLevelType w:val="hybridMultilevel"/>
    <w:tmpl w:val="E40A10F2"/>
    <w:lvl w:ilvl="0" w:tplc="041B0001">
      <w:start w:val="1"/>
      <w:numFmt w:val="bullet"/>
      <w:lvlText w:val=""/>
      <w:lvlJc w:val="left"/>
      <w:pPr>
        <w:ind w:left="790" w:hanging="360"/>
      </w:pPr>
      <w:rPr>
        <w:rFonts w:ascii="Symbol" w:hAnsi="Symbol" w:hint="default"/>
      </w:rPr>
    </w:lvl>
    <w:lvl w:ilvl="1" w:tplc="041B0003" w:tentative="1">
      <w:start w:val="1"/>
      <w:numFmt w:val="bullet"/>
      <w:lvlText w:val="o"/>
      <w:lvlJc w:val="left"/>
      <w:pPr>
        <w:ind w:left="1510" w:hanging="360"/>
      </w:pPr>
      <w:rPr>
        <w:rFonts w:ascii="Courier New" w:hAnsi="Courier New" w:cs="Courier New" w:hint="default"/>
      </w:rPr>
    </w:lvl>
    <w:lvl w:ilvl="2" w:tplc="041B0005" w:tentative="1">
      <w:start w:val="1"/>
      <w:numFmt w:val="bullet"/>
      <w:lvlText w:val=""/>
      <w:lvlJc w:val="left"/>
      <w:pPr>
        <w:ind w:left="2230" w:hanging="360"/>
      </w:pPr>
      <w:rPr>
        <w:rFonts w:ascii="Wingdings" w:hAnsi="Wingdings" w:hint="default"/>
      </w:rPr>
    </w:lvl>
    <w:lvl w:ilvl="3" w:tplc="041B0001" w:tentative="1">
      <w:start w:val="1"/>
      <w:numFmt w:val="bullet"/>
      <w:lvlText w:val=""/>
      <w:lvlJc w:val="left"/>
      <w:pPr>
        <w:ind w:left="2950" w:hanging="360"/>
      </w:pPr>
      <w:rPr>
        <w:rFonts w:ascii="Symbol" w:hAnsi="Symbol" w:hint="default"/>
      </w:rPr>
    </w:lvl>
    <w:lvl w:ilvl="4" w:tplc="041B0003" w:tentative="1">
      <w:start w:val="1"/>
      <w:numFmt w:val="bullet"/>
      <w:lvlText w:val="o"/>
      <w:lvlJc w:val="left"/>
      <w:pPr>
        <w:ind w:left="3670" w:hanging="360"/>
      </w:pPr>
      <w:rPr>
        <w:rFonts w:ascii="Courier New" w:hAnsi="Courier New" w:cs="Courier New" w:hint="default"/>
      </w:rPr>
    </w:lvl>
    <w:lvl w:ilvl="5" w:tplc="041B0005" w:tentative="1">
      <w:start w:val="1"/>
      <w:numFmt w:val="bullet"/>
      <w:lvlText w:val=""/>
      <w:lvlJc w:val="left"/>
      <w:pPr>
        <w:ind w:left="4390" w:hanging="360"/>
      </w:pPr>
      <w:rPr>
        <w:rFonts w:ascii="Wingdings" w:hAnsi="Wingdings" w:hint="default"/>
      </w:rPr>
    </w:lvl>
    <w:lvl w:ilvl="6" w:tplc="041B0001" w:tentative="1">
      <w:start w:val="1"/>
      <w:numFmt w:val="bullet"/>
      <w:lvlText w:val=""/>
      <w:lvlJc w:val="left"/>
      <w:pPr>
        <w:ind w:left="5110" w:hanging="360"/>
      </w:pPr>
      <w:rPr>
        <w:rFonts w:ascii="Symbol" w:hAnsi="Symbol" w:hint="default"/>
      </w:rPr>
    </w:lvl>
    <w:lvl w:ilvl="7" w:tplc="041B0003" w:tentative="1">
      <w:start w:val="1"/>
      <w:numFmt w:val="bullet"/>
      <w:lvlText w:val="o"/>
      <w:lvlJc w:val="left"/>
      <w:pPr>
        <w:ind w:left="5830" w:hanging="360"/>
      </w:pPr>
      <w:rPr>
        <w:rFonts w:ascii="Courier New" w:hAnsi="Courier New" w:cs="Courier New" w:hint="default"/>
      </w:rPr>
    </w:lvl>
    <w:lvl w:ilvl="8" w:tplc="041B0005" w:tentative="1">
      <w:start w:val="1"/>
      <w:numFmt w:val="bullet"/>
      <w:lvlText w:val=""/>
      <w:lvlJc w:val="left"/>
      <w:pPr>
        <w:ind w:left="6550" w:hanging="360"/>
      </w:pPr>
      <w:rPr>
        <w:rFonts w:ascii="Wingdings" w:hAnsi="Wingdings" w:hint="default"/>
      </w:rPr>
    </w:lvl>
  </w:abstractNum>
  <w:abstractNum w:abstractNumId="38" w15:restartNumberingAfterBreak="0">
    <w:nsid w:val="400F4830"/>
    <w:multiLevelType w:val="hybridMultilevel"/>
    <w:tmpl w:val="20663254"/>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39" w15:restartNumberingAfterBreak="0">
    <w:nsid w:val="40BD4D96"/>
    <w:multiLevelType w:val="hybridMultilevel"/>
    <w:tmpl w:val="721E7B4E"/>
    <w:lvl w:ilvl="0" w:tplc="08090017">
      <w:start w:val="1"/>
      <w:numFmt w:val="lowerLetter"/>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40" w15:restartNumberingAfterBreak="0">
    <w:nsid w:val="42322F1D"/>
    <w:multiLevelType w:val="hybridMultilevel"/>
    <w:tmpl w:val="6ED0B2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44786ABD"/>
    <w:multiLevelType w:val="hybridMultilevel"/>
    <w:tmpl w:val="F9166F7E"/>
    <w:lvl w:ilvl="0" w:tplc="039CE47C">
      <w:start w:val="1"/>
      <w:numFmt w:val="decimal"/>
      <w:lvlText w:val="%1)"/>
      <w:lvlJc w:val="left"/>
      <w:pPr>
        <w:ind w:left="1065" w:hanging="360"/>
      </w:pPr>
      <w:rPr>
        <w:rFonts w:hint="default"/>
      </w:rPr>
    </w:lvl>
    <w:lvl w:ilvl="1" w:tplc="041B0019" w:tentative="1">
      <w:start w:val="1"/>
      <w:numFmt w:val="lowerLetter"/>
      <w:lvlText w:val="%2."/>
      <w:lvlJc w:val="left"/>
      <w:pPr>
        <w:ind w:left="1785" w:hanging="360"/>
      </w:pPr>
    </w:lvl>
    <w:lvl w:ilvl="2" w:tplc="041B001B" w:tentative="1">
      <w:start w:val="1"/>
      <w:numFmt w:val="lowerRoman"/>
      <w:lvlText w:val="%3."/>
      <w:lvlJc w:val="right"/>
      <w:pPr>
        <w:ind w:left="2505" w:hanging="180"/>
      </w:pPr>
    </w:lvl>
    <w:lvl w:ilvl="3" w:tplc="041B000F" w:tentative="1">
      <w:start w:val="1"/>
      <w:numFmt w:val="decimal"/>
      <w:lvlText w:val="%4."/>
      <w:lvlJc w:val="left"/>
      <w:pPr>
        <w:ind w:left="3225" w:hanging="360"/>
      </w:pPr>
    </w:lvl>
    <w:lvl w:ilvl="4" w:tplc="041B0019" w:tentative="1">
      <w:start w:val="1"/>
      <w:numFmt w:val="lowerLetter"/>
      <w:lvlText w:val="%5."/>
      <w:lvlJc w:val="left"/>
      <w:pPr>
        <w:ind w:left="3945" w:hanging="360"/>
      </w:pPr>
    </w:lvl>
    <w:lvl w:ilvl="5" w:tplc="041B001B" w:tentative="1">
      <w:start w:val="1"/>
      <w:numFmt w:val="lowerRoman"/>
      <w:lvlText w:val="%6."/>
      <w:lvlJc w:val="right"/>
      <w:pPr>
        <w:ind w:left="4665" w:hanging="180"/>
      </w:pPr>
    </w:lvl>
    <w:lvl w:ilvl="6" w:tplc="041B000F" w:tentative="1">
      <w:start w:val="1"/>
      <w:numFmt w:val="decimal"/>
      <w:lvlText w:val="%7."/>
      <w:lvlJc w:val="left"/>
      <w:pPr>
        <w:ind w:left="5385" w:hanging="360"/>
      </w:pPr>
    </w:lvl>
    <w:lvl w:ilvl="7" w:tplc="041B0019" w:tentative="1">
      <w:start w:val="1"/>
      <w:numFmt w:val="lowerLetter"/>
      <w:lvlText w:val="%8."/>
      <w:lvlJc w:val="left"/>
      <w:pPr>
        <w:ind w:left="6105" w:hanging="360"/>
      </w:pPr>
    </w:lvl>
    <w:lvl w:ilvl="8" w:tplc="041B001B" w:tentative="1">
      <w:start w:val="1"/>
      <w:numFmt w:val="lowerRoman"/>
      <w:lvlText w:val="%9."/>
      <w:lvlJc w:val="right"/>
      <w:pPr>
        <w:ind w:left="6825" w:hanging="180"/>
      </w:pPr>
    </w:lvl>
  </w:abstractNum>
  <w:abstractNum w:abstractNumId="42" w15:restartNumberingAfterBreak="0">
    <w:nsid w:val="44844A5A"/>
    <w:multiLevelType w:val="hybridMultilevel"/>
    <w:tmpl w:val="337ECC1C"/>
    <w:lvl w:ilvl="0" w:tplc="041B0001">
      <w:start w:val="1"/>
      <w:numFmt w:val="bullet"/>
      <w:lvlText w:val=""/>
      <w:lvlJc w:val="left"/>
      <w:pPr>
        <w:tabs>
          <w:tab w:val="num" w:pos="1077"/>
        </w:tabs>
        <w:ind w:left="1077" w:hanging="360"/>
      </w:pPr>
      <w:rPr>
        <w:rFonts w:ascii="Symbol" w:hAnsi="Symbol" w:hint="default"/>
      </w:rPr>
    </w:lvl>
    <w:lvl w:ilvl="1" w:tplc="041B0003">
      <w:start w:val="1"/>
      <w:numFmt w:val="bullet"/>
      <w:lvlText w:val="o"/>
      <w:lvlJc w:val="left"/>
      <w:pPr>
        <w:tabs>
          <w:tab w:val="num" w:pos="1797"/>
        </w:tabs>
        <w:ind w:left="1797" w:hanging="360"/>
      </w:pPr>
      <w:rPr>
        <w:rFonts w:ascii="Courier New" w:hAnsi="Courier New" w:cs="Times New Roman" w:hint="default"/>
      </w:rPr>
    </w:lvl>
    <w:lvl w:ilvl="2" w:tplc="041B0005">
      <w:start w:val="1"/>
      <w:numFmt w:val="bullet"/>
      <w:lvlText w:val=""/>
      <w:lvlJc w:val="left"/>
      <w:pPr>
        <w:tabs>
          <w:tab w:val="num" w:pos="2517"/>
        </w:tabs>
        <w:ind w:left="2517" w:hanging="360"/>
      </w:pPr>
      <w:rPr>
        <w:rFonts w:ascii="Wingdings" w:hAnsi="Wingdings" w:hint="default"/>
      </w:rPr>
    </w:lvl>
    <w:lvl w:ilvl="3" w:tplc="041B0001">
      <w:start w:val="1"/>
      <w:numFmt w:val="bullet"/>
      <w:lvlText w:val=""/>
      <w:lvlJc w:val="left"/>
      <w:pPr>
        <w:tabs>
          <w:tab w:val="num" w:pos="3237"/>
        </w:tabs>
        <w:ind w:left="3237" w:hanging="360"/>
      </w:pPr>
      <w:rPr>
        <w:rFonts w:ascii="Symbol" w:hAnsi="Symbol" w:hint="default"/>
      </w:rPr>
    </w:lvl>
    <w:lvl w:ilvl="4" w:tplc="041B0003">
      <w:start w:val="1"/>
      <w:numFmt w:val="bullet"/>
      <w:lvlText w:val="o"/>
      <w:lvlJc w:val="left"/>
      <w:pPr>
        <w:tabs>
          <w:tab w:val="num" w:pos="3957"/>
        </w:tabs>
        <w:ind w:left="3957" w:hanging="360"/>
      </w:pPr>
      <w:rPr>
        <w:rFonts w:ascii="Courier New" w:hAnsi="Courier New" w:cs="Times New Roman" w:hint="default"/>
      </w:rPr>
    </w:lvl>
    <w:lvl w:ilvl="5" w:tplc="041B0005">
      <w:start w:val="1"/>
      <w:numFmt w:val="bullet"/>
      <w:lvlText w:val=""/>
      <w:lvlJc w:val="left"/>
      <w:pPr>
        <w:tabs>
          <w:tab w:val="num" w:pos="4677"/>
        </w:tabs>
        <w:ind w:left="4677" w:hanging="360"/>
      </w:pPr>
      <w:rPr>
        <w:rFonts w:ascii="Wingdings" w:hAnsi="Wingdings" w:hint="default"/>
      </w:rPr>
    </w:lvl>
    <w:lvl w:ilvl="6" w:tplc="041B0001">
      <w:start w:val="1"/>
      <w:numFmt w:val="bullet"/>
      <w:lvlText w:val=""/>
      <w:lvlJc w:val="left"/>
      <w:pPr>
        <w:tabs>
          <w:tab w:val="num" w:pos="5397"/>
        </w:tabs>
        <w:ind w:left="5397" w:hanging="360"/>
      </w:pPr>
      <w:rPr>
        <w:rFonts w:ascii="Symbol" w:hAnsi="Symbol" w:hint="default"/>
      </w:rPr>
    </w:lvl>
    <w:lvl w:ilvl="7" w:tplc="041B0003">
      <w:start w:val="1"/>
      <w:numFmt w:val="bullet"/>
      <w:lvlText w:val="o"/>
      <w:lvlJc w:val="left"/>
      <w:pPr>
        <w:tabs>
          <w:tab w:val="num" w:pos="6117"/>
        </w:tabs>
        <w:ind w:left="6117" w:hanging="360"/>
      </w:pPr>
      <w:rPr>
        <w:rFonts w:ascii="Courier New" w:hAnsi="Courier New" w:cs="Times New Roman" w:hint="default"/>
      </w:rPr>
    </w:lvl>
    <w:lvl w:ilvl="8" w:tplc="041B0005">
      <w:start w:val="1"/>
      <w:numFmt w:val="bullet"/>
      <w:lvlText w:val=""/>
      <w:lvlJc w:val="left"/>
      <w:pPr>
        <w:tabs>
          <w:tab w:val="num" w:pos="6837"/>
        </w:tabs>
        <w:ind w:left="6837" w:hanging="360"/>
      </w:pPr>
      <w:rPr>
        <w:rFonts w:ascii="Wingdings" w:hAnsi="Wingdings" w:hint="default"/>
      </w:rPr>
    </w:lvl>
  </w:abstractNum>
  <w:abstractNum w:abstractNumId="43" w15:restartNumberingAfterBreak="0">
    <w:nsid w:val="479C748E"/>
    <w:multiLevelType w:val="hybridMultilevel"/>
    <w:tmpl w:val="6DCEEE3C"/>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4" w15:restartNumberingAfterBreak="0">
    <w:nsid w:val="47EF4FC1"/>
    <w:multiLevelType w:val="singleLevel"/>
    <w:tmpl w:val="169E0956"/>
    <w:lvl w:ilvl="0">
      <w:start w:val="1"/>
      <w:numFmt w:val="bullet"/>
      <w:pStyle w:val="odrkynormln"/>
      <w:lvlText w:val=""/>
      <w:lvlJc w:val="left"/>
      <w:pPr>
        <w:tabs>
          <w:tab w:val="num" w:pos="360"/>
        </w:tabs>
        <w:ind w:left="360" w:hanging="360"/>
      </w:pPr>
      <w:rPr>
        <w:rFonts w:ascii="Wingdings" w:hAnsi="Wingdings" w:hint="default"/>
      </w:rPr>
    </w:lvl>
  </w:abstractNum>
  <w:abstractNum w:abstractNumId="45" w15:restartNumberingAfterBreak="0">
    <w:nsid w:val="485A7729"/>
    <w:multiLevelType w:val="multilevel"/>
    <w:tmpl w:val="4880AF7E"/>
    <w:lvl w:ilvl="0">
      <w:start w:val="1"/>
      <w:numFmt w:val="decimal"/>
      <w:lvlText w:val="%1."/>
      <w:lvlJc w:val="left"/>
      <w:pPr>
        <w:ind w:left="720" w:hanging="360"/>
      </w:pPr>
      <w:rPr>
        <w:rFonts w:hint="default"/>
      </w:rPr>
    </w:lvl>
    <w:lvl w:ilvl="1">
      <w:start w:val="3"/>
      <w:numFmt w:val="decimal"/>
      <w:isLgl/>
      <w:lvlText w:val="%1.%2"/>
      <w:lvlJc w:val="left"/>
      <w:pPr>
        <w:ind w:left="780" w:hanging="420"/>
      </w:pPr>
      <w:rPr>
        <w:rFonts w:hint="default"/>
        <w:color w:val="00B050"/>
        <w:sz w:val="28"/>
      </w:rPr>
    </w:lvl>
    <w:lvl w:ilvl="2">
      <w:start w:val="1"/>
      <w:numFmt w:val="decimal"/>
      <w:isLgl/>
      <w:lvlText w:val="%1.%2.%3"/>
      <w:lvlJc w:val="left"/>
      <w:pPr>
        <w:ind w:left="1080" w:hanging="720"/>
      </w:pPr>
      <w:rPr>
        <w:rFonts w:hint="default"/>
        <w:color w:val="00B050"/>
        <w:sz w:val="28"/>
      </w:rPr>
    </w:lvl>
    <w:lvl w:ilvl="3">
      <w:start w:val="1"/>
      <w:numFmt w:val="decimal"/>
      <w:isLgl/>
      <w:lvlText w:val="%1.%2.%3.%4"/>
      <w:lvlJc w:val="left"/>
      <w:pPr>
        <w:ind w:left="1080" w:hanging="720"/>
      </w:pPr>
      <w:rPr>
        <w:rFonts w:hint="default"/>
        <w:color w:val="00B050"/>
        <w:sz w:val="28"/>
      </w:rPr>
    </w:lvl>
    <w:lvl w:ilvl="4">
      <w:start w:val="1"/>
      <w:numFmt w:val="decimal"/>
      <w:isLgl/>
      <w:lvlText w:val="%1.%2.%3.%4.%5"/>
      <w:lvlJc w:val="left"/>
      <w:pPr>
        <w:ind w:left="1440" w:hanging="1080"/>
      </w:pPr>
      <w:rPr>
        <w:rFonts w:hint="default"/>
        <w:color w:val="00B050"/>
        <w:sz w:val="28"/>
      </w:rPr>
    </w:lvl>
    <w:lvl w:ilvl="5">
      <w:start w:val="1"/>
      <w:numFmt w:val="decimal"/>
      <w:isLgl/>
      <w:lvlText w:val="%1.%2.%3.%4.%5.%6"/>
      <w:lvlJc w:val="left"/>
      <w:pPr>
        <w:ind w:left="1440" w:hanging="1080"/>
      </w:pPr>
      <w:rPr>
        <w:rFonts w:hint="default"/>
        <w:color w:val="00B050"/>
        <w:sz w:val="28"/>
      </w:rPr>
    </w:lvl>
    <w:lvl w:ilvl="6">
      <w:start w:val="1"/>
      <w:numFmt w:val="decimal"/>
      <w:isLgl/>
      <w:lvlText w:val="%1.%2.%3.%4.%5.%6.%7"/>
      <w:lvlJc w:val="left"/>
      <w:pPr>
        <w:ind w:left="1800" w:hanging="1440"/>
      </w:pPr>
      <w:rPr>
        <w:rFonts w:hint="default"/>
        <w:color w:val="00B050"/>
        <w:sz w:val="28"/>
      </w:rPr>
    </w:lvl>
    <w:lvl w:ilvl="7">
      <w:start w:val="1"/>
      <w:numFmt w:val="decimal"/>
      <w:isLgl/>
      <w:lvlText w:val="%1.%2.%3.%4.%5.%6.%7.%8"/>
      <w:lvlJc w:val="left"/>
      <w:pPr>
        <w:ind w:left="1800" w:hanging="1440"/>
      </w:pPr>
      <w:rPr>
        <w:rFonts w:hint="default"/>
        <w:color w:val="00B050"/>
        <w:sz w:val="28"/>
      </w:rPr>
    </w:lvl>
    <w:lvl w:ilvl="8">
      <w:start w:val="1"/>
      <w:numFmt w:val="decimal"/>
      <w:isLgl/>
      <w:lvlText w:val="%1.%2.%3.%4.%5.%6.%7.%8.%9"/>
      <w:lvlJc w:val="left"/>
      <w:pPr>
        <w:ind w:left="2160" w:hanging="1800"/>
      </w:pPr>
      <w:rPr>
        <w:rFonts w:hint="default"/>
        <w:color w:val="00B050"/>
        <w:sz w:val="28"/>
      </w:rPr>
    </w:lvl>
  </w:abstractNum>
  <w:abstractNum w:abstractNumId="46" w15:restartNumberingAfterBreak="0">
    <w:nsid w:val="4924203E"/>
    <w:multiLevelType w:val="hybridMultilevel"/>
    <w:tmpl w:val="2F788AA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7" w15:restartNumberingAfterBreak="0">
    <w:nsid w:val="4E6F2C2F"/>
    <w:multiLevelType w:val="multilevel"/>
    <w:tmpl w:val="D5DCE2AC"/>
    <w:lvl w:ilvl="0">
      <w:start w:val="1"/>
      <w:numFmt w:val="decimal"/>
      <w:lvlText w:val="%1."/>
      <w:lvlJc w:val="left"/>
      <w:pPr>
        <w:ind w:left="360" w:hanging="360"/>
      </w:pPr>
    </w:lvl>
    <w:lvl w:ilvl="1">
      <w:start w:val="1"/>
      <w:numFmt w:val="decimal"/>
      <w:pStyle w:val="Koice5"/>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8" w15:restartNumberingAfterBreak="0">
    <w:nsid w:val="4EDB6D3D"/>
    <w:multiLevelType w:val="hybridMultilevel"/>
    <w:tmpl w:val="C8BC607C"/>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9" w15:restartNumberingAfterBreak="0">
    <w:nsid w:val="526F37DD"/>
    <w:multiLevelType w:val="multilevel"/>
    <w:tmpl w:val="44AE581E"/>
    <w:lvl w:ilvl="0">
      <w:start w:val="1"/>
      <w:numFmt w:val="decimal"/>
      <w:pStyle w:val="slovanzoznam"/>
      <w:lvlText w:val="%1."/>
      <w:lvlJc w:val="left"/>
      <w:pPr>
        <w:ind w:left="720" w:hanging="363"/>
      </w:pPr>
      <w:rPr>
        <w:rFonts w:hint="default"/>
      </w:rPr>
    </w:lvl>
    <w:lvl w:ilvl="1">
      <w:start w:val="1"/>
      <w:numFmt w:val="lowerLetter"/>
      <w:pStyle w:val="slovanzoznam2"/>
      <w:lvlText w:val="%2."/>
      <w:lvlJc w:val="left"/>
      <w:pPr>
        <w:ind w:left="1440" w:hanging="363"/>
      </w:pPr>
      <w:rPr>
        <w:rFonts w:hint="default"/>
      </w:rPr>
    </w:lvl>
    <w:lvl w:ilvl="2">
      <w:start w:val="1"/>
      <w:numFmt w:val="lowerRoman"/>
      <w:pStyle w:val="slovanzoznam3"/>
      <w:lvlText w:val="%3."/>
      <w:lvlJc w:val="right"/>
      <w:pPr>
        <w:ind w:left="2160" w:hanging="363"/>
      </w:pPr>
      <w:rPr>
        <w:rFonts w:hint="default"/>
      </w:rPr>
    </w:lvl>
    <w:lvl w:ilvl="3">
      <w:start w:val="1"/>
      <w:numFmt w:val="decimal"/>
      <w:lvlText w:val="%4."/>
      <w:lvlJc w:val="left"/>
      <w:pPr>
        <w:ind w:left="2880" w:hanging="363"/>
      </w:pPr>
      <w:rPr>
        <w:rFonts w:hint="default"/>
      </w:rPr>
    </w:lvl>
    <w:lvl w:ilvl="4">
      <w:start w:val="1"/>
      <w:numFmt w:val="lowerLetter"/>
      <w:lvlText w:val="%5."/>
      <w:lvlJc w:val="left"/>
      <w:pPr>
        <w:ind w:left="3600" w:hanging="363"/>
      </w:pPr>
      <w:rPr>
        <w:rFonts w:hint="default"/>
      </w:rPr>
    </w:lvl>
    <w:lvl w:ilvl="5">
      <w:start w:val="1"/>
      <w:numFmt w:val="lowerRoman"/>
      <w:lvlText w:val="%6."/>
      <w:lvlJc w:val="right"/>
      <w:pPr>
        <w:ind w:left="4320" w:hanging="363"/>
      </w:pPr>
      <w:rPr>
        <w:rFonts w:hint="default"/>
      </w:rPr>
    </w:lvl>
    <w:lvl w:ilvl="6">
      <w:start w:val="1"/>
      <w:numFmt w:val="decimal"/>
      <w:lvlText w:val="%7."/>
      <w:lvlJc w:val="left"/>
      <w:pPr>
        <w:ind w:left="5040" w:hanging="363"/>
      </w:pPr>
      <w:rPr>
        <w:rFonts w:hint="default"/>
      </w:rPr>
    </w:lvl>
    <w:lvl w:ilvl="7">
      <w:start w:val="1"/>
      <w:numFmt w:val="lowerLetter"/>
      <w:lvlText w:val="%8."/>
      <w:lvlJc w:val="left"/>
      <w:pPr>
        <w:ind w:left="5760" w:hanging="363"/>
      </w:pPr>
      <w:rPr>
        <w:rFonts w:hint="default"/>
      </w:rPr>
    </w:lvl>
    <w:lvl w:ilvl="8">
      <w:start w:val="1"/>
      <w:numFmt w:val="lowerRoman"/>
      <w:lvlText w:val="%9."/>
      <w:lvlJc w:val="right"/>
      <w:pPr>
        <w:ind w:left="6480" w:hanging="363"/>
      </w:pPr>
      <w:rPr>
        <w:rFonts w:hint="default"/>
      </w:rPr>
    </w:lvl>
  </w:abstractNum>
  <w:abstractNum w:abstractNumId="50" w15:restartNumberingAfterBreak="0">
    <w:nsid w:val="55E736D1"/>
    <w:multiLevelType w:val="hybridMultilevel"/>
    <w:tmpl w:val="4D1C9430"/>
    <w:lvl w:ilvl="0" w:tplc="041B000F">
      <w:start w:val="7"/>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1" w15:restartNumberingAfterBreak="0">
    <w:nsid w:val="58CD0887"/>
    <w:multiLevelType w:val="hybridMultilevel"/>
    <w:tmpl w:val="7AB87636"/>
    <w:lvl w:ilvl="0" w:tplc="8B4689AC">
      <w:start w:val="1"/>
      <w:numFmt w:val="bullet"/>
      <w:pStyle w:val="ODRKY"/>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2" w15:restartNumberingAfterBreak="0">
    <w:nsid w:val="59DF15CB"/>
    <w:multiLevelType w:val="hybridMultilevel"/>
    <w:tmpl w:val="4418A520"/>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53" w15:restartNumberingAfterBreak="0">
    <w:nsid w:val="5DDD38E7"/>
    <w:multiLevelType w:val="hybridMultilevel"/>
    <w:tmpl w:val="6F5454CE"/>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4" w15:restartNumberingAfterBreak="0">
    <w:nsid w:val="61BA69F5"/>
    <w:multiLevelType w:val="hybridMultilevel"/>
    <w:tmpl w:val="C8BC607C"/>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55" w15:restartNumberingAfterBreak="0">
    <w:nsid w:val="61F95F88"/>
    <w:multiLevelType w:val="hybridMultilevel"/>
    <w:tmpl w:val="76A07B8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6" w15:restartNumberingAfterBreak="0">
    <w:nsid w:val="63D36738"/>
    <w:multiLevelType w:val="hybridMultilevel"/>
    <w:tmpl w:val="CC7AFCBE"/>
    <w:lvl w:ilvl="0" w:tplc="8EB6486A">
      <w:start w:val="1"/>
      <w:numFmt w:val="bullet"/>
      <w:pStyle w:val="BAOdrky"/>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7" w15:restartNumberingAfterBreak="0">
    <w:nsid w:val="63E9220B"/>
    <w:multiLevelType w:val="hybridMultilevel"/>
    <w:tmpl w:val="87B0FA1C"/>
    <w:lvl w:ilvl="0" w:tplc="2DB4A2F8">
      <w:start w:val="1"/>
      <w:numFmt w:val="bullet"/>
      <w:lvlText w:val="-"/>
      <w:lvlJc w:val="left"/>
      <w:pPr>
        <w:ind w:left="720" w:hanging="360"/>
      </w:pPr>
      <w:rPr>
        <w:rFonts w:ascii="Swis721 LtCn BT" w:hAnsi="Swis721 LtCn BT"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8" w15:restartNumberingAfterBreak="0">
    <w:nsid w:val="647D50E0"/>
    <w:multiLevelType w:val="hybridMultilevel"/>
    <w:tmpl w:val="CE820D6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59" w15:restartNumberingAfterBreak="0">
    <w:nsid w:val="64850064"/>
    <w:multiLevelType w:val="hybridMultilevel"/>
    <w:tmpl w:val="3CCA6608"/>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0" w15:restartNumberingAfterBreak="0">
    <w:nsid w:val="65326BA4"/>
    <w:multiLevelType w:val="hybridMultilevel"/>
    <w:tmpl w:val="D9A8889E"/>
    <w:lvl w:ilvl="0" w:tplc="B3B6DE88">
      <w:start w:val="1"/>
      <w:numFmt w:val="bullet"/>
      <w:pStyle w:val="odrka"/>
      <w:lvlText w:val=""/>
      <w:lvlJc w:val="left"/>
      <w:pPr>
        <w:tabs>
          <w:tab w:val="num" w:pos="1440"/>
        </w:tabs>
        <w:ind w:left="1440" w:hanging="360"/>
      </w:pPr>
      <w:rPr>
        <w:rFonts w:ascii="Symbol" w:hAnsi="Symbol" w:hint="default"/>
      </w:rPr>
    </w:lvl>
    <w:lvl w:ilvl="1" w:tplc="625A9DA4">
      <w:start w:val="1"/>
      <w:numFmt w:val="decimal"/>
      <w:lvlText w:val="%2."/>
      <w:lvlJc w:val="left"/>
      <w:pPr>
        <w:tabs>
          <w:tab w:val="num" w:pos="1060"/>
        </w:tabs>
        <w:ind w:left="1060" w:firstLine="32429"/>
      </w:pPr>
      <w:rPr>
        <w:rFonts w:ascii="Arial" w:hAnsi="Arial" w:hint="default"/>
        <w:b w:val="0"/>
        <w:i w:val="0"/>
        <w:caps w:val="0"/>
        <w:strike w:val="0"/>
        <w:dstrike w:val="0"/>
        <w:vanish w:val="0"/>
        <w:color w:val="00000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2" w:tplc="04070005" w:tentative="1">
      <w:start w:val="1"/>
      <w:numFmt w:val="bullet"/>
      <w:lvlText w:val=""/>
      <w:lvlJc w:val="left"/>
      <w:pPr>
        <w:tabs>
          <w:tab w:val="num" w:pos="2880"/>
        </w:tabs>
        <w:ind w:left="2880" w:hanging="360"/>
      </w:pPr>
      <w:rPr>
        <w:rFonts w:ascii="Wingdings" w:hAnsi="Wingdings" w:hint="default"/>
      </w:rPr>
    </w:lvl>
    <w:lvl w:ilvl="3" w:tplc="04070001" w:tentative="1">
      <w:start w:val="1"/>
      <w:numFmt w:val="bullet"/>
      <w:lvlText w:val=""/>
      <w:lvlJc w:val="left"/>
      <w:pPr>
        <w:tabs>
          <w:tab w:val="num" w:pos="3600"/>
        </w:tabs>
        <w:ind w:left="3600" w:hanging="360"/>
      </w:pPr>
      <w:rPr>
        <w:rFonts w:ascii="Symbol" w:hAnsi="Symbol" w:hint="default"/>
      </w:rPr>
    </w:lvl>
    <w:lvl w:ilvl="4" w:tplc="04070003" w:tentative="1">
      <w:start w:val="1"/>
      <w:numFmt w:val="bullet"/>
      <w:lvlText w:val="o"/>
      <w:lvlJc w:val="left"/>
      <w:pPr>
        <w:tabs>
          <w:tab w:val="num" w:pos="4320"/>
        </w:tabs>
        <w:ind w:left="4320" w:hanging="360"/>
      </w:pPr>
      <w:rPr>
        <w:rFonts w:ascii="Courier New" w:hAnsi="Courier New" w:cs="Courier New" w:hint="default"/>
      </w:rPr>
    </w:lvl>
    <w:lvl w:ilvl="5" w:tplc="04070005" w:tentative="1">
      <w:start w:val="1"/>
      <w:numFmt w:val="bullet"/>
      <w:lvlText w:val=""/>
      <w:lvlJc w:val="left"/>
      <w:pPr>
        <w:tabs>
          <w:tab w:val="num" w:pos="5040"/>
        </w:tabs>
        <w:ind w:left="5040" w:hanging="360"/>
      </w:pPr>
      <w:rPr>
        <w:rFonts w:ascii="Wingdings" w:hAnsi="Wingdings" w:hint="default"/>
      </w:rPr>
    </w:lvl>
    <w:lvl w:ilvl="6" w:tplc="04070001" w:tentative="1">
      <w:start w:val="1"/>
      <w:numFmt w:val="bullet"/>
      <w:lvlText w:val=""/>
      <w:lvlJc w:val="left"/>
      <w:pPr>
        <w:tabs>
          <w:tab w:val="num" w:pos="5760"/>
        </w:tabs>
        <w:ind w:left="5760" w:hanging="360"/>
      </w:pPr>
      <w:rPr>
        <w:rFonts w:ascii="Symbol" w:hAnsi="Symbol" w:hint="default"/>
      </w:rPr>
    </w:lvl>
    <w:lvl w:ilvl="7" w:tplc="04070003" w:tentative="1">
      <w:start w:val="1"/>
      <w:numFmt w:val="bullet"/>
      <w:lvlText w:val="o"/>
      <w:lvlJc w:val="left"/>
      <w:pPr>
        <w:tabs>
          <w:tab w:val="num" w:pos="6480"/>
        </w:tabs>
        <w:ind w:left="6480" w:hanging="360"/>
      </w:pPr>
      <w:rPr>
        <w:rFonts w:ascii="Courier New" w:hAnsi="Courier New" w:cs="Courier New" w:hint="default"/>
      </w:rPr>
    </w:lvl>
    <w:lvl w:ilvl="8" w:tplc="04070005" w:tentative="1">
      <w:start w:val="1"/>
      <w:numFmt w:val="bullet"/>
      <w:lvlText w:val=""/>
      <w:lvlJc w:val="left"/>
      <w:pPr>
        <w:tabs>
          <w:tab w:val="num" w:pos="7200"/>
        </w:tabs>
        <w:ind w:left="7200" w:hanging="360"/>
      </w:pPr>
      <w:rPr>
        <w:rFonts w:ascii="Wingdings" w:hAnsi="Wingdings" w:hint="default"/>
      </w:rPr>
    </w:lvl>
  </w:abstractNum>
  <w:abstractNum w:abstractNumId="61" w15:restartNumberingAfterBreak="0">
    <w:nsid w:val="65801F56"/>
    <w:multiLevelType w:val="hybridMultilevel"/>
    <w:tmpl w:val="99B09612"/>
    <w:lvl w:ilvl="0" w:tplc="041B0001">
      <w:start w:val="1"/>
      <w:numFmt w:val="bullet"/>
      <w:lvlText w:val=""/>
      <w:lvlJc w:val="left"/>
      <w:pPr>
        <w:ind w:left="1800" w:hanging="360"/>
      </w:pPr>
      <w:rPr>
        <w:rFonts w:ascii="Symbol" w:hAnsi="Symbol" w:hint="default"/>
      </w:rPr>
    </w:lvl>
    <w:lvl w:ilvl="1" w:tplc="041B0003">
      <w:start w:val="1"/>
      <w:numFmt w:val="bullet"/>
      <w:lvlText w:val="o"/>
      <w:lvlJc w:val="left"/>
      <w:pPr>
        <w:ind w:left="2520" w:hanging="360"/>
      </w:pPr>
      <w:rPr>
        <w:rFonts w:ascii="Courier New" w:hAnsi="Courier New" w:cs="Courier New" w:hint="default"/>
      </w:rPr>
    </w:lvl>
    <w:lvl w:ilvl="2" w:tplc="041B0005" w:tentative="1">
      <w:start w:val="1"/>
      <w:numFmt w:val="bullet"/>
      <w:lvlText w:val=""/>
      <w:lvlJc w:val="left"/>
      <w:pPr>
        <w:ind w:left="3240" w:hanging="360"/>
      </w:pPr>
      <w:rPr>
        <w:rFonts w:ascii="Wingdings" w:hAnsi="Wingdings" w:hint="default"/>
      </w:rPr>
    </w:lvl>
    <w:lvl w:ilvl="3" w:tplc="041B0001" w:tentative="1">
      <w:start w:val="1"/>
      <w:numFmt w:val="bullet"/>
      <w:lvlText w:val=""/>
      <w:lvlJc w:val="left"/>
      <w:pPr>
        <w:ind w:left="3960" w:hanging="360"/>
      </w:pPr>
      <w:rPr>
        <w:rFonts w:ascii="Symbol" w:hAnsi="Symbol" w:hint="default"/>
      </w:rPr>
    </w:lvl>
    <w:lvl w:ilvl="4" w:tplc="041B0003" w:tentative="1">
      <w:start w:val="1"/>
      <w:numFmt w:val="bullet"/>
      <w:lvlText w:val="o"/>
      <w:lvlJc w:val="left"/>
      <w:pPr>
        <w:ind w:left="4680" w:hanging="360"/>
      </w:pPr>
      <w:rPr>
        <w:rFonts w:ascii="Courier New" w:hAnsi="Courier New" w:cs="Courier New" w:hint="default"/>
      </w:rPr>
    </w:lvl>
    <w:lvl w:ilvl="5" w:tplc="041B0005" w:tentative="1">
      <w:start w:val="1"/>
      <w:numFmt w:val="bullet"/>
      <w:lvlText w:val=""/>
      <w:lvlJc w:val="left"/>
      <w:pPr>
        <w:ind w:left="5400" w:hanging="360"/>
      </w:pPr>
      <w:rPr>
        <w:rFonts w:ascii="Wingdings" w:hAnsi="Wingdings" w:hint="default"/>
      </w:rPr>
    </w:lvl>
    <w:lvl w:ilvl="6" w:tplc="041B0001" w:tentative="1">
      <w:start w:val="1"/>
      <w:numFmt w:val="bullet"/>
      <w:lvlText w:val=""/>
      <w:lvlJc w:val="left"/>
      <w:pPr>
        <w:ind w:left="6120" w:hanging="360"/>
      </w:pPr>
      <w:rPr>
        <w:rFonts w:ascii="Symbol" w:hAnsi="Symbol" w:hint="default"/>
      </w:rPr>
    </w:lvl>
    <w:lvl w:ilvl="7" w:tplc="041B0003" w:tentative="1">
      <w:start w:val="1"/>
      <w:numFmt w:val="bullet"/>
      <w:lvlText w:val="o"/>
      <w:lvlJc w:val="left"/>
      <w:pPr>
        <w:ind w:left="6840" w:hanging="360"/>
      </w:pPr>
      <w:rPr>
        <w:rFonts w:ascii="Courier New" w:hAnsi="Courier New" w:cs="Courier New" w:hint="default"/>
      </w:rPr>
    </w:lvl>
    <w:lvl w:ilvl="8" w:tplc="041B0005" w:tentative="1">
      <w:start w:val="1"/>
      <w:numFmt w:val="bullet"/>
      <w:lvlText w:val=""/>
      <w:lvlJc w:val="left"/>
      <w:pPr>
        <w:ind w:left="7560" w:hanging="360"/>
      </w:pPr>
      <w:rPr>
        <w:rFonts w:ascii="Wingdings" w:hAnsi="Wingdings" w:hint="default"/>
      </w:rPr>
    </w:lvl>
  </w:abstractNum>
  <w:abstractNum w:abstractNumId="62" w15:restartNumberingAfterBreak="0">
    <w:nsid w:val="667A32BF"/>
    <w:multiLevelType w:val="hybridMultilevel"/>
    <w:tmpl w:val="FE56F14A"/>
    <w:lvl w:ilvl="0" w:tplc="041B0005">
      <w:start w:val="1"/>
      <w:numFmt w:val="bullet"/>
      <w:lvlText w:val=""/>
      <w:lvlJc w:val="left"/>
      <w:pPr>
        <w:ind w:left="780" w:hanging="360"/>
      </w:pPr>
      <w:rPr>
        <w:rFonts w:ascii="Wingdings" w:hAnsi="Wingdings" w:hint="default"/>
      </w:rPr>
    </w:lvl>
    <w:lvl w:ilvl="1" w:tplc="041B0003">
      <w:start w:val="1"/>
      <w:numFmt w:val="bullet"/>
      <w:lvlText w:val="o"/>
      <w:lvlJc w:val="left"/>
      <w:pPr>
        <w:ind w:left="1500" w:hanging="360"/>
      </w:pPr>
      <w:rPr>
        <w:rFonts w:ascii="Courier New" w:hAnsi="Courier New" w:cs="Courier New" w:hint="default"/>
      </w:rPr>
    </w:lvl>
    <w:lvl w:ilvl="2" w:tplc="041B0005">
      <w:start w:val="1"/>
      <w:numFmt w:val="bullet"/>
      <w:lvlText w:val=""/>
      <w:lvlJc w:val="left"/>
      <w:pPr>
        <w:ind w:left="2220" w:hanging="360"/>
      </w:pPr>
      <w:rPr>
        <w:rFonts w:ascii="Wingdings" w:hAnsi="Wingdings" w:hint="default"/>
      </w:rPr>
    </w:lvl>
    <w:lvl w:ilvl="3" w:tplc="041B0001">
      <w:start w:val="1"/>
      <w:numFmt w:val="bullet"/>
      <w:lvlText w:val=""/>
      <w:lvlJc w:val="left"/>
      <w:pPr>
        <w:ind w:left="2940" w:hanging="360"/>
      </w:pPr>
      <w:rPr>
        <w:rFonts w:ascii="Symbol" w:hAnsi="Symbol" w:hint="default"/>
      </w:rPr>
    </w:lvl>
    <w:lvl w:ilvl="4" w:tplc="041B0003">
      <w:start w:val="1"/>
      <w:numFmt w:val="bullet"/>
      <w:lvlText w:val="o"/>
      <w:lvlJc w:val="left"/>
      <w:pPr>
        <w:ind w:left="3660" w:hanging="360"/>
      </w:pPr>
      <w:rPr>
        <w:rFonts w:ascii="Courier New" w:hAnsi="Courier New" w:cs="Courier New" w:hint="default"/>
      </w:rPr>
    </w:lvl>
    <w:lvl w:ilvl="5" w:tplc="041B0005">
      <w:start w:val="1"/>
      <w:numFmt w:val="bullet"/>
      <w:lvlText w:val=""/>
      <w:lvlJc w:val="left"/>
      <w:pPr>
        <w:ind w:left="4380" w:hanging="360"/>
      </w:pPr>
      <w:rPr>
        <w:rFonts w:ascii="Wingdings" w:hAnsi="Wingdings" w:hint="default"/>
      </w:rPr>
    </w:lvl>
    <w:lvl w:ilvl="6" w:tplc="041B0001">
      <w:start w:val="1"/>
      <w:numFmt w:val="bullet"/>
      <w:lvlText w:val=""/>
      <w:lvlJc w:val="left"/>
      <w:pPr>
        <w:ind w:left="5100" w:hanging="360"/>
      </w:pPr>
      <w:rPr>
        <w:rFonts w:ascii="Symbol" w:hAnsi="Symbol" w:hint="default"/>
      </w:rPr>
    </w:lvl>
    <w:lvl w:ilvl="7" w:tplc="041B0003">
      <w:start w:val="1"/>
      <w:numFmt w:val="bullet"/>
      <w:lvlText w:val="o"/>
      <w:lvlJc w:val="left"/>
      <w:pPr>
        <w:ind w:left="5820" w:hanging="360"/>
      </w:pPr>
      <w:rPr>
        <w:rFonts w:ascii="Courier New" w:hAnsi="Courier New" w:cs="Courier New" w:hint="default"/>
      </w:rPr>
    </w:lvl>
    <w:lvl w:ilvl="8" w:tplc="041B0005">
      <w:start w:val="1"/>
      <w:numFmt w:val="bullet"/>
      <w:lvlText w:val=""/>
      <w:lvlJc w:val="left"/>
      <w:pPr>
        <w:ind w:left="6540" w:hanging="360"/>
      </w:pPr>
      <w:rPr>
        <w:rFonts w:ascii="Wingdings" w:hAnsi="Wingdings" w:hint="default"/>
      </w:rPr>
    </w:lvl>
  </w:abstractNum>
  <w:abstractNum w:abstractNumId="63" w15:restartNumberingAfterBreak="0">
    <w:nsid w:val="675F642F"/>
    <w:multiLevelType w:val="hybridMultilevel"/>
    <w:tmpl w:val="33ACCA1E"/>
    <w:lvl w:ilvl="0" w:tplc="5518EAA0">
      <w:start w:val="1"/>
      <w:numFmt w:val="bullet"/>
      <w:lvlText w:val="-"/>
      <w:lvlJc w:val="left"/>
      <w:pPr>
        <w:ind w:left="1428" w:hanging="360"/>
      </w:pPr>
      <w:rPr>
        <w:rFonts w:ascii="Times New Roman" w:hAnsi="Times New Roman"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64" w15:restartNumberingAfterBreak="0">
    <w:nsid w:val="67EE66FC"/>
    <w:multiLevelType w:val="hybridMultilevel"/>
    <w:tmpl w:val="4F221AC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5" w15:restartNumberingAfterBreak="0">
    <w:nsid w:val="6A5059A1"/>
    <w:multiLevelType w:val="hybridMultilevel"/>
    <w:tmpl w:val="59DE01B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6AAF1A1F"/>
    <w:multiLevelType w:val="multilevel"/>
    <w:tmpl w:val="77EE5178"/>
    <w:name w:val="WW8Num9"/>
    <w:lvl w:ilvl="0">
      <w:start w:val="1"/>
      <w:numFmt w:val="decimal"/>
      <w:pStyle w:val="Textodstavce"/>
      <w:isLgl/>
      <w:lvlText w:val="%1)"/>
      <w:lvlJc w:val="left"/>
      <w:pPr>
        <w:tabs>
          <w:tab w:val="num" w:pos="785"/>
        </w:tabs>
        <w:ind w:left="0" w:firstLine="425"/>
      </w:pPr>
      <w:rPr>
        <w:rFonts w:ascii="Times New Roman" w:eastAsia="Times New Roman" w:hAnsi="Times New Roman" w:cs="Times New Roman"/>
      </w:rPr>
    </w:lvl>
    <w:lvl w:ilvl="1">
      <w:start w:val="1"/>
      <w:numFmt w:val="lowerLetter"/>
      <w:pStyle w:val="Textpsmene"/>
      <w:lvlText w:val="%2)"/>
      <w:lvlJc w:val="left"/>
      <w:pPr>
        <w:tabs>
          <w:tab w:val="num" w:pos="425"/>
        </w:tabs>
        <w:ind w:left="425" w:hanging="425"/>
      </w:pPr>
    </w:lvl>
    <w:lvl w:ilvl="2">
      <w:start w:val="1"/>
      <w:numFmt w:val="decimal"/>
      <w:pStyle w:val="Textbodu"/>
      <w:isLgl/>
      <w:lvlText w:val="%3."/>
      <w:lvlJc w:val="left"/>
      <w:pPr>
        <w:tabs>
          <w:tab w:val="num" w:pos="851"/>
        </w:tabs>
        <w:ind w:left="851" w:hanging="426"/>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52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600"/>
        </w:tabs>
        <w:ind w:left="3240" w:hanging="360"/>
      </w:pPr>
    </w:lvl>
  </w:abstractNum>
  <w:abstractNum w:abstractNumId="67" w15:restartNumberingAfterBreak="0">
    <w:nsid w:val="6B5739E4"/>
    <w:multiLevelType w:val="hybridMultilevel"/>
    <w:tmpl w:val="48345260"/>
    <w:lvl w:ilvl="0" w:tplc="041B0001">
      <w:start w:val="1"/>
      <w:numFmt w:val="bullet"/>
      <w:lvlText w:val=""/>
      <w:lvlJc w:val="left"/>
      <w:pPr>
        <w:tabs>
          <w:tab w:val="num" w:pos="1468"/>
        </w:tabs>
        <w:ind w:left="1468" w:hanging="360"/>
      </w:pPr>
      <w:rPr>
        <w:rFonts w:ascii="Wingdings" w:hAnsi="Wingdings" w:hint="default"/>
      </w:rPr>
    </w:lvl>
    <w:lvl w:ilvl="1" w:tplc="041B0003" w:tentative="1">
      <w:start w:val="1"/>
      <w:numFmt w:val="bullet"/>
      <w:lvlText w:val="o"/>
      <w:lvlJc w:val="left"/>
      <w:pPr>
        <w:tabs>
          <w:tab w:val="num" w:pos="2188"/>
        </w:tabs>
        <w:ind w:left="2188" w:hanging="360"/>
      </w:pPr>
      <w:rPr>
        <w:rFonts w:ascii="Courier New" w:hAnsi="Courier New" w:cs="Courier New" w:hint="default"/>
      </w:rPr>
    </w:lvl>
    <w:lvl w:ilvl="2" w:tplc="041B0005" w:tentative="1">
      <w:start w:val="1"/>
      <w:numFmt w:val="bullet"/>
      <w:lvlText w:val=""/>
      <w:lvlJc w:val="left"/>
      <w:pPr>
        <w:tabs>
          <w:tab w:val="num" w:pos="2908"/>
        </w:tabs>
        <w:ind w:left="2908" w:hanging="360"/>
      </w:pPr>
      <w:rPr>
        <w:rFonts w:ascii="Wingdings" w:hAnsi="Wingdings" w:hint="default"/>
      </w:rPr>
    </w:lvl>
    <w:lvl w:ilvl="3" w:tplc="041B0001" w:tentative="1">
      <w:start w:val="1"/>
      <w:numFmt w:val="bullet"/>
      <w:lvlText w:val=""/>
      <w:lvlJc w:val="left"/>
      <w:pPr>
        <w:tabs>
          <w:tab w:val="num" w:pos="3628"/>
        </w:tabs>
        <w:ind w:left="3628" w:hanging="360"/>
      </w:pPr>
      <w:rPr>
        <w:rFonts w:ascii="Symbol" w:hAnsi="Symbol" w:hint="default"/>
      </w:rPr>
    </w:lvl>
    <w:lvl w:ilvl="4" w:tplc="041B0003" w:tentative="1">
      <w:start w:val="1"/>
      <w:numFmt w:val="bullet"/>
      <w:lvlText w:val="o"/>
      <w:lvlJc w:val="left"/>
      <w:pPr>
        <w:tabs>
          <w:tab w:val="num" w:pos="4348"/>
        </w:tabs>
        <w:ind w:left="4348" w:hanging="360"/>
      </w:pPr>
      <w:rPr>
        <w:rFonts w:ascii="Courier New" w:hAnsi="Courier New" w:cs="Courier New" w:hint="default"/>
      </w:rPr>
    </w:lvl>
    <w:lvl w:ilvl="5" w:tplc="041B0005" w:tentative="1">
      <w:start w:val="1"/>
      <w:numFmt w:val="bullet"/>
      <w:lvlText w:val=""/>
      <w:lvlJc w:val="left"/>
      <w:pPr>
        <w:tabs>
          <w:tab w:val="num" w:pos="5068"/>
        </w:tabs>
        <w:ind w:left="5068" w:hanging="360"/>
      </w:pPr>
      <w:rPr>
        <w:rFonts w:ascii="Wingdings" w:hAnsi="Wingdings" w:hint="default"/>
      </w:rPr>
    </w:lvl>
    <w:lvl w:ilvl="6" w:tplc="041B0001" w:tentative="1">
      <w:start w:val="1"/>
      <w:numFmt w:val="bullet"/>
      <w:lvlText w:val=""/>
      <w:lvlJc w:val="left"/>
      <w:pPr>
        <w:tabs>
          <w:tab w:val="num" w:pos="5788"/>
        </w:tabs>
        <w:ind w:left="5788" w:hanging="360"/>
      </w:pPr>
      <w:rPr>
        <w:rFonts w:ascii="Symbol" w:hAnsi="Symbol" w:hint="default"/>
      </w:rPr>
    </w:lvl>
    <w:lvl w:ilvl="7" w:tplc="041B0003" w:tentative="1">
      <w:start w:val="1"/>
      <w:numFmt w:val="bullet"/>
      <w:lvlText w:val="o"/>
      <w:lvlJc w:val="left"/>
      <w:pPr>
        <w:tabs>
          <w:tab w:val="num" w:pos="6508"/>
        </w:tabs>
        <w:ind w:left="6508" w:hanging="360"/>
      </w:pPr>
      <w:rPr>
        <w:rFonts w:ascii="Courier New" w:hAnsi="Courier New" w:cs="Courier New" w:hint="default"/>
      </w:rPr>
    </w:lvl>
    <w:lvl w:ilvl="8" w:tplc="041B0005" w:tentative="1">
      <w:start w:val="1"/>
      <w:numFmt w:val="bullet"/>
      <w:lvlText w:val=""/>
      <w:lvlJc w:val="left"/>
      <w:pPr>
        <w:tabs>
          <w:tab w:val="num" w:pos="7228"/>
        </w:tabs>
        <w:ind w:left="7228" w:hanging="360"/>
      </w:pPr>
      <w:rPr>
        <w:rFonts w:ascii="Wingdings" w:hAnsi="Wingdings" w:hint="default"/>
      </w:rPr>
    </w:lvl>
  </w:abstractNum>
  <w:abstractNum w:abstractNumId="68" w15:restartNumberingAfterBreak="0">
    <w:nsid w:val="6DFE67DB"/>
    <w:multiLevelType w:val="hybridMultilevel"/>
    <w:tmpl w:val="6A9C6840"/>
    <w:lvl w:ilvl="0" w:tplc="D6527F2C">
      <w:start w:val="1"/>
      <w:numFmt w:val="decimal"/>
      <w:pStyle w:val="Tabulky"/>
      <w:lvlText w:val="Tab. %1."/>
      <w:lvlJc w:val="left"/>
      <w:pPr>
        <w:ind w:left="907" w:hanging="907"/>
      </w:pPr>
      <w:rPr>
        <w:rFonts w:ascii="Times New Roman" w:hAnsi="Times New Roman" w:cs="Times New Roman" w:hint="default"/>
        <w:bCs w:val="0"/>
        <w:iCs w:val="0"/>
        <w:caps w:val="0"/>
        <w:smallCaps w:val="0"/>
        <w:strike w:val="0"/>
        <w:dstrike w:val="0"/>
        <w:vanish w:val="0"/>
        <w:color w:val="000000"/>
        <w:spacing w:val="0"/>
        <w:kern w:val="0"/>
        <w:position w:val="0"/>
        <w:u w:val="none"/>
        <w:effect w:val="none"/>
        <w:vertAlign w:val="baseline"/>
        <w:em w:val="none"/>
      </w:rPr>
    </w:lvl>
    <w:lvl w:ilvl="1" w:tplc="04050019" w:tentative="1">
      <w:start w:val="1"/>
      <w:numFmt w:val="lowerLetter"/>
      <w:pStyle w:val="Odraky1"/>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9" w15:restartNumberingAfterBreak="0">
    <w:nsid w:val="711170FD"/>
    <w:multiLevelType w:val="hybridMultilevel"/>
    <w:tmpl w:val="EC949E4A"/>
    <w:lvl w:ilvl="0" w:tplc="377845C8">
      <w:start w:val="1"/>
      <w:numFmt w:val="bullet"/>
      <w:pStyle w:val="seznamsodrazkami"/>
      <w:lvlText w:val=""/>
      <w:lvlJc w:val="left"/>
      <w:pPr>
        <w:tabs>
          <w:tab w:val="num" w:pos="1287"/>
        </w:tabs>
        <w:ind w:left="1287" w:hanging="360"/>
      </w:pPr>
      <w:rPr>
        <w:rFonts w:ascii="Symbol" w:hAnsi="Symbol" w:hint="default"/>
      </w:rPr>
    </w:lvl>
    <w:lvl w:ilvl="1" w:tplc="04050003">
      <w:start w:val="1"/>
      <w:numFmt w:val="bullet"/>
      <w:lvlText w:val="o"/>
      <w:lvlJc w:val="left"/>
      <w:pPr>
        <w:tabs>
          <w:tab w:val="num" w:pos="2007"/>
        </w:tabs>
        <w:ind w:left="2007" w:hanging="360"/>
      </w:pPr>
      <w:rPr>
        <w:rFonts w:ascii="Courier New" w:hAnsi="Courier New" w:cs="Times New Roman" w:hint="default"/>
      </w:rPr>
    </w:lvl>
    <w:lvl w:ilvl="2" w:tplc="04050005">
      <w:start w:val="1"/>
      <w:numFmt w:val="bullet"/>
      <w:lvlText w:val=""/>
      <w:lvlJc w:val="left"/>
      <w:pPr>
        <w:tabs>
          <w:tab w:val="num" w:pos="2727"/>
        </w:tabs>
        <w:ind w:left="2727" w:hanging="360"/>
      </w:pPr>
      <w:rPr>
        <w:rFonts w:ascii="Wingdings" w:hAnsi="Wingdings" w:hint="default"/>
      </w:rPr>
    </w:lvl>
    <w:lvl w:ilvl="3" w:tplc="04050001">
      <w:start w:val="1"/>
      <w:numFmt w:val="bullet"/>
      <w:lvlText w:val=""/>
      <w:lvlJc w:val="left"/>
      <w:pPr>
        <w:tabs>
          <w:tab w:val="num" w:pos="3447"/>
        </w:tabs>
        <w:ind w:left="3447" w:hanging="360"/>
      </w:pPr>
      <w:rPr>
        <w:rFonts w:ascii="Symbol" w:hAnsi="Symbol" w:hint="default"/>
      </w:rPr>
    </w:lvl>
    <w:lvl w:ilvl="4" w:tplc="04050003">
      <w:start w:val="1"/>
      <w:numFmt w:val="bullet"/>
      <w:lvlText w:val="o"/>
      <w:lvlJc w:val="left"/>
      <w:pPr>
        <w:tabs>
          <w:tab w:val="num" w:pos="4167"/>
        </w:tabs>
        <w:ind w:left="4167" w:hanging="360"/>
      </w:pPr>
      <w:rPr>
        <w:rFonts w:ascii="Courier New" w:hAnsi="Courier New" w:cs="Times New Roman" w:hint="default"/>
      </w:rPr>
    </w:lvl>
    <w:lvl w:ilvl="5" w:tplc="04050005">
      <w:start w:val="1"/>
      <w:numFmt w:val="bullet"/>
      <w:lvlText w:val=""/>
      <w:lvlJc w:val="left"/>
      <w:pPr>
        <w:tabs>
          <w:tab w:val="num" w:pos="4887"/>
        </w:tabs>
        <w:ind w:left="4887" w:hanging="360"/>
      </w:pPr>
      <w:rPr>
        <w:rFonts w:ascii="Wingdings" w:hAnsi="Wingdings" w:hint="default"/>
      </w:rPr>
    </w:lvl>
    <w:lvl w:ilvl="6" w:tplc="04050001">
      <w:start w:val="1"/>
      <w:numFmt w:val="bullet"/>
      <w:lvlText w:val=""/>
      <w:lvlJc w:val="left"/>
      <w:pPr>
        <w:tabs>
          <w:tab w:val="num" w:pos="5607"/>
        </w:tabs>
        <w:ind w:left="5607" w:hanging="360"/>
      </w:pPr>
      <w:rPr>
        <w:rFonts w:ascii="Symbol" w:hAnsi="Symbol" w:hint="default"/>
      </w:rPr>
    </w:lvl>
    <w:lvl w:ilvl="7" w:tplc="04050003">
      <w:start w:val="1"/>
      <w:numFmt w:val="bullet"/>
      <w:lvlText w:val="o"/>
      <w:lvlJc w:val="left"/>
      <w:pPr>
        <w:tabs>
          <w:tab w:val="num" w:pos="6327"/>
        </w:tabs>
        <w:ind w:left="6327" w:hanging="360"/>
      </w:pPr>
      <w:rPr>
        <w:rFonts w:ascii="Courier New" w:hAnsi="Courier New" w:cs="Times New Roman" w:hint="default"/>
      </w:rPr>
    </w:lvl>
    <w:lvl w:ilvl="8" w:tplc="04050005">
      <w:start w:val="1"/>
      <w:numFmt w:val="bullet"/>
      <w:lvlText w:val=""/>
      <w:lvlJc w:val="left"/>
      <w:pPr>
        <w:tabs>
          <w:tab w:val="num" w:pos="7047"/>
        </w:tabs>
        <w:ind w:left="7047" w:hanging="360"/>
      </w:pPr>
      <w:rPr>
        <w:rFonts w:ascii="Wingdings" w:hAnsi="Wingdings" w:hint="default"/>
      </w:rPr>
    </w:lvl>
  </w:abstractNum>
  <w:abstractNum w:abstractNumId="70" w15:restartNumberingAfterBreak="0">
    <w:nsid w:val="71A75254"/>
    <w:multiLevelType w:val="hybridMultilevel"/>
    <w:tmpl w:val="3E6C483A"/>
    <w:lvl w:ilvl="0" w:tplc="BEE047BA">
      <w:numFmt w:val="bullet"/>
      <w:lvlText w:val="-"/>
      <w:lvlJc w:val="left"/>
      <w:pPr>
        <w:tabs>
          <w:tab w:val="num" w:pos="720"/>
        </w:tabs>
        <w:ind w:left="720" w:hanging="360"/>
      </w:pPr>
      <w:rPr>
        <w:rFonts w:ascii="Times New Roman" w:eastAsia="Times New Roman" w:hAnsi="Times New Roman" w:cs="Times New Roman"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cs="Wingdings" w:hint="default"/>
      </w:rPr>
    </w:lvl>
    <w:lvl w:ilvl="3" w:tplc="04050001">
      <w:start w:val="1"/>
      <w:numFmt w:val="bullet"/>
      <w:lvlText w:val=""/>
      <w:lvlJc w:val="left"/>
      <w:pPr>
        <w:tabs>
          <w:tab w:val="num" w:pos="2880"/>
        </w:tabs>
        <w:ind w:left="2880" w:hanging="360"/>
      </w:pPr>
      <w:rPr>
        <w:rFonts w:ascii="Symbol" w:hAnsi="Symbol" w:cs="Symbol" w:hint="default"/>
      </w:rPr>
    </w:lvl>
    <w:lvl w:ilvl="4" w:tplc="04050003">
      <w:start w:val="1"/>
      <w:numFmt w:val="bullet"/>
      <w:lvlText w:val="o"/>
      <w:lvlJc w:val="left"/>
      <w:pPr>
        <w:tabs>
          <w:tab w:val="num" w:pos="3600"/>
        </w:tabs>
        <w:ind w:left="3600" w:hanging="360"/>
      </w:pPr>
      <w:rPr>
        <w:rFonts w:ascii="Courier New" w:hAnsi="Courier New" w:cs="Courier New" w:hint="default"/>
      </w:rPr>
    </w:lvl>
    <w:lvl w:ilvl="5" w:tplc="04050005">
      <w:start w:val="1"/>
      <w:numFmt w:val="bullet"/>
      <w:lvlText w:val=""/>
      <w:lvlJc w:val="left"/>
      <w:pPr>
        <w:tabs>
          <w:tab w:val="num" w:pos="4320"/>
        </w:tabs>
        <w:ind w:left="4320" w:hanging="360"/>
      </w:pPr>
      <w:rPr>
        <w:rFonts w:ascii="Wingdings" w:hAnsi="Wingdings" w:cs="Wingdings" w:hint="default"/>
      </w:rPr>
    </w:lvl>
    <w:lvl w:ilvl="6" w:tplc="04050001">
      <w:start w:val="1"/>
      <w:numFmt w:val="bullet"/>
      <w:lvlText w:val=""/>
      <w:lvlJc w:val="left"/>
      <w:pPr>
        <w:tabs>
          <w:tab w:val="num" w:pos="5040"/>
        </w:tabs>
        <w:ind w:left="5040" w:hanging="360"/>
      </w:pPr>
      <w:rPr>
        <w:rFonts w:ascii="Symbol" w:hAnsi="Symbol" w:cs="Symbol" w:hint="default"/>
      </w:rPr>
    </w:lvl>
    <w:lvl w:ilvl="7" w:tplc="04050003">
      <w:start w:val="1"/>
      <w:numFmt w:val="bullet"/>
      <w:lvlText w:val="o"/>
      <w:lvlJc w:val="left"/>
      <w:pPr>
        <w:tabs>
          <w:tab w:val="num" w:pos="5760"/>
        </w:tabs>
        <w:ind w:left="5760" w:hanging="360"/>
      </w:pPr>
      <w:rPr>
        <w:rFonts w:ascii="Courier New" w:hAnsi="Courier New" w:cs="Courier New" w:hint="default"/>
      </w:rPr>
    </w:lvl>
    <w:lvl w:ilvl="8" w:tplc="04050005">
      <w:start w:val="1"/>
      <w:numFmt w:val="bullet"/>
      <w:lvlText w:val=""/>
      <w:lvlJc w:val="left"/>
      <w:pPr>
        <w:tabs>
          <w:tab w:val="num" w:pos="6480"/>
        </w:tabs>
        <w:ind w:left="6480" w:hanging="360"/>
      </w:pPr>
      <w:rPr>
        <w:rFonts w:ascii="Wingdings" w:hAnsi="Wingdings" w:cs="Wingdings" w:hint="default"/>
      </w:rPr>
    </w:lvl>
  </w:abstractNum>
  <w:abstractNum w:abstractNumId="71" w15:restartNumberingAfterBreak="0">
    <w:nsid w:val="73817404"/>
    <w:multiLevelType w:val="hybridMultilevel"/>
    <w:tmpl w:val="16F6288E"/>
    <w:lvl w:ilvl="0" w:tplc="FFFFFFFF">
      <w:start w:val="1"/>
      <w:numFmt w:val="decimal"/>
      <w:pStyle w:val="StyleHeading3ArialLeft0cmFirstline0cm"/>
      <w:lvlText w:val="%1."/>
      <w:lvlJc w:val="left"/>
      <w:pPr>
        <w:tabs>
          <w:tab w:val="num" w:pos="360"/>
        </w:tabs>
        <w:ind w:left="360" w:hanging="360"/>
      </w:pPr>
    </w:lvl>
    <w:lvl w:ilvl="1" w:tplc="04070019" w:tentative="1">
      <w:start w:val="1"/>
      <w:numFmt w:val="lowerLetter"/>
      <w:lvlText w:val="%2."/>
      <w:lvlJc w:val="left"/>
      <w:pPr>
        <w:tabs>
          <w:tab w:val="num" w:pos="1080"/>
        </w:tabs>
        <w:ind w:left="1080" w:hanging="360"/>
      </w:pPr>
    </w:lvl>
    <w:lvl w:ilvl="2" w:tplc="0407001B" w:tentative="1">
      <w:start w:val="1"/>
      <w:numFmt w:val="lowerRoman"/>
      <w:pStyle w:val="StyleHeading3ArialLeft0cmFirstline0cm"/>
      <w:lvlText w:val="%3."/>
      <w:lvlJc w:val="right"/>
      <w:pPr>
        <w:tabs>
          <w:tab w:val="num" w:pos="1800"/>
        </w:tabs>
        <w:ind w:left="1800" w:hanging="180"/>
      </w:pPr>
    </w:lvl>
    <w:lvl w:ilvl="3" w:tplc="0407000F" w:tentative="1">
      <w:start w:val="1"/>
      <w:numFmt w:val="decimal"/>
      <w:lvlText w:val="%4."/>
      <w:lvlJc w:val="left"/>
      <w:pPr>
        <w:tabs>
          <w:tab w:val="num" w:pos="2520"/>
        </w:tabs>
        <w:ind w:left="2520" w:hanging="360"/>
      </w:pPr>
    </w:lvl>
    <w:lvl w:ilvl="4" w:tplc="04070019" w:tentative="1">
      <w:start w:val="1"/>
      <w:numFmt w:val="lowerLetter"/>
      <w:lvlText w:val="%5."/>
      <w:lvlJc w:val="left"/>
      <w:pPr>
        <w:tabs>
          <w:tab w:val="num" w:pos="3240"/>
        </w:tabs>
        <w:ind w:left="3240" w:hanging="360"/>
      </w:pPr>
    </w:lvl>
    <w:lvl w:ilvl="5" w:tplc="0407001B" w:tentative="1">
      <w:start w:val="1"/>
      <w:numFmt w:val="lowerRoman"/>
      <w:lvlText w:val="%6."/>
      <w:lvlJc w:val="right"/>
      <w:pPr>
        <w:tabs>
          <w:tab w:val="num" w:pos="3960"/>
        </w:tabs>
        <w:ind w:left="3960" w:hanging="180"/>
      </w:pPr>
    </w:lvl>
    <w:lvl w:ilvl="6" w:tplc="0407000F" w:tentative="1">
      <w:start w:val="1"/>
      <w:numFmt w:val="decimal"/>
      <w:lvlText w:val="%7."/>
      <w:lvlJc w:val="left"/>
      <w:pPr>
        <w:tabs>
          <w:tab w:val="num" w:pos="4680"/>
        </w:tabs>
        <w:ind w:left="4680" w:hanging="360"/>
      </w:pPr>
    </w:lvl>
    <w:lvl w:ilvl="7" w:tplc="04070019" w:tentative="1">
      <w:start w:val="1"/>
      <w:numFmt w:val="lowerLetter"/>
      <w:lvlText w:val="%8."/>
      <w:lvlJc w:val="left"/>
      <w:pPr>
        <w:tabs>
          <w:tab w:val="num" w:pos="5400"/>
        </w:tabs>
        <w:ind w:left="5400" w:hanging="360"/>
      </w:pPr>
    </w:lvl>
    <w:lvl w:ilvl="8" w:tplc="0407001B" w:tentative="1">
      <w:start w:val="1"/>
      <w:numFmt w:val="lowerRoman"/>
      <w:lvlText w:val="%9."/>
      <w:lvlJc w:val="right"/>
      <w:pPr>
        <w:tabs>
          <w:tab w:val="num" w:pos="6120"/>
        </w:tabs>
        <w:ind w:left="6120" w:hanging="180"/>
      </w:pPr>
    </w:lvl>
  </w:abstractNum>
  <w:abstractNum w:abstractNumId="72" w15:restartNumberingAfterBreak="0">
    <w:nsid w:val="74291957"/>
    <w:multiLevelType w:val="hybridMultilevel"/>
    <w:tmpl w:val="92F0727E"/>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3" w15:restartNumberingAfterBreak="0">
    <w:nsid w:val="755F11FF"/>
    <w:multiLevelType w:val="hybridMultilevel"/>
    <w:tmpl w:val="296C9BE4"/>
    <w:lvl w:ilvl="0" w:tplc="041B0001">
      <w:start w:val="1"/>
      <w:numFmt w:val="bullet"/>
      <w:lvlText w:val=""/>
      <w:lvlJc w:val="left"/>
      <w:pPr>
        <w:ind w:left="1429" w:hanging="360"/>
      </w:pPr>
      <w:rPr>
        <w:rFonts w:ascii="Symbol" w:hAnsi="Symbol" w:hint="default"/>
      </w:rPr>
    </w:lvl>
    <w:lvl w:ilvl="1" w:tplc="041B0003">
      <w:start w:val="1"/>
      <w:numFmt w:val="bullet"/>
      <w:lvlText w:val="o"/>
      <w:lvlJc w:val="left"/>
      <w:pPr>
        <w:ind w:left="2149" w:hanging="360"/>
      </w:pPr>
      <w:rPr>
        <w:rFonts w:ascii="Courier New" w:hAnsi="Courier New" w:cs="Courier New" w:hint="default"/>
      </w:rPr>
    </w:lvl>
    <w:lvl w:ilvl="2" w:tplc="041B0005">
      <w:start w:val="1"/>
      <w:numFmt w:val="bullet"/>
      <w:lvlText w:val=""/>
      <w:lvlJc w:val="left"/>
      <w:pPr>
        <w:ind w:left="2869" w:hanging="360"/>
      </w:pPr>
      <w:rPr>
        <w:rFonts w:ascii="Wingdings" w:hAnsi="Wingdings" w:hint="default"/>
      </w:rPr>
    </w:lvl>
    <w:lvl w:ilvl="3" w:tplc="041B0001">
      <w:start w:val="1"/>
      <w:numFmt w:val="bullet"/>
      <w:lvlText w:val=""/>
      <w:lvlJc w:val="left"/>
      <w:pPr>
        <w:ind w:left="3589" w:hanging="360"/>
      </w:pPr>
      <w:rPr>
        <w:rFonts w:ascii="Symbol" w:hAnsi="Symbol" w:hint="default"/>
      </w:rPr>
    </w:lvl>
    <w:lvl w:ilvl="4" w:tplc="041B0003">
      <w:start w:val="1"/>
      <w:numFmt w:val="bullet"/>
      <w:lvlText w:val="o"/>
      <w:lvlJc w:val="left"/>
      <w:pPr>
        <w:ind w:left="4309" w:hanging="360"/>
      </w:pPr>
      <w:rPr>
        <w:rFonts w:ascii="Courier New" w:hAnsi="Courier New" w:cs="Courier New" w:hint="default"/>
      </w:rPr>
    </w:lvl>
    <w:lvl w:ilvl="5" w:tplc="041B0005">
      <w:start w:val="1"/>
      <w:numFmt w:val="bullet"/>
      <w:lvlText w:val=""/>
      <w:lvlJc w:val="left"/>
      <w:pPr>
        <w:ind w:left="5029" w:hanging="360"/>
      </w:pPr>
      <w:rPr>
        <w:rFonts w:ascii="Wingdings" w:hAnsi="Wingdings" w:hint="default"/>
      </w:rPr>
    </w:lvl>
    <w:lvl w:ilvl="6" w:tplc="041B0001">
      <w:start w:val="1"/>
      <w:numFmt w:val="bullet"/>
      <w:lvlText w:val=""/>
      <w:lvlJc w:val="left"/>
      <w:pPr>
        <w:ind w:left="5749" w:hanging="360"/>
      </w:pPr>
      <w:rPr>
        <w:rFonts w:ascii="Symbol" w:hAnsi="Symbol" w:hint="default"/>
      </w:rPr>
    </w:lvl>
    <w:lvl w:ilvl="7" w:tplc="041B0003">
      <w:start w:val="1"/>
      <w:numFmt w:val="bullet"/>
      <w:lvlText w:val="o"/>
      <w:lvlJc w:val="left"/>
      <w:pPr>
        <w:ind w:left="6469" w:hanging="360"/>
      </w:pPr>
      <w:rPr>
        <w:rFonts w:ascii="Courier New" w:hAnsi="Courier New" w:cs="Courier New" w:hint="default"/>
      </w:rPr>
    </w:lvl>
    <w:lvl w:ilvl="8" w:tplc="041B0005">
      <w:start w:val="1"/>
      <w:numFmt w:val="bullet"/>
      <w:lvlText w:val=""/>
      <w:lvlJc w:val="left"/>
      <w:pPr>
        <w:ind w:left="7189" w:hanging="360"/>
      </w:pPr>
      <w:rPr>
        <w:rFonts w:ascii="Wingdings" w:hAnsi="Wingdings" w:hint="default"/>
      </w:rPr>
    </w:lvl>
  </w:abstractNum>
  <w:abstractNum w:abstractNumId="74" w15:restartNumberingAfterBreak="0">
    <w:nsid w:val="77C750B3"/>
    <w:multiLevelType w:val="hybridMultilevel"/>
    <w:tmpl w:val="C8BC607C"/>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75" w15:restartNumberingAfterBreak="0">
    <w:nsid w:val="7B361611"/>
    <w:multiLevelType w:val="hybridMultilevel"/>
    <w:tmpl w:val="C222268C"/>
    <w:lvl w:ilvl="0" w:tplc="041B0001">
      <w:start w:val="1"/>
      <w:numFmt w:val="bullet"/>
      <w:lvlText w:val=""/>
      <w:lvlJc w:val="left"/>
      <w:pPr>
        <w:ind w:left="790" w:hanging="360"/>
      </w:pPr>
      <w:rPr>
        <w:rFonts w:ascii="Symbol" w:hAnsi="Symbol" w:hint="default"/>
      </w:rPr>
    </w:lvl>
    <w:lvl w:ilvl="1" w:tplc="47060C0A">
      <w:numFmt w:val="bullet"/>
      <w:lvlText w:val="·"/>
      <w:lvlJc w:val="left"/>
      <w:pPr>
        <w:ind w:left="1510" w:hanging="360"/>
      </w:pPr>
      <w:rPr>
        <w:rFonts w:ascii="Calibri" w:eastAsiaTheme="minorHAnsi" w:hAnsi="Calibri" w:cs="Calibri" w:hint="default"/>
      </w:rPr>
    </w:lvl>
    <w:lvl w:ilvl="2" w:tplc="041B0005" w:tentative="1">
      <w:start w:val="1"/>
      <w:numFmt w:val="bullet"/>
      <w:lvlText w:val=""/>
      <w:lvlJc w:val="left"/>
      <w:pPr>
        <w:ind w:left="2230" w:hanging="360"/>
      </w:pPr>
      <w:rPr>
        <w:rFonts w:ascii="Wingdings" w:hAnsi="Wingdings" w:hint="default"/>
      </w:rPr>
    </w:lvl>
    <w:lvl w:ilvl="3" w:tplc="041B0001" w:tentative="1">
      <w:start w:val="1"/>
      <w:numFmt w:val="bullet"/>
      <w:lvlText w:val=""/>
      <w:lvlJc w:val="left"/>
      <w:pPr>
        <w:ind w:left="2950" w:hanging="360"/>
      </w:pPr>
      <w:rPr>
        <w:rFonts w:ascii="Symbol" w:hAnsi="Symbol" w:hint="default"/>
      </w:rPr>
    </w:lvl>
    <w:lvl w:ilvl="4" w:tplc="041B0003" w:tentative="1">
      <w:start w:val="1"/>
      <w:numFmt w:val="bullet"/>
      <w:lvlText w:val="o"/>
      <w:lvlJc w:val="left"/>
      <w:pPr>
        <w:ind w:left="3670" w:hanging="360"/>
      </w:pPr>
      <w:rPr>
        <w:rFonts w:ascii="Courier New" w:hAnsi="Courier New" w:cs="Courier New" w:hint="default"/>
      </w:rPr>
    </w:lvl>
    <w:lvl w:ilvl="5" w:tplc="041B0005" w:tentative="1">
      <w:start w:val="1"/>
      <w:numFmt w:val="bullet"/>
      <w:lvlText w:val=""/>
      <w:lvlJc w:val="left"/>
      <w:pPr>
        <w:ind w:left="4390" w:hanging="360"/>
      </w:pPr>
      <w:rPr>
        <w:rFonts w:ascii="Wingdings" w:hAnsi="Wingdings" w:hint="default"/>
      </w:rPr>
    </w:lvl>
    <w:lvl w:ilvl="6" w:tplc="041B0001" w:tentative="1">
      <w:start w:val="1"/>
      <w:numFmt w:val="bullet"/>
      <w:lvlText w:val=""/>
      <w:lvlJc w:val="left"/>
      <w:pPr>
        <w:ind w:left="5110" w:hanging="360"/>
      </w:pPr>
      <w:rPr>
        <w:rFonts w:ascii="Symbol" w:hAnsi="Symbol" w:hint="default"/>
      </w:rPr>
    </w:lvl>
    <w:lvl w:ilvl="7" w:tplc="041B0003" w:tentative="1">
      <w:start w:val="1"/>
      <w:numFmt w:val="bullet"/>
      <w:lvlText w:val="o"/>
      <w:lvlJc w:val="left"/>
      <w:pPr>
        <w:ind w:left="5830" w:hanging="360"/>
      </w:pPr>
      <w:rPr>
        <w:rFonts w:ascii="Courier New" w:hAnsi="Courier New" w:cs="Courier New" w:hint="default"/>
      </w:rPr>
    </w:lvl>
    <w:lvl w:ilvl="8" w:tplc="041B0005" w:tentative="1">
      <w:start w:val="1"/>
      <w:numFmt w:val="bullet"/>
      <w:lvlText w:val=""/>
      <w:lvlJc w:val="left"/>
      <w:pPr>
        <w:ind w:left="6550" w:hanging="360"/>
      </w:pPr>
      <w:rPr>
        <w:rFonts w:ascii="Wingdings" w:hAnsi="Wingdings" w:hint="default"/>
      </w:rPr>
    </w:lvl>
  </w:abstractNum>
  <w:abstractNum w:abstractNumId="76" w15:restartNumberingAfterBreak="0">
    <w:nsid w:val="7BB34BE5"/>
    <w:multiLevelType w:val="hybridMultilevel"/>
    <w:tmpl w:val="B320405E"/>
    <w:lvl w:ilvl="0" w:tplc="041B0001">
      <w:start w:val="1"/>
      <w:numFmt w:val="bullet"/>
      <w:lvlText w:val=""/>
      <w:lvlJc w:val="left"/>
      <w:pPr>
        <w:ind w:left="790" w:hanging="360"/>
      </w:pPr>
      <w:rPr>
        <w:rFonts w:ascii="Symbol" w:hAnsi="Symbol" w:hint="default"/>
      </w:rPr>
    </w:lvl>
    <w:lvl w:ilvl="1" w:tplc="041B0003" w:tentative="1">
      <w:start w:val="1"/>
      <w:numFmt w:val="bullet"/>
      <w:lvlText w:val="o"/>
      <w:lvlJc w:val="left"/>
      <w:pPr>
        <w:ind w:left="1510" w:hanging="360"/>
      </w:pPr>
      <w:rPr>
        <w:rFonts w:ascii="Courier New" w:hAnsi="Courier New" w:cs="Courier New" w:hint="default"/>
      </w:rPr>
    </w:lvl>
    <w:lvl w:ilvl="2" w:tplc="041B0005" w:tentative="1">
      <w:start w:val="1"/>
      <w:numFmt w:val="bullet"/>
      <w:lvlText w:val=""/>
      <w:lvlJc w:val="left"/>
      <w:pPr>
        <w:ind w:left="2230" w:hanging="360"/>
      </w:pPr>
      <w:rPr>
        <w:rFonts w:ascii="Wingdings" w:hAnsi="Wingdings" w:hint="default"/>
      </w:rPr>
    </w:lvl>
    <w:lvl w:ilvl="3" w:tplc="041B0001" w:tentative="1">
      <w:start w:val="1"/>
      <w:numFmt w:val="bullet"/>
      <w:lvlText w:val=""/>
      <w:lvlJc w:val="left"/>
      <w:pPr>
        <w:ind w:left="2950" w:hanging="360"/>
      </w:pPr>
      <w:rPr>
        <w:rFonts w:ascii="Symbol" w:hAnsi="Symbol" w:hint="default"/>
      </w:rPr>
    </w:lvl>
    <w:lvl w:ilvl="4" w:tplc="041B0003" w:tentative="1">
      <w:start w:val="1"/>
      <w:numFmt w:val="bullet"/>
      <w:lvlText w:val="o"/>
      <w:lvlJc w:val="left"/>
      <w:pPr>
        <w:ind w:left="3670" w:hanging="360"/>
      </w:pPr>
      <w:rPr>
        <w:rFonts w:ascii="Courier New" w:hAnsi="Courier New" w:cs="Courier New" w:hint="default"/>
      </w:rPr>
    </w:lvl>
    <w:lvl w:ilvl="5" w:tplc="041B0005" w:tentative="1">
      <w:start w:val="1"/>
      <w:numFmt w:val="bullet"/>
      <w:lvlText w:val=""/>
      <w:lvlJc w:val="left"/>
      <w:pPr>
        <w:ind w:left="4390" w:hanging="360"/>
      </w:pPr>
      <w:rPr>
        <w:rFonts w:ascii="Wingdings" w:hAnsi="Wingdings" w:hint="default"/>
      </w:rPr>
    </w:lvl>
    <w:lvl w:ilvl="6" w:tplc="041B0001" w:tentative="1">
      <w:start w:val="1"/>
      <w:numFmt w:val="bullet"/>
      <w:lvlText w:val=""/>
      <w:lvlJc w:val="left"/>
      <w:pPr>
        <w:ind w:left="5110" w:hanging="360"/>
      </w:pPr>
      <w:rPr>
        <w:rFonts w:ascii="Symbol" w:hAnsi="Symbol" w:hint="default"/>
      </w:rPr>
    </w:lvl>
    <w:lvl w:ilvl="7" w:tplc="041B0003" w:tentative="1">
      <w:start w:val="1"/>
      <w:numFmt w:val="bullet"/>
      <w:lvlText w:val="o"/>
      <w:lvlJc w:val="left"/>
      <w:pPr>
        <w:ind w:left="5830" w:hanging="360"/>
      </w:pPr>
      <w:rPr>
        <w:rFonts w:ascii="Courier New" w:hAnsi="Courier New" w:cs="Courier New" w:hint="default"/>
      </w:rPr>
    </w:lvl>
    <w:lvl w:ilvl="8" w:tplc="041B0005" w:tentative="1">
      <w:start w:val="1"/>
      <w:numFmt w:val="bullet"/>
      <w:lvlText w:val=""/>
      <w:lvlJc w:val="left"/>
      <w:pPr>
        <w:ind w:left="6550" w:hanging="360"/>
      </w:pPr>
      <w:rPr>
        <w:rFonts w:ascii="Wingdings" w:hAnsi="Wingdings" w:hint="default"/>
      </w:rPr>
    </w:lvl>
  </w:abstractNum>
  <w:num w:numId="1">
    <w:abstractNumId w:val="65"/>
  </w:num>
  <w:num w:numId="2">
    <w:abstractNumId w:val="5"/>
  </w:num>
  <w:num w:numId="3">
    <w:abstractNumId w:val="63"/>
  </w:num>
  <w:num w:numId="4">
    <w:abstractNumId w:val="18"/>
  </w:num>
  <w:num w:numId="5">
    <w:abstractNumId w:val="58"/>
  </w:num>
  <w:num w:numId="6">
    <w:abstractNumId w:val="16"/>
  </w:num>
  <w:num w:numId="7">
    <w:abstractNumId w:val="14"/>
  </w:num>
  <w:num w:numId="8">
    <w:abstractNumId w:val="38"/>
  </w:num>
  <w:num w:numId="9">
    <w:abstractNumId w:val="53"/>
  </w:num>
  <w:num w:numId="10">
    <w:abstractNumId w:val="19"/>
  </w:num>
  <w:num w:numId="11">
    <w:abstractNumId w:val="46"/>
  </w:num>
  <w:num w:numId="12">
    <w:abstractNumId w:val="31"/>
  </w:num>
  <w:num w:numId="13">
    <w:abstractNumId w:val="55"/>
  </w:num>
  <w:num w:numId="14">
    <w:abstractNumId w:val="62"/>
  </w:num>
  <w:num w:numId="15">
    <w:abstractNumId w:val="43"/>
  </w:num>
  <w:num w:numId="16">
    <w:abstractNumId w:val="17"/>
  </w:num>
  <w:num w:numId="17">
    <w:abstractNumId w:val="13"/>
  </w:num>
  <w:num w:numId="18">
    <w:abstractNumId w:val="21"/>
  </w:num>
  <w:num w:numId="19">
    <w:abstractNumId w:val="23"/>
  </w:num>
  <w:num w:numId="20">
    <w:abstractNumId w:val="32"/>
  </w:num>
  <w:num w:numId="21">
    <w:abstractNumId w:val="38"/>
  </w:num>
  <w:num w:numId="22">
    <w:abstractNumId w:val="23"/>
  </w:num>
  <w:num w:numId="23">
    <w:abstractNumId w:val="22"/>
  </w:num>
  <w:num w:numId="24">
    <w:abstractNumId w:val="71"/>
  </w:num>
  <w:num w:numId="25">
    <w:abstractNumId w:val="44"/>
  </w:num>
  <w:num w:numId="26">
    <w:abstractNumId w:val="4"/>
  </w:num>
  <w:num w:numId="27">
    <w:abstractNumId w:val="66"/>
  </w:num>
  <w:num w:numId="28">
    <w:abstractNumId w:val="68"/>
  </w:num>
  <w:num w:numId="29">
    <w:abstractNumId w:val="1"/>
  </w:num>
  <w:num w:numId="30">
    <w:abstractNumId w:val="49"/>
  </w:num>
  <w:num w:numId="31">
    <w:abstractNumId w:val="60"/>
  </w:num>
  <w:num w:numId="32">
    <w:abstractNumId w:val="69"/>
  </w:num>
  <w:num w:numId="33">
    <w:abstractNumId w:val="56"/>
  </w:num>
  <w:num w:numId="34">
    <w:abstractNumId w:val="0"/>
  </w:num>
  <w:num w:numId="35">
    <w:abstractNumId w:val="28"/>
  </w:num>
  <w:num w:numId="36">
    <w:abstractNumId w:val="24"/>
  </w:num>
  <w:num w:numId="37">
    <w:abstractNumId w:val="40"/>
  </w:num>
  <w:num w:numId="38">
    <w:abstractNumId w:val="37"/>
  </w:num>
  <w:num w:numId="39">
    <w:abstractNumId w:val="76"/>
  </w:num>
  <w:num w:numId="40">
    <w:abstractNumId w:val="8"/>
  </w:num>
  <w:num w:numId="41">
    <w:abstractNumId w:val="33"/>
  </w:num>
  <w:num w:numId="42">
    <w:abstractNumId w:val="57"/>
  </w:num>
  <w:num w:numId="43">
    <w:abstractNumId w:val="64"/>
  </w:num>
  <w:num w:numId="44">
    <w:abstractNumId w:val="3"/>
  </w:num>
  <w:num w:numId="45">
    <w:abstractNumId w:val="72"/>
  </w:num>
  <w:num w:numId="46">
    <w:abstractNumId w:val="75"/>
  </w:num>
  <w:num w:numId="47">
    <w:abstractNumId w:val="61"/>
  </w:num>
  <w:num w:numId="48">
    <w:abstractNumId w:val="6"/>
  </w:num>
  <w:num w:numId="49">
    <w:abstractNumId w:val="41"/>
  </w:num>
  <w:num w:numId="50">
    <w:abstractNumId w:val="36"/>
  </w:num>
  <w:num w:numId="51">
    <w:abstractNumId w:val="56"/>
  </w:num>
  <w:num w:numId="52">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73"/>
  </w:num>
  <w:num w:numId="54">
    <w:abstractNumId w:val="42"/>
  </w:num>
  <w:num w:numId="55">
    <w:abstractNumId w:val="9"/>
  </w:num>
  <w:num w:numId="56">
    <w:abstractNumId w:val="70"/>
  </w:num>
  <w:num w:numId="57">
    <w:abstractNumId w:val="59"/>
  </w:num>
  <w:num w:numId="58">
    <w:abstractNumId w:val="70"/>
  </w:num>
  <w:num w:numId="59">
    <w:abstractNumId w:val="11"/>
  </w:num>
  <w:num w:numId="60">
    <w:abstractNumId w:val="25"/>
  </w:num>
  <w:num w:numId="61">
    <w:abstractNumId w:val="15"/>
  </w:num>
  <w:num w:numId="62">
    <w:abstractNumId w:val="48"/>
  </w:num>
  <w:num w:numId="63">
    <w:abstractNumId w:val="54"/>
  </w:num>
  <w:num w:numId="64">
    <w:abstractNumId w:val="20"/>
  </w:num>
  <w:num w:numId="65">
    <w:abstractNumId w:val="35"/>
  </w:num>
  <w:num w:numId="66">
    <w:abstractNumId w:val="2"/>
  </w:num>
  <w:num w:numId="67">
    <w:abstractNumId w:val="67"/>
  </w:num>
  <w:num w:numId="68">
    <w:abstractNumId w:val="74"/>
  </w:num>
  <w:num w:numId="69">
    <w:abstractNumId w:val="45"/>
  </w:num>
  <w:num w:numId="70">
    <w:abstractNumId w:val="27"/>
  </w:num>
  <w:num w:numId="71">
    <w:abstractNumId w:val="39"/>
  </w:num>
  <w:num w:numId="72">
    <w:abstractNumId w:val="50"/>
  </w:num>
  <w:num w:numId="73">
    <w:abstractNumId w:val="30"/>
  </w:num>
  <w:num w:numId="74">
    <w:abstractNumId w:val="10"/>
  </w:num>
  <w:num w:numId="75">
    <w:abstractNumId w:val="12"/>
  </w:num>
  <w:num w:numId="76">
    <w:abstractNumId w:val="52"/>
  </w:num>
  <w:num w:numId="77">
    <w:abstractNumId w:val="26"/>
  </w:num>
  <w:num w:numId="78">
    <w:abstractNumId w:val="34"/>
  </w:num>
  <w:num w:numId="79">
    <w:abstractNumId w:val="47"/>
  </w:num>
  <w:num w:numId="80">
    <w:abstractNumId w:val="7"/>
  </w:num>
  <w:num w:numId="81">
    <w:abstractNumId w:val="51"/>
  </w:num>
  <w:num w:numId="82">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26"/>
  </w:num>
  <w:numIdMacAtCleanup w:val="8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mirrorMargins/>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4498E"/>
    <w:rsid w:val="00003A4A"/>
    <w:rsid w:val="00006CFE"/>
    <w:rsid w:val="00016689"/>
    <w:rsid w:val="00020C9F"/>
    <w:rsid w:val="0002506D"/>
    <w:rsid w:val="000302FA"/>
    <w:rsid w:val="00030FA2"/>
    <w:rsid w:val="000323DE"/>
    <w:rsid w:val="000356A7"/>
    <w:rsid w:val="000408C9"/>
    <w:rsid w:val="00050641"/>
    <w:rsid w:val="000510EB"/>
    <w:rsid w:val="000558B2"/>
    <w:rsid w:val="00056FA5"/>
    <w:rsid w:val="00060495"/>
    <w:rsid w:val="000659F6"/>
    <w:rsid w:val="00070D02"/>
    <w:rsid w:val="00090F14"/>
    <w:rsid w:val="00091EB3"/>
    <w:rsid w:val="000B0F5A"/>
    <w:rsid w:val="000B638A"/>
    <w:rsid w:val="000C006E"/>
    <w:rsid w:val="000D1F32"/>
    <w:rsid w:val="000E5539"/>
    <w:rsid w:val="000E5928"/>
    <w:rsid w:val="00101CA0"/>
    <w:rsid w:val="0010606D"/>
    <w:rsid w:val="00106A85"/>
    <w:rsid w:val="0011270F"/>
    <w:rsid w:val="00114AA5"/>
    <w:rsid w:val="0014033C"/>
    <w:rsid w:val="00140EE4"/>
    <w:rsid w:val="00142DEB"/>
    <w:rsid w:val="00154415"/>
    <w:rsid w:val="00156655"/>
    <w:rsid w:val="00160905"/>
    <w:rsid w:val="001825F0"/>
    <w:rsid w:val="0018289B"/>
    <w:rsid w:val="00182ED2"/>
    <w:rsid w:val="001902D5"/>
    <w:rsid w:val="00195F37"/>
    <w:rsid w:val="001A0AC8"/>
    <w:rsid w:val="001A24C3"/>
    <w:rsid w:val="001A3393"/>
    <w:rsid w:val="001A3F93"/>
    <w:rsid w:val="001A64E3"/>
    <w:rsid w:val="001B0B83"/>
    <w:rsid w:val="001B3030"/>
    <w:rsid w:val="001B4004"/>
    <w:rsid w:val="001B59BA"/>
    <w:rsid w:val="001C5DDF"/>
    <w:rsid w:val="001C7D1E"/>
    <w:rsid w:val="001D29C5"/>
    <w:rsid w:val="001D7B2A"/>
    <w:rsid w:val="001E0F0B"/>
    <w:rsid w:val="001E29F6"/>
    <w:rsid w:val="001E52B3"/>
    <w:rsid w:val="001E71CD"/>
    <w:rsid w:val="001F5096"/>
    <w:rsid w:val="001F7402"/>
    <w:rsid w:val="00201B2A"/>
    <w:rsid w:val="00204A01"/>
    <w:rsid w:val="00224371"/>
    <w:rsid w:val="002343B4"/>
    <w:rsid w:val="0025460E"/>
    <w:rsid w:val="00266B09"/>
    <w:rsid w:val="00271AEE"/>
    <w:rsid w:val="00273891"/>
    <w:rsid w:val="00276B5C"/>
    <w:rsid w:val="00277C82"/>
    <w:rsid w:val="00277DAE"/>
    <w:rsid w:val="00281088"/>
    <w:rsid w:val="00281E15"/>
    <w:rsid w:val="002837C3"/>
    <w:rsid w:val="00285ADF"/>
    <w:rsid w:val="002A473A"/>
    <w:rsid w:val="002B1069"/>
    <w:rsid w:val="002C7151"/>
    <w:rsid w:val="002C7790"/>
    <w:rsid w:val="002E1AE7"/>
    <w:rsid w:val="002E6A45"/>
    <w:rsid w:val="002F0717"/>
    <w:rsid w:val="002F3EE4"/>
    <w:rsid w:val="00303269"/>
    <w:rsid w:val="003102D6"/>
    <w:rsid w:val="00316A48"/>
    <w:rsid w:val="00324970"/>
    <w:rsid w:val="00327B14"/>
    <w:rsid w:val="0034322D"/>
    <w:rsid w:val="0035324F"/>
    <w:rsid w:val="003576C2"/>
    <w:rsid w:val="003628BD"/>
    <w:rsid w:val="00363D6F"/>
    <w:rsid w:val="00365767"/>
    <w:rsid w:val="00365F15"/>
    <w:rsid w:val="00370274"/>
    <w:rsid w:val="00371DF9"/>
    <w:rsid w:val="003755F4"/>
    <w:rsid w:val="00377DAD"/>
    <w:rsid w:val="00386F8A"/>
    <w:rsid w:val="00387399"/>
    <w:rsid w:val="00387FF7"/>
    <w:rsid w:val="00396B4D"/>
    <w:rsid w:val="00397C31"/>
    <w:rsid w:val="003A7501"/>
    <w:rsid w:val="003A7D4A"/>
    <w:rsid w:val="003B41F1"/>
    <w:rsid w:val="003C1353"/>
    <w:rsid w:val="003C72F1"/>
    <w:rsid w:val="003F1B79"/>
    <w:rsid w:val="003F361A"/>
    <w:rsid w:val="003F4423"/>
    <w:rsid w:val="003F536E"/>
    <w:rsid w:val="00415336"/>
    <w:rsid w:val="00425D09"/>
    <w:rsid w:val="00441500"/>
    <w:rsid w:val="00443131"/>
    <w:rsid w:val="00444244"/>
    <w:rsid w:val="004445EC"/>
    <w:rsid w:val="00453234"/>
    <w:rsid w:val="00461A59"/>
    <w:rsid w:val="004641E0"/>
    <w:rsid w:val="004811B6"/>
    <w:rsid w:val="0048323B"/>
    <w:rsid w:val="004832EB"/>
    <w:rsid w:val="004871D3"/>
    <w:rsid w:val="0049048C"/>
    <w:rsid w:val="004906C6"/>
    <w:rsid w:val="00491D36"/>
    <w:rsid w:val="004A3FBC"/>
    <w:rsid w:val="004B1C9A"/>
    <w:rsid w:val="004B3444"/>
    <w:rsid w:val="004B79AC"/>
    <w:rsid w:val="004C127E"/>
    <w:rsid w:val="004C1697"/>
    <w:rsid w:val="004C6747"/>
    <w:rsid w:val="004D482E"/>
    <w:rsid w:val="004E3DA6"/>
    <w:rsid w:val="004E44F2"/>
    <w:rsid w:val="004F16EE"/>
    <w:rsid w:val="004F1EDD"/>
    <w:rsid w:val="00501F79"/>
    <w:rsid w:val="005029AC"/>
    <w:rsid w:val="00505A77"/>
    <w:rsid w:val="00510BA2"/>
    <w:rsid w:val="0051218F"/>
    <w:rsid w:val="005152D1"/>
    <w:rsid w:val="00515EE4"/>
    <w:rsid w:val="00527F50"/>
    <w:rsid w:val="00537E17"/>
    <w:rsid w:val="00540C94"/>
    <w:rsid w:val="00541130"/>
    <w:rsid w:val="005452AD"/>
    <w:rsid w:val="0058744D"/>
    <w:rsid w:val="00592348"/>
    <w:rsid w:val="00592E28"/>
    <w:rsid w:val="005940CA"/>
    <w:rsid w:val="00597450"/>
    <w:rsid w:val="005A058E"/>
    <w:rsid w:val="005A2657"/>
    <w:rsid w:val="005A3F88"/>
    <w:rsid w:val="005A4855"/>
    <w:rsid w:val="005A4DCE"/>
    <w:rsid w:val="005A736B"/>
    <w:rsid w:val="005B5E60"/>
    <w:rsid w:val="005B62B6"/>
    <w:rsid w:val="005B6C21"/>
    <w:rsid w:val="005C5524"/>
    <w:rsid w:val="005D60D1"/>
    <w:rsid w:val="005F7470"/>
    <w:rsid w:val="006047CA"/>
    <w:rsid w:val="006079FA"/>
    <w:rsid w:val="00610F90"/>
    <w:rsid w:val="006156E7"/>
    <w:rsid w:val="00621424"/>
    <w:rsid w:val="006270BC"/>
    <w:rsid w:val="006337AE"/>
    <w:rsid w:val="006342A8"/>
    <w:rsid w:val="0063444A"/>
    <w:rsid w:val="00640844"/>
    <w:rsid w:val="0064498E"/>
    <w:rsid w:val="00655DBA"/>
    <w:rsid w:val="00656F67"/>
    <w:rsid w:val="00661C37"/>
    <w:rsid w:val="006764E2"/>
    <w:rsid w:val="00684815"/>
    <w:rsid w:val="00691FB9"/>
    <w:rsid w:val="006A0A3F"/>
    <w:rsid w:val="006A1E13"/>
    <w:rsid w:val="006A2882"/>
    <w:rsid w:val="006B67AE"/>
    <w:rsid w:val="006C4FDA"/>
    <w:rsid w:val="006D31B6"/>
    <w:rsid w:val="006D4862"/>
    <w:rsid w:val="006D6369"/>
    <w:rsid w:val="006E1759"/>
    <w:rsid w:val="006E1ECE"/>
    <w:rsid w:val="006E3CC1"/>
    <w:rsid w:val="006E67D0"/>
    <w:rsid w:val="006E6C1F"/>
    <w:rsid w:val="006F1626"/>
    <w:rsid w:val="00703765"/>
    <w:rsid w:val="00707B13"/>
    <w:rsid w:val="00713187"/>
    <w:rsid w:val="00713FD0"/>
    <w:rsid w:val="00715096"/>
    <w:rsid w:val="00726BA0"/>
    <w:rsid w:val="007473AC"/>
    <w:rsid w:val="00751D24"/>
    <w:rsid w:val="00754C7E"/>
    <w:rsid w:val="00764F05"/>
    <w:rsid w:val="00777839"/>
    <w:rsid w:val="00782161"/>
    <w:rsid w:val="00782BC2"/>
    <w:rsid w:val="00782F1C"/>
    <w:rsid w:val="007911F9"/>
    <w:rsid w:val="00793DC2"/>
    <w:rsid w:val="00794475"/>
    <w:rsid w:val="007944D6"/>
    <w:rsid w:val="007B45EA"/>
    <w:rsid w:val="007B59BC"/>
    <w:rsid w:val="007C0141"/>
    <w:rsid w:val="007C2D92"/>
    <w:rsid w:val="007C460C"/>
    <w:rsid w:val="007D1D2E"/>
    <w:rsid w:val="007D4DE4"/>
    <w:rsid w:val="007E136C"/>
    <w:rsid w:val="007E13FA"/>
    <w:rsid w:val="007E1BED"/>
    <w:rsid w:val="007F024E"/>
    <w:rsid w:val="007F1AC4"/>
    <w:rsid w:val="0080507D"/>
    <w:rsid w:val="008066C6"/>
    <w:rsid w:val="008208F3"/>
    <w:rsid w:val="00827FE1"/>
    <w:rsid w:val="00834427"/>
    <w:rsid w:val="00837EC1"/>
    <w:rsid w:val="0085104E"/>
    <w:rsid w:val="00854764"/>
    <w:rsid w:val="008571A5"/>
    <w:rsid w:val="0086076B"/>
    <w:rsid w:val="00862724"/>
    <w:rsid w:val="00870ED9"/>
    <w:rsid w:val="00877955"/>
    <w:rsid w:val="00891818"/>
    <w:rsid w:val="008946D4"/>
    <w:rsid w:val="00897E88"/>
    <w:rsid w:val="008A1F7A"/>
    <w:rsid w:val="008A308E"/>
    <w:rsid w:val="008A3BAD"/>
    <w:rsid w:val="008B078A"/>
    <w:rsid w:val="008C7C3B"/>
    <w:rsid w:val="008D5136"/>
    <w:rsid w:val="008D58A2"/>
    <w:rsid w:val="008D6DFF"/>
    <w:rsid w:val="008E7BA5"/>
    <w:rsid w:val="008E7BB2"/>
    <w:rsid w:val="008F4C73"/>
    <w:rsid w:val="00901000"/>
    <w:rsid w:val="00907AA6"/>
    <w:rsid w:val="009124A9"/>
    <w:rsid w:val="00917B13"/>
    <w:rsid w:val="00921A5D"/>
    <w:rsid w:val="00922480"/>
    <w:rsid w:val="00922796"/>
    <w:rsid w:val="00926CF3"/>
    <w:rsid w:val="00930B46"/>
    <w:rsid w:val="00931169"/>
    <w:rsid w:val="00931235"/>
    <w:rsid w:val="00932CDB"/>
    <w:rsid w:val="00936424"/>
    <w:rsid w:val="00937B56"/>
    <w:rsid w:val="009510D0"/>
    <w:rsid w:val="00952988"/>
    <w:rsid w:val="00953B5A"/>
    <w:rsid w:val="009608AB"/>
    <w:rsid w:val="0096111F"/>
    <w:rsid w:val="00981653"/>
    <w:rsid w:val="00983BFD"/>
    <w:rsid w:val="0098414F"/>
    <w:rsid w:val="009A3ADE"/>
    <w:rsid w:val="009B2BA0"/>
    <w:rsid w:val="009B2BC2"/>
    <w:rsid w:val="009B2C3F"/>
    <w:rsid w:val="009B43FC"/>
    <w:rsid w:val="009C48E2"/>
    <w:rsid w:val="009D03FB"/>
    <w:rsid w:val="009D11DF"/>
    <w:rsid w:val="009D504C"/>
    <w:rsid w:val="009E30AE"/>
    <w:rsid w:val="009F6E63"/>
    <w:rsid w:val="00A11279"/>
    <w:rsid w:val="00A15647"/>
    <w:rsid w:val="00A216D4"/>
    <w:rsid w:val="00A356C4"/>
    <w:rsid w:val="00A40428"/>
    <w:rsid w:val="00A7317C"/>
    <w:rsid w:val="00A8018E"/>
    <w:rsid w:val="00A93504"/>
    <w:rsid w:val="00AA3A85"/>
    <w:rsid w:val="00AB35CD"/>
    <w:rsid w:val="00AC1695"/>
    <w:rsid w:val="00AD5746"/>
    <w:rsid w:val="00AF0540"/>
    <w:rsid w:val="00AF44EA"/>
    <w:rsid w:val="00AF60A2"/>
    <w:rsid w:val="00AF7BE7"/>
    <w:rsid w:val="00AF7FB0"/>
    <w:rsid w:val="00B00FA8"/>
    <w:rsid w:val="00B00FC5"/>
    <w:rsid w:val="00B056A9"/>
    <w:rsid w:val="00B05F60"/>
    <w:rsid w:val="00B15EB3"/>
    <w:rsid w:val="00B22D50"/>
    <w:rsid w:val="00B24E11"/>
    <w:rsid w:val="00B30387"/>
    <w:rsid w:val="00B3247F"/>
    <w:rsid w:val="00B41C99"/>
    <w:rsid w:val="00B43070"/>
    <w:rsid w:val="00B44D58"/>
    <w:rsid w:val="00B52F7C"/>
    <w:rsid w:val="00B533B0"/>
    <w:rsid w:val="00B5726C"/>
    <w:rsid w:val="00B64558"/>
    <w:rsid w:val="00B76832"/>
    <w:rsid w:val="00B83C49"/>
    <w:rsid w:val="00B91F9E"/>
    <w:rsid w:val="00B96B19"/>
    <w:rsid w:val="00BB17F8"/>
    <w:rsid w:val="00BB37C6"/>
    <w:rsid w:val="00BB49A9"/>
    <w:rsid w:val="00BB6287"/>
    <w:rsid w:val="00BB6D39"/>
    <w:rsid w:val="00BC07F1"/>
    <w:rsid w:val="00BC102F"/>
    <w:rsid w:val="00BC6B53"/>
    <w:rsid w:val="00BC6FFF"/>
    <w:rsid w:val="00BC7B3D"/>
    <w:rsid w:val="00BD02B5"/>
    <w:rsid w:val="00BE28C1"/>
    <w:rsid w:val="00BE5749"/>
    <w:rsid w:val="00BE690A"/>
    <w:rsid w:val="00BF0C64"/>
    <w:rsid w:val="00BF37BD"/>
    <w:rsid w:val="00C05FCD"/>
    <w:rsid w:val="00C1253E"/>
    <w:rsid w:val="00C153B6"/>
    <w:rsid w:val="00C24266"/>
    <w:rsid w:val="00C2519A"/>
    <w:rsid w:val="00C277C6"/>
    <w:rsid w:val="00C30605"/>
    <w:rsid w:val="00C30F17"/>
    <w:rsid w:val="00C34E4F"/>
    <w:rsid w:val="00C41C2B"/>
    <w:rsid w:val="00C42EE6"/>
    <w:rsid w:val="00C44144"/>
    <w:rsid w:val="00C553E2"/>
    <w:rsid w:val="00C64F09"/>
    <w:rsid w:val="00C7462F"/>
    <w:rsid w:val="00C77E1E"/>
    <w:rsid w:val="00C85096"/>
    <w:rsid w:val="00C918AA"/>
    <w:rsid w:val="00C91908"/>
    <w:rsid w:val="00C92D2A"/>
    <w:rsid w:val="00CA287A"/>
    <w:rsid w:val="00CA47E3"/>
    <w:rsid w:val="00CB06B7"/>
    <w:rsid w:val="00CB0CD8"/>
    <w:rsid w:val="00CB780D"/>
    <w:rsid w:val="00CC04F5"/>
    <w:rsid w:val="00CC5027"/>
    <w:rsid w:val="00CD4483"/>
    <w:rsid w:val="00CE2FDE"/>
    <w:rsid w:val="00CF221F"/>
    <w:rsid w:val="00D00CAC"/>
    <w:rsid w:val="00D14FC8"/>
    <w:rsid w:val="00D2502F"/>
    <w:rsid w:val="00D30164"/>
    <w:rsid w:val="00D33B5B"/>
    <w:rsid w:val="00D3664F"/>
    <w:rsid w:val="00D3749B"/>
    <w:rsid w:val="00D40C2E"/>
    <w:rsid w:val="00D41D64"/>
    <w:rsid w:val="00D43F8A"/>
    <w:rsid w:val="00D44621"/>
    <w:rsid w:val="00D46846"/>
    <w:rsid w:val="00D520DD"/>
    <w:rsid w:val="00D55C09"/>
    <w:rsid w:val="00D62EEB"/>
    <w:rsid w:val="00D70CA2"/>
    <w:rsid w:val="00D724B7"/>
    <w:rsid w:val="00D77E5D"/>
    <w:rsid w:val="00D8227A"/>
    <w:rsid w:val="00D83091"/>
    <w:rsid w:val="00D83A6C"/>
    <w:rsid w:val="00D8690C"/>
    <w:rsid w:val="00D92D99"/>
    <w:rsid w:val="00DA0B84"/>
    <w:rsid w:val="00DA3724"/>
    <w:rsid w:val="00DA3F4F"/>
    <w:rsid w:val="00DB48C3"/>
    <w:rsid w:val="00DB6E77"/>
    <w:rsid w:val="00DC0637"/>
    <w:rsid w:val="00DC2DF4"/>
    <w:rsid w:val="00DC475A"/>
    <w:rsid w:val="00DC49DC"/>
    <w:rsid w:val="00DC515F"/>
    <w:rsid w:val="00DD442A"/>
    <w:rsid w:val="00DD6689"/>
    <w:rsid w:val="00DE0B78"/>
    <w:rsid w:val="00DF1262"/>
    <w:rsid w:val="00DF39D6"/>
    <w:rsid w:val="00DF4A11"/>
    <w:rsid w:val="00DF555C"/>
    <w:rsid w:val="00E03380"/>
    <w:rsid w:val="00E06662"/>
    <w:rsid w:val="00E17D39"/>
    <w:rsid w:val="00E17FD4"/>
    <w:rsid w:val="00E241EA"/>
    <w:rsid w:val="00E259F2"/>
    <w:rsid w:val="00E2725C"/>
    <w:rsid w:val="00E27573"/>
    <w:rsid w:val="00E37050"/>
    <w:rsid w:val="00E466E7"/>
    <w:rsid w:val="00E51179"/>
    <w:rsid w:val="00E579AE"/>
    <w:rsid w:val="00E8256D"/>
    <w:rsid w:val="00E829F9"/>
    <w:rsid w:val="00E8376C"/>
    <w:rsid w:val="00E8482A"/>
    <w:rsid w:val="00E9485C"/>
    <w:rsid w:val="00EB2290"/>
    <w:rsid w:val="00EC058C"/>
    <w:rsid w:val="00ED1A39"/>
    <w:rsid w:val="00EE707E"/>
    <w:rsid w:val="00EF0557"/>
    <w:rsid w:val="00EF58C3"/>
    <w:rsid w:val="00F01076"/>
    <w:rsid w:val="00F1567C"/>
    <w:rsid w:val="00F221AE"/>
    <w:rsid w:val="00F42614"/>
    <w:rsid w:val="00F4315B"/>
    <w:rsid w:val="00F46E4F"/>
    <w:rsid w:val="00F53C4C"/>
    <w:rsid w:val="00F71F6C"/>
    <w:rsid w:val="00F720F6"/>
    <w:rsid w:val="00F751DA"/>
    <w:rsid w:val="00F8244D"/>
    <w:rsid w:val="00F8456A"/>
    <w:rsid w:val="00F92681"/>
    <w:rsid w:val="00FC38B2"/>
    <w:rsid w:val="00FC4139"/>
    <w:rsid w:val="00FC4C67"/>
    <w:rsid w:val="00FD2842"/>
    <w:rsid w:val="00FE2BF3"/>
    <w:rsid w:val="00FE79AB"/>
    <w:rsid w:val="00FE7FAB"/>
    <w:rsid w:val="00FF0ABC"/>
    <w:rsid w:val="00FF6AF4"/>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501421"/>
  <w15:docId w15:val="{03C2C95E-6775-44FD-9EC6-62F912865D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k-SK"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qFormat="1"/>
    <w:lsdException w:name="envelope address" w:semiHidden="1" w:uiPriority="8"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iPriority="7"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7" w:unhideWhenUsed="1"/>
    <w:lsdException w:name="List Bullet 3" w:semiHidden="1" w:uiPriority="7" w:unhideWhenUsed="1"/>
    <w:lsdException w:name="List Bullet 4" w:semiHidden="1" w:unhideWhenUsed="1"/>
    <w:lsdException w:name="List Bullet 5" w:semiHidden="1" w:unhideWhenUsed="1"/>
    <w:lsdException w:name="List Number 2" w:semiHidden="1" w:uiPriority="7" w:unhideWhenUsed="1"/>
    <w:lsdException w:name="List Number 3" w:semiHidden="1" w:uiPriority="7"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iPriority="0"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3F536E"/>
    <w:pPr>
      <w:spacing w:after="0" w:line="240" w:lineRule="auto"/>
      <w:jc w:val="both"/>
    </w:pPr>
    <w:rPr>
      <w:sz w:val="24"/>
    </w:rPr>
  </w:style>
  <w:style w:type="paragraph" w:styleId="Nadpis1">
    <w:name w:val="heading 1"/>
    <w:aliases w:val="BA Nadpis 1,adpis 1,kapitola"/>
    <w:basedOn w:val="Normlny"/>
    <w:next w:val="Normlny"/>
    <w:link w:val="Nadpis1Char"/>
    <w:uiPriority w:val="1"/>
    <w:qFormat/>
    <w:rsid w:val="0058744D"/>
    <w:pPr>
      <w:keepNext/>
      <w:keepLines/>
      <w:spacing w:before="480" w:after="240"/>
      <w:outlineLvl w:val="0"/>
    </w:pPr>
    <w:rPr>
      <w:rFonts w:eastAsiaTheme="majorEastAsia" w:cstheme="majorBidi"/>
      <w:b/>
      <w:bCs/>
      <w:color w:val="00B050"/>
      <w:sz w:val="28"/>
      <w:szCs w:val="28"/>
    </w:rPr>
  </w:style>
  <w:style w:type="paragraph" w:styleId="Nadpis2">
    <w:name w:val="heading 2"/>
    <w:aliases w:val="BA Nadpis 2"/>
    <w:basedOn w:val="Normlny"/>
    <w:next w:val="Normlny"/>
    <w:link w:val="Nadpis2Char"/>
    <w:unhideWhenUsed/>
    <w:qFormat/>
    <w:rsid w:val="00BB17F8"/>
    <w:pPr>
      <w:keepNext/>
      <w:keepLines/>
      <w:spacing w:before="360" w:after="360"/>
      <w:outlineLvl w:val="1"/>
    </w:pPr>
    <w:rPr>
      <w:rFonts w:eastAsiaTheme="majorEastAsia" w:cstheme="majorBidi"/>
      <w:b/>
      <w:bCs/>
      <w:color w:val="4F81BD" w:themeColor="accent1"/>
      <w:sz w:val="26"/>
      <w:szCs w:val="26"/>
    </w:rPr>
  </w:style>
  <w:style w:type="paragraph" w:styleId="Nadpis3">
    <w:name w:val="heading 3"/>
    <w:aliases w:val="BA Nadpis 3,Nadpis 3a,Podpodkapitola,Heading 3,adpis 3"/>
    <w:basedOn w:val="Normlny"/>
    <w:next w:val="Normlny"/>
    <w:link w:val="Nadpis3Char"/>
    <w:unhideWhenUsed/>
    <w:qFormat/>
    <w:rsid w:val="00BB17F8"/>
    <w:pPr>
      <w:keepNext/>
      <w:keepLines/>
      <w:spacing w:before="360" w:after="240"/>
      <w:outlineLvl w:val="2"/>
    </w:pPr>
    <w:rPr>
      <w:rFonts w:eastAsiaTheme="majorEastAsia" w:cstheme="majorBidi"/>
      <w:b/>
      <w:bCs/>
      <w:color w:val="000000" w:themeColor="text1"/>
    </w:rPr>
  </w:style>
  <w:style w:type="paragraph" w:styleId="Nadpis4">
    <w:name w:val="heading 4"/>
    <w:aliases w:val="Fourth level,T4 Char,T4,Fourth level Char,Titul2,Titul21,Titul22,Titul23,Titul24,Titul25,Titul26,Titul211,Titul221,Titul231,Titul27,Titul212,Titul222,Titul232,Titul28,Titul213,Titul223,Titul233,Titul29,Titul214,Titul224,Titul234"/>
    <w:basedOn w:val="Normlny"/>
    <w:next w:val="Normlny"/>
    <w:link w:val="Nadpis4Char"/>
    <w:uiPriority w:val="9"/>
    <w:unhideWhenUsed/>
    <w:qFormat/>
    <w:rsid w:val="00BB17F8"/>
    <w:pPr>
      <w:keepNext/>
      <w:keepLines/>
      <w:spacing w:before="240" w:after="240"/>
      <w:outlineLvl w:val="3"/>
    </w:pPr>
    <w:rPr>
      <w:rFonts w:eastAsiaTheme="majorEastAsia" w:cstheme="majorBidi"/>
      <w:b/>
      <w:bCs/>
      <w:i/>
      <w:iCs/>
    </w:rPr>
  </w:style>
  <w:style w:type="paragraph" w:styleId="Nadpis5">
    <w:name w:val="heading 5"/>
    <w:basedOn w:val="Normlny"/>
    <w:next w:val="Normlny"/>
    <w:link w:val="Nadpis5Char"/>
    <w:qFormat/>
    <w:rsid w:val="00B24E11"/>
    <w:pPr>
      <w:keepNext/>
      <w:suppressAutoHyphens/>
      <w:spacing w:line="288" w:lineRule="auto"/>
      <w:ind w:left="1008" w:hanging="1008"/>
      <w:outlineLvl w:val="4"/>
    </w:pPr>
    <w:rPr>
      <w:rFonts w:ascii="Arial" w:eastAsia="Times New Roman" w:hAnsi="Arial" w:cs="Times New Roman"/>
      <w:b/>
      <w:bCs/>
      <w:sz w:val="22"/>
      <w:szCs w:val="24"/>
      <w:lang w:val="x-none" w:eastAsia="ar-SA"/>
    </w:rPr>
  </w:style>
  <w:style w:type="paragraph" w:styleId="Nadpis6">
    <w:name w:val="heading 6"/>
    <w:basedOn w:val="Normlny"/>
    <w:next w:val="Normlny"/>
    <w:link w:val="Nadpis6Char"/>
    <w:qFormat/>
    <w:rsid w:val="00B24E11"/>
    <w:pPr>
      <w:keepNext/>
      <w:suppressAutoHyphens/>
      <w:spacing w:before="120" w:after="120" w:line="288" w:lineRule="auto"/>
      <w:ind w:left="1152" w:hanging="1152"/>
      <w:outlineLvl w:val="5"/>
    </w:pPr>
    <w:rPr>
      <w:rFonts w:ascii="Arial" w:eastAsia="Times New Roman" w:hAnsi="Arial" w:cs="Times New Roman"/>
      <w:bCs/>
      <w:sz w:val="22"/>
      <w:szCs w:val="24"/>
      <w:u w:val="single"/>
      <w:lang w:val="x-none" w:eastAsia="ar-SA"/>
    </w:rPr>
  </w:style>
  <w:style w:type="paragraph" w:styleId="Nadpis7">
    <w:name w:val="heading 7"/>
    <w:aliases w:val="BA Nadpis 4"/>
    <w:basedOn w:val="Normlny"/>
    <w:next w:val="Normlny"/>
    <w:link w:val="Nadpis7Char"/>
    <w:uiPriority w:val="99"/>
    <w:qFormat/>
    <w:rsid w:val="00B24E11"/>
    <w:pPr>
      <w:keepNext/>
      <w:suppressAutoHyphens/>
      <w:spacing w:before="120" w:after="120" w:line="288" w:lineRule="auto"/>
      <w:outlineLvl w:val="6"/>
    </w:pPr>
    <w:rPr>
      <w:rFonts w:ascii="Calibri" w:eastAsia="Times New Roman" w:hAnsi="Calibri" w:cs="Times New Roman"/>
      <w:b/>
      <w:sz w:val="22"/>
      <w:szCs w:val="24"/>
      <w:u w:val="single"/>
      <w:lang w:val="x-none" w:eastAsia="ar-SA"/>
    </w:rPr>
  </w:style>
  <w:style w:type="paragraph" w:styleId="Nadpis8">
    <w:name w:val="heading 8"/>
    <w:aliases w:val="BA Nadpis 5"/>
    <w:basedOn w:val="Normlny"/>
    <w:next w:val="Normlny"/>
    <w:link w:val="Nadpis8Char"/>
    <w:uiPriority w:val="99"/>
    <w:qFormat/>
    <w:rsid w:val="00B24E11"/>
    <w:pPr>
      <w:keepNext/>
      <w:suppressAutoHyphens/>
      <w:spacing w:before="120" w:after="120" w:line="288" w:lineRule="auto"/>
      <w:outlineLvl w:val="7"/>
    </w:pPr>
    <w:rPr>
      <w:rFonts w:ascii="Calibri" w:eastAsia="Times New Roman" w:hAnsi="Calibri" w:cs="Times New Roman"/>
      <w:sz w:val="22"/>
      <w:szCs w:val="24"/>
      <w:u w:val="single"/>
      <w:lang w:val="x-none" w:eastAsia="ar-SA"/>
    </w:rPr>
  </w:style>
  <w:style w:type="paragraph" w:styleId="Nadpis9">
    <w:name w:val="heading 9"/>
    <w:basedOn w:val="Normlny"/>
    <w:next w:val="Normlny"/>
    <w:link w:val="Nadpis9Char"/>
    <w:uiPriority w:val="99"/>
    <w:qFormat/>
    <w:rsid w:val="00B24E11"/>
    <w:pPr>
      <w:keepNext/>
      <w:suppressAutoHyphens/>
      <w:spacing w:before="120" w:after="120" w:line="288" w:lineRule="auto"/>
      <w:ind w:left="1584" w:hanging="1584"/>
      <w:jc w:val="center"/>
      <w:outlineLvl w:val="8"/>
    </w:pPr>
    <w:rPr>
      <w:rFonts w:ascii="Arial" w:eastAsia="Times New Roman" w:hAnsi="Arial" w:cs="Times New Roman"/>
      <w:i/>
      <w:iCs/>
      <w:sz w:val="22"/>
      <w:szCs w:val="24"/>
      <w:lang w:val="x-none" w:eastAsia="ar-SA"/>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Hlavika">
    <w:name w:val="header"/>
    <w:basedOn w:val="Normlny"/>
    <w:link w:val="HlavikaChar"/>
    <w:uiPriority w:val="99"/>
    <w:unhideWhenUsed/>
    <w:rsid w:val="0064498E"/>
    <w:pPr>
      <w:tabs>
        <w:tab w:val="center" w:pos="4536"/>
        <w:tab w:val="right" w:pos="9072"/>
      </w:tabs>
    </w:pPr>
  </w:style>
  <w:style w:type="character" w:customStyle="1" w:styleId="HlavikaChar">
    <w:name w:val="Hlavička Char"/>
    <w:basedOn w:val="Predvolenpsmoodseku"/>
    <w:link w:val="Hlavika"/>
    <w:uiPriority w:val="99"/>
    <w:rsid w:val="0064498E"/>
  </w:style>
  <w:style w:type="paragraph" w:styleId="Pta">
    <w:name w:val="footer"/>
    <w:basedOn w:val="Normlny"/>
    <w:link w:val="PtaChar"/>
    <w:uiPriority w:val="99"/>
    <w:unhideWhenUsed/>
    <w:rsid w:val="0064498E"/>
    <w:pPr>
      <w:tabs>
        <w:tab w:val="center" w:pos="4536"/>
        <w:tab w:val="right" w:pos="9072"/>
      </w:tabs>
    </w:pPr>
  </w:style>
  <w:style w:type="character" w:customStyle="1" w:styleId="PtaChar">
    <w:name w:val="Päta Char"/>
    <w:basedOn w:val="Predvolenpsmoodseku"/>
    <w:link w:val="Pta"/>
    <w:uiPriority w:val="99"/>
    <w:rsid w:val="0064498E"/>
  </w:style>
  <w:style w:type="paragraph" w:styleId="truktradokumentu">
    <w:name w:val="Document Map"/>
    <w:basedOn w:val="Normlny"/>
    <w:link w:val="truktradokumentuChar"/>
    <w:uiPriority w:val="99"/>
    <w:semiHidden/>
    <w:rsid w:val="0064498E"/>
    <w:pPr>
      <w:shd w:val="clear" w:color="auto" w:fill="000080"/>
    </w:pPr>
    <w:rPr>
      <w:rFonts w:ascii="Tahoma" w:eastAsia="Times New Roman" w:hAnsi="Tahoma" w:cs="Tahoma"/>
      <w:sz w:val="20"/>
      <w:szCs w:val="20"/>
      <w:lang w:eastAsia="sk-SK"/>
    </w:rPr>
  </w:style>
  <w:style w:type="character" w:customStyle="1" w:styleId="truktradokumentuChar">
    <w:name w:val="Štruktúra dokumentu Char"/>
    <w:basedOn w:val="Predvolenpsmoodseku"/>
    <w:link w:val="truktradokumentu"/>
    <w:uiPriority w:val="99"/>
    <w:semiHidden/>
    <w:rsid w:val="0064498E"/>
    <w:rPr>
      <w:rFonts w:ascii="Tahoma" w:eastAsia="Times New Roman" w:hAnsi="Tahoma" w:cs="Tahoma"/>
      <w:sz w:val="20"/>
      <w:szCs w:val="20"/>
      <w:shd w:val="clear" w:color="auto" w:fill="000080"/>
      <w:lang w:eastAsia="sk-SK"/>
    </w:rPr>
  </w:style>
  <w:style w:type="paragraph" w:styleId="Textbubliny">
    <w:name w:val="Balloon Text"/>
    <w:basedOn w:val="Normlny"/>
    <w:link w:val="TextbublinyChar"/>
    <w:uiPriority w:val="99"/>
    <w:semiHidden/>
    <w:unhideWhenUsed/>
    <w:rsid w:val="00877955"/>
    <w:rPr>
      <w:rFonts w:ascii="Tahoma" w:hAnsi="Tahoma" w:cs="Tahoma"/>
      <w:sz w:val="16"/>
      <w:szCs w:val="16"/>
    </w:rPr>
  </w:style>
  <w:style w:type="character" w:customStyle="1" w:styleId="TextbublinyChar">
    <w:name w:val="Text bubliny Char"/>
    <w:basedOn w:val="Predvolenpsmoodseku"/>
    <w:link w:val="Textbubliny"/>
    <w:uiPriority w:val="99"/>
    <w:semiHidden/>
    <w:rsid w:val="00877955"/>
    <w:rPr>
      <w:rFonts w:ascii="Tahoma" w:hAnsi="Tahoma" w:cs="Tahoma"/>
      <w:sz w:val="16"/>
      <w:szCs w:val="16"/>
    </w:rPr>
  </w:style>
  <w:style w:type="character" w:customStyle="1" w:styleId="Nadpis1Char">
    <w:name w:val="Nadpis 1 Char"/>
    <w:aliases w:val="BA Nadpis 1 Char,adpis 1 Char,kapitola Char"/>
    <w:basedOn w:val="Predvolenpsmoodseku"/>
    <w:link w:val="Nadpis1"/>
    <w:uiPriority w:val="1"/>
    <w:qFormat/>
    <w:rsid w:val="0058744D"/>
    <w:rPr>
      <w:rFonts w:eastAsiaTheme="majorEastAsia" w:cstheme="majorBidi"/>
      <w:b/>
      <w:bCs/>
      <w:color w:val="00B050"/>
      <w:sz w:val="28"/>
      <w:szCs w:val="28"/>
    </w:rPr>
  </w:style>
  <w:style w:type="character" w:customStyle="1" w:styleId="Nadpis2Char">
    <w:name w:val="Nadpis 2 Char"/>
    <w:aliases w:val="BA Nadpis 2 Char"/>
    <w:basedOn w:val="Predvolenpsmoodseku"/>
    <w:link w:val="Nadpis2"/>
    <w:uiPriority w:val="1"/>
    <w:qFormat/>
    <w:rsid w:val="00BB17F8"/>
    <w:rPr>
      <w:rFonts w:eastAsiaTheme="majorEastAsia" w:cstheme="majorBidi"/>
      <w:b/>
      <w:bCs/>
      <w:color w:val="4F81BD" w:themeColor="accent1"/>
      <w:sz w:val="26"/>
      <w:szCs w:val="26"/>
    </w:rPr>
  </w:style>
  <w:style w:type="character" w:customStyle="1" w:styleId="Nadpis3Char">
    <w:name w:val="Nadpis 3 Char"/>
    <w:aliases w:val="BA Nadpis 3 Char,Nadpis 3a Char,Podpodkapitola Char,Heading 3 Char,adpis 3 Char"/>
    <w:basedOn w:val="Predvolenpsmoodseku"/>
    <w:link w:val="Nadpis3"/>
    <w:uiPriority w:val="9"/>
    <w:qFormat/>
    <w:rsid w:val="00BB17F8"/>
    <w:rPr>
      <w:rFonts w:eastAsiaTheme="majorEastAsia" w:cstheme="majorBidi"/>
      <w:b/>
      <w:bCs/>
      <w:color w:val="000000" w:themeColor="text1"/>
      <w:sz w:val="24"/>
    </w:rPr>
  </w:style>
  <w:style w:type="paragraph" w:styleId="Odsekzoznamu">
    <w:name w:val="List Paragraph"/>
    <w:aliases w:val="text,body"/>
    <w:basedOn w:val="Normlny"/>
    <w:link w:val="OdsekzoznamuChar"/>
    <w:uiPriority w:val="34"/>
    <w:qFormat/>
    <w:rsid w:val="006337AE"/>
    <w:pPr>
      <w:spacing w:after="200" w:line="276" w:lineRule="auto"/>
      <w:ind w:left="720"/>
      <w:contextualSpacing/>
      <w:jc w:val="left"/>
    </w:pPr>
    <w:rPr>
      <w:sz w:val="22"/>
    </w:rPr>
  </w:style>
  <w:style w:type="character" w:customStyle="1" w:styleId="Nadpis4Char">
    <w:name w:val="Nadpis 4 Char"/>
    <w:aliases w:val="Fourth level Char3,T4 Char Char2,T4 Char3,Fourth level Char Char2,Titul2 Char2,Titul21 Char2,Titul22 Char2,Titul23 Char2,Titul24 Char2,Titul25 Char2,Titul26 Char2,Titul211 Char2,Titul221 Char2,Titul231 Char2,Titul27 Char1,Titul212 Char"/>
    <w:basedOn w:val="Predvolenpsmoodseku"/>
    <w:link w:val="Nadpis4"/>
    <w:uiPriority w:val="9"/>
    <w:qFormat/>
    <w:rsid w:val="00BB17F8"/>
    <w:rPr>
      <w:rFonts w:eastAsiaTheme="majorEastAsia" w:cstheme="majorBidi"/>
      <w:b/>
      <w:bCs/>
      <w:i/>
      <w:iCs/>
      <w:sz w:val="24"/>
    </w:rPr>
  </w:style>
  <w:style w:type="paragraph" w:styleId="Normlnysozarkami">
    <w:name w:val="Normal Indent"/>
    <w:basedOn w:val="Normlny"/>
    <w:rsid w:val="00870ED9"/>
    <w:pPr>
      <w:overflowPunct w:val="0"/>
      <w:autoSpaceDE w:val="0"/>
      <w:autoSpaceDN w:val="0"/>
      <w:adjustRightInd w:val="0"/>
      <w:ind w:left="708"/>
      <w:jc w:val="left"/>
      <w:textAlignment w:val="baseline"/>
    </w:pPr>
    <w:rPr>
      <w:rFonts w:ascii="Times New Roman" w:eastAsia="Times New Roman" w:hAnsi="Times New Roman" w:cs="Times New Roman"/>
      <w:szCs w:val="20"/>
      <w:lang w:eastAsia="cs-CZ"/>
    </w:rPr>
  </w:style>
  <w:style w:type="paragraph" w:styleId="Obsah1">
    <w:name w:val="toc 1"/>
    <w:basedOn w:val="Normlny"/>
    <w:next w:val="Normlny"/>
    <w:autoRedefine/>
    <w:uiPriority w:val="39"/>
    <w:unhideWhenUsed/>
    <w:rsid w:val="00854764"/>
    <w:pPr>
      <w:tabs>
        <w:tab w:val="left" w:pos="480"/>
        <w:tab w:val="right" w:leader="dot" w:pos="9061"/>
      </w:tabs>
      <w:spacing w:after="100"/>
    </w:pPr>
    <w:rPr>
      <w:b/>
      <w:noProof/>
      <w:sz w:val="22"/>
    </w:rPr>
  </w:style>
  <w:style w:type="paragraph" w:styleId="Obsah2">
    <w:name w:val="toc 2"/>
    <w:basedOn w:val="Normlny"/>
    <w:next w:val="Normlny"/>
    <w:autoRedefine/>
    <w:uiPriority w:val="39"/>
    <w:unhideWhenUsed/>
    <w:rsid w:val="00A216D4"/>
    <w:pPr>
      <w:spacing w:after="100"/>
      <w:ind w:left="240"/>
    </w:pPr>
  </w:style>
  <w:style w:type="paragraph" w:styleId="Obsah3">
    <w:name w:val="toc 3"/>
    <w:basedOn w:val="Normlny"/>
    <w:next w:val="Normlny"/>
    <w:autoRedefine/>
    <w:uiPriority w:val="39"/>
    <w:unhideWhenUsed/>
    <w:rsid w:val="00A216D4"/>
    <w:pPr>
      <w:spacing w:after="100"/>
      <w:ind w:left="480"/>
    </w:pPr>
  </w:style>
  <w:style w:type="paragraph" w:styleId="Obsah4">
    <w:name w:val="toc 4"/>
    <w:basedOn w:val="Normlny"/>
    <w:next w:val="Normlny"/>
    <w:autoRedefine/>
    <w:uiPriority w:val="39"/>
    <w:unhideWhenUsed/>
    <w:rsid w:val="00A216D4"/>
    <w:pPr>
      <w:spacing w:after="100"/>
      <w:ind w:left="720"/>
    </w:pPr>
  </w:style>
  <w:style w:type="character" w:styleId="Hypertextovprepojenie">
    <w:name w:val="Hyperlink"/>
    <w:basedOn w:val="Predvolenpsmoodseku"/>
    <w:uiPriority w:val="99"/>
    <w:unhideWhenUsed/>
    <w:rsid w:val="00A216D4"/>
    <w:rPr>
      <w:color w:val="0000FF" w:themeColor="hyperlink"/>
      <w:u w:val="single"/>
    </w:rPr>
  </w:style>
  <w:style w:type="table" w:styleId="Mriekatabuky">
    <w:name w:val="Table Grid"/>
    <w:basedOn w:val="Normlnatabuka"/>
    <w:uiPriority w:val="39"/>
    <w:rsid w:val="00D2502F"/>
    <w:pPr>
      <w:spacing w:after="0" w:line="240" w:lineRule="auto"/>
    </w:pPr>
    <w:rPr>
      <w:lang w:val="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zia">
    <w:name w:val="Revision"/>
    <w:hidden/>
    <w:uiPriority w:val="99"/>
    <w:semiHidden/>
    <w:qFormat/>
    <w:rsid w:val="00281E15"/>
    <w:pPr>
      <w:spacing w:after="0" w:line="240" w:lineRule="auto"/>
    </w:pPr>
    <w:rPr>
      <w:sz w:val="24"/>
    </w:rPr>
  </w:style>
  <w:style w:type="paragraph" w:styleId="Zarkazkladnhotextu">
    <w:name w:val="Body Text Indent"/>
    <w:basedOn w:val="Normlny"/>
    <w:link w:val="ZarkazkladnhotextuChar"/>
    <w:uiPriority w:val="99"/>
    <w:rsid w:val="00CD4483"/>
    <w:pPr>
      <w:overflowPunct w:val="0"/>
      <w:autoSpaceDE w:val="0"/>
      <w:autoSpaceDN w:val="0"/>
      <w:adjustRightInd w:val="0"/>
      <w:spacing w:after="120"/>
      <w:ind w:left="283"/>
      <w:jc w:val="left"/>
      <w:textAlignment w:val="baseline"/>
    </w:pPr>
    <w:rPr>
      <w:rFonts w:ascii="Times New Roman" w:eastAsia="Times New Roman" w:hAnsi="Times New Roman" w:cs="Times New Roman"/>
      <w:szCs w:val="20"/>
      <w:lang w:eastAsia="cs-CZ"/>
    </w:rPr>
  </w:style>
  <w:style w:type="character" w:customStyle="1" w:styleId="ZarkazkladnhotextuChar">
    <w:name w:val="Zarážka základného textu Char"/>
    <w:basedOn w:val="Predvolenpsmoodseku"/>
    <w:link w:val="Zarkazkladnhotextu"/>
    <w:uiPriority w:val="99"/>
    <w:rsid w:val="00CD4483"/>
    <w:rPr>
      <w:rFonts w:ascii="Times New Roman" w:eastAsia="Times New Roman" w:hAnsi="Times New Roman" w:cs="Times New Roman"/>
      <w:sz w:val="24"/>
      <w:szCs w:val="20"/>
      <w:lang w:eastAsia="cs-CZ"/>
    </w:rPr>
  </w:style>
  <w:style w:type="character" w:customStyle="1" w:styleId="OdsekzoznamuChar">
    <w:name w:val="Odsek zoznamu Char"/>
    <w:aliases w:val="text Char,body Char"/>
    <w:link w:val="Odsekzoznamu"/>
    <w:uiPriority w:val="34"/>
    <w:qFormat/>
    <w:locked/>
    <w:rsid w:val="00E03380"/>
  </w:style>
  <w:style w:type="character" w:customStyle="1" w:styleId="tlid-translation">
    <w:name w:val="tlid-translation"/>
    <w:basedOn w:val="Predvolenpsmoodseku"/>
    <w:rsid w:val="00E03380"/>
  </w:style>
  <w:style w:type="character" w:styleId="Odkaznapoznmkupodiarou">
    <w:name w:val="footnote reference"/>
    <w:uiPriority w:val="99"/>
    <w:rsid w:val="00E03380"/>
    <w:rPr>
      <w:rFonts w:ascii="Arial" w:hAnsi="Arial" w:cs="Times New Roman"/>
      <w:sz w:val="16"/>
      <w:vertAlign w:val="superscript"/>
    </w:rPr>
  </w:style>
  <w:style w:type="paragraph" w:styleId="Textpoznmkypodiarou">
    <w:name w:val="footnote text"/>
    <w:aliases w:val="Text poznámky pod čiarou 007,_Poznámka pod čiarou"/>
    <w:basedOn w:val="Normlny"/>
    <w:link w:val="TextpoznmkypodiarouChar"/>
    <w:uiPriority w:val="99"/>
    <w:rsid w:val="00E03380"/>
    <w:pPr>
      <w:spacing w:line="276" w:lineRule="auto"/>
    </w:pPr>
    <w:rPr>
      <w:rFonts w:ascii="Arial" w:eastAsia="Times New Roman" w:hAnsi="Arial" w:cs="Times New Roman"/>
      <w:sz w:val="16"/>
      <w:szCs w:val="20"/>
      <w:lang w:eastAsia="cs-CZ"/>
    </w:rPr>
  </w:style>
  <w:style w:type="character" w:customStyle="1" w:styleId="TextpoznmkypodiarouChar">
    <w:name w:val="Text poznámky pod čiarou Char"/>
    <w:aliases w:val="Text poznámky pod čiarou 007 Char,_Poznámka pod čiarou Char"/>
    <w:basedOn w:val="Predvolenpsmoodseku"/>
    <w:link w:val="Textpoznmkypodiarou"/>
    <w:uiPriority w:val="99"/>
    <w:rsid w:val="00E03380"/>
    <w:rPr>
      <w:rFonts w:ascii="Arial" w:eastAsia="Times New Roman" w:hAnsi="Arial" w:cs="Times New Roman"/>
      <w:sz w:val="16"/>
      <w:szCs w:val="20"/>
      <w:lang w:eastAsia="cs-CZ"/>
    </w:rPr>
  </w:style>
  <w:style w:type="character" w:customStyle="1" w:styleId="Nadpis5Char">
    <w:name w:val="Nadpis 5 Char"/>
    <w:basedOn w:val="Predvolenpsmoodseku"/>
    <w:link w:val="Nadpis5"/>
    <w:uiPriority w:val="9"/>
    <w:qFormat/>
    <w:rsid w:val="00B24E11"/>
    <w:rPr>
      <w:rFonts w:ascii="Arial" w:eastAsia="Times New Roman" w:hAnsi="Arial" w:cs="Times New Roman"/>
      <w:b/>
      <w:bCs/>
      <w:szCs w:val="24"/>
      <w:lang w:val="x-none" w:eastAsia="ar-SA"/>
    </w:rPr>
  </w:style>
  <w:style w:type="character" w:customStyle="1" w:styleId="Nadpis6Char">
    <w:name w:val="Nadpis 6 Char"/>
    <w:basedOn w:val="Predvolenpsmoodseku"/>
    <w:link w:val="Nadpis6"/>
    <w:uiPriority w:val="9"/>
    <w:qFormat/>
    <w:rsid w:val="00B24E11"/>
    <w:rPr>
      <w:rFonts w:ascii="Arial" w:eastAsia="Times New Roman" w:hAnsi="Arial" w:cs="Times New Roman"/>
      <w:bCs/>
      <w:szCs w:val="24"/>
      <w:u w:val="single"/>
      <w:lang w:val="x-none" w:eastAsia="ar-SA"/>
    </w:rPr>
  </w:style>
  <w:style w:type="character" w:customStyle="1" w:styleId="Nadpis7Char">
    <w:name w:val="Nadpis 7 Char"/>
    <w:aliases w:val="BA Nadpis 4 Char"/>
    <w:basedOn w:val="Predvolenpsmoodseku"/>
    <w:link w:val="Nadpis7"/>
    <w:uiPriority w:val="9"/>
    <w:qFormat/>
    <w:rsid w:val="00B24E11"/>
    <w:rPr>
      <w:rFonts w:ascii="Calibri" w:eastAsia="Times New Roman" w:hAnsi="Calibri" w:cs="Times New Roman"/>
      <w:b/>
      <w:szCs w:val="24"/>
      <w:u w:val="single"/>
      <w:lang w:val="x-none" w:eastAsia="ar-SA"/>
    </w:rPr>
  </w:style>
  <w:style w:type="character" w:customStyle="1" w:styleId="Nadpis8Char">
    <w:name w:val="Nadpis 8 Char"/>
    <w:aliases w:val="BA Nadpis 5 Char"/>
    <w:basedOn w:val="Predvolenpsmoodseku"/>
    <w:link w:val="Nadpis8"/>
    <w:uiPriority w:val="9"/>
    <w:qFormat/>
    <w:rsid w:val="00B24E11"/>
    <w:rPr>
      <w:rFonts w:ascii="Calibri" w:eastAsia="Times New Roman" w:hAnsi="Calibri" w:cs="Times New Roman"/>
      <w:szCs w:val="24"/>
      <w:u w:val="single"/>
      <w:lang w:val="x-none" w:eastAsia="ar-SA"/>
    </w:rPr>
  </w:style>
  <w:style w:type="character" w:customStyle="1" w:styleId="Nadpis9Char">
    <w:name w:val="Nadpis 9 Char"/>
    <w:basedOn w:val="Predvolenpsmoodseku"/>
    <w:link w:val="Nadpis9"/>
    <w:uiPriority w:val="9"/>
    <w:qFormat/>
    <w:rsid w:val="00B24E11"/>
    <w:rPr>
      <w:rFonts w:ascii="Arial" w:eastAsia="Times New Roman" w:hAnsi="Arial" w:cs="Times New Roman"/>
      <w:i/>
      <w:iCs/>
      <w:szCs w:val="24"/>
      <w:lang w:val="x-none" w:eastAsia="ar-SA"/>
    </w:rPr>
  </w:style>
  <w:style w:type="character" w:customStyle="1" w:styleId="Nadpis4Char2">
    <w:name w:val="Nadpis 4 Char2"/>
    <w:aliases w:val="Fourth level Char2,T4 Char Char1,T4 Char2,Nadpis 4 Char Char1,Fourth level Char Char1,Titul2 Char1,Titul21 Char1,Titul22 Char1,Titul23 Char1,Titul24 Char1,Titul25 Char1,Titul26 Char1,Titul211 Char1,Titul221 Char1,Titul231 Char1"/>
    <w:uiPriority w:val="9"/>
    <w:rsid w:val="00B24E11"/>
    <w:rPr>
      <w:rFonts w:ascii="Arial" w:hAnsi="Arial"/>
      <w:b/>
      <w:bCs/>
      <w:i/>
      <w:sz w:val="22"/>
      <w:szCs w:val="28"/>
      <w:lang w:val="x-none" w:eastAsia="x-none"/>
    </w:rPr>
  </w:style>
  <w:style w:type="character" w:customStyle="1" w:styleId="WW8Num1z0">
    <w:name w:val="WW8Num1z0"/>
    <w:rsid w:val="00B24E11"/>
    <w:rPr>
      <w:rFonts w:ascii="Symbol" w:hAnsi="Symbol"/>
    </w:rPr>
  </w:style>
  <w:style w:type="character" w:customStyle="1" w:styleId="WW8Num2z0">
    <w:name w:val="WW8Num2z0"/>
    <w:rsid w:val="00B24E11"/>
    <w:rPr>
      <w:b/>
      <w:i w:val="0"/>
    </w:rPr>
  </w:style>
  <w:style w:type="character" w:customStyle="1" w:styleId="WW8Num6z0">
    <w:name w:val="WW8Num6z0"/>
    <w:rsid w:val="00B24E11"/>
    <w:rPr>
      <w:rFonts w:ascii="Symbol" w:hAnsi="Symbol"/>
    </w:rPr>
  </w:style>
  <w:style w:type="character" w:customStyle="1" w:styleId="WW8Num7z0">
    <w:name w:val="WW8Num7z0"/>
    <w:rsid w:val="00B24E11"/>
    <w:rPr>
      <w:rFonts w:ascii="Wingdings" w:hAnsi="Wingdings"/>
    </w:rPr>
  </w:style>
  <w:style w:type="character" w:customStyle="1" w:styleId="WW8Num8z0">
    <w:name w:val="WW8Num8z0"/>
    <w:rsid w:val="00B24E11"/>
    <w:rPr>
      <w:rFonts w:ascii="Symbol" w:hAnsi="Symbol"/>
    </w:rPr>
  </w:style>
  <w:style w:type="character" w:customStyle="1" w:styleId="WW8Num9z0">
    <w:name w:val="WW8Num9z0"/>
    <w:rsid w:val="00B24E11"/>
    <w:rPr>
      <w:rFonts w:ascii="Times New Roman" w:hAnsi="Times New Roman"/>
    </w:rPr>
  </w:style>
  <w:style w:type="character" w:customStyle="1" w:styleId="WW8Num11z0">
    <w:name w:val="WW8Num11z0"/>
    <w:rsid w:val="00B24E11"/>
    <w:rPr>
      <w:b w:val="0"/>
      <w:i w:val="0"/>
      <w:sz w:val="24"/>
    </w:rPr>
  </w:style>
  <w:style w:type="character" w:customStyle="1" w:styleId="WW8Num12z0">
    <w:name w:val="WW8Num12z0"/>
    <w:rsid w:val="00B24E11"/>
    <w:rPr>
      <w:rFonts w:ascii="Wingdings" w:hAnsi="Wingdings"/>
    </w:rPr>
  </w:style>
  <w:style w:type="character" w:customStyle="1" w:styleId="WW8Num13z0">
    <w:name w:val="WW8Num13z0"/>
    <w:rsid w:val="00B24E11"/>
    <w:rPr>
      <w:rFonts w:ascii="Symbol" w:hAnsi="Symbol"/>
    </w:rPr>
  </w:style>
  <w:style w:type="character" w:customStyle="1" w:styleId="WW8Num14z0">
    <w:name w:val="WW8Num14z0"/>
    <w:rsid w:val="00B24E11"/>
    <w:rPr>
      <w:u w:val="single"/>
    </w:rPr>
  </w:style>
  <w:style w:type="character" w:customStyle="1" w:styleId="WW8Num15z0">
    <w:name w:val="WW8Num15z0"/>
    <w:rsid w:val="00B24E11"/>
    <w:rPr>
      <w:rFonts w:ascii="Times New Roman" w:eastAsia="Times New Roman" w:hAnsi="Times New Roman" w:cs="Times New Roman"/>
    </w:rPr>
  </w:style>
  <w:style w:type="character" w:customStyle="1" w:styleId="WW8Num15z1">
    <w:name w:val="WW8Num15z1"/>
    <w:rsid w:val="00B24E11"/>
    <w:rPr>
      <w:rFonts w:ascii="Courier New" w:hAnsi="Courier New"/>
    </w:rPr>
  </w:style>
  <w:style w:type="character" w:customStyle="1" w:styleId="WW8Num15z2">
    <w:name w:val="WW8Num15z2"/>
    <w:rsid w:val="00B24E11"/>
    <w:rPr>
      <w:rFonts w:ascii="Wingdings" w:hAnsi="Wingdings"/>
    </w:rPr>
  </w:style>
  <w:style w:type="character" w:customStyle="1" w:styleId="WW8Num15z3">
    <w:name w:val="WW8Num15z3"/>
    <w:rsid w:val="00B24E11"/>
    <w:rPr>
      <w:rFonts w:ascii="Symbol" w:hAnsi="Symbol"/>
    </w:rPr>
  </w:style>
  <w:style w:type="character" w:customStyle="1" w:styleId="WW8Num16z0">
    <w:name w:val="WW8Num16z0"/>
    <w:rsid w:val="00B24E11"/>
    <w:rPr>
      <w:rFonts w:ascii="Symbol" w:hAnsi="Symbol"/>
    </w:rPr>
  </w:style>
  <w:style w:type="character" w:customStyle="1" w:styleId="WW8Num17z0">
    <w:name w:val="WW8Num17z0"/>
    <w:rsid w:val="00B24E11"/>
    <w:rPr>
      <w:rFonts w:ascii="Symbol" w:hAnsi="Symbol"/>
      <w:color w:val="auto"/>
      <w:sz w:val="16"/>
    </w:rPr>
  </w:style>
  <w:style w:type="character" w:customStyle="1" w:styleId="WW8Num17z1">
    <w:name w:val="WW8Num17z1"/>
    <w:rsid w:val="00B24E11"/>
    <w:rPr>
      <w:rFonts w:ascii="Courier New" w:hAnsi="Courier New"/>
    </w:rPr>
  </w:style>
  <w:style w:type="character" w:customStyle="1" w:styleId="WW8Num17z2">
    <w:name w:val="WW8Num17z2"/>
    <w:rsid w:val="00B24E11"/>
    <w:rPr>
      <w:rFonts w:ascii="Wingdings" w:hAnsi="Wingdings"/>
    </w:rPr>
  </w:style>
  <w:style w:type="character" w:customStyle="1" w:styleId="WW8Num17z3">
    <w:name w:val="WW8Num17z3"/>
    <w:rsid w:val="00B24E11"/>
    <w:rPr>
      <w:rFonts w:ascii="Symbol" w:hAnsi="Symbol"/>
    </w:rPr>
  </w:style>
  <w:style w:type="character" w:customStyle="1" w:styleId="WW8Num18z0">
    <w:name w:val="WW8Num18z0"/>
    <w:rsid w:val="00B24E11"/>
    <w:rPr>
      <w:rFonts w:ascii="Symbol" w:hAnsi="Symbol"/>
      <w:sz w:val="10"/>
    </w:rPr>
  </w:style>
  <w:style w:type="character" w:customStyle="1" w:styleId="WW8Num18z1">
    <w:name w:val="WW8Num18z1"/>
    <w:rsid w:val="00B24E11"/>
    <w:rPr>
      <w:rFonts w:ascii="Wingdings" w:hAnsi="Wingdings"/>
    </w:rPr>
  </w:style>
  <w:style w:type="character" w:customStyle="1" w:styleId="WW8Num18z3">
    <w:name w:val="WW8Num18z3"/>
    <w:rsid w:val="00B24E11"/>
    <w:rPr>
      <w:rFonts w:ascii="Symbol" w:hAnsi="Symbol"/>
    </w:rPr>
  </w:style>
  <w:style w:type="character" w:customStyle="1" w:styleId="WW8Num18z4">
    <w:name w:val="WW8Num18z4"/>
    <w:rsid w:val="00B24E11"/>
    <w:rPr>
      <w:rFonts w:ascii="Courier New" w:hAnsi="Courier New"/>
    </w:rPr>
  </w:style>
  <w:style w:type="character" w:customStyle="1" w:styleId="WW8Num19z0">
    <w:name w:val="WW8Num19z0"/>
    <w:rsid w:val="00B24E11"/>
    <w:rPr>
      <w:rFonts w:ascii="Symbol" w:hAnsi="Symbol"/>
    </w:rPr>
  </w:style>
  <w:style w:type="character" w:customStyle="1" w:styleId="WW8Num21z0">
    <w:name w:val="WW8Num21z0"/>
    <w:rsid w:val="00B24E11"/>
    <w:rPr>
      <w:rFonts w:ascii="Arial" w:hAnsi="Arial"/>
    </w:rPr>
  </w:style>
  <w:style w:type="character" w:customStyle="1" w:styleId="WW8Num22z0">
    <w:name w:val="WW8Num22z0"/>
    <w:rsid w:val="00B24E11"/>
    <w:rPr>
      <w:rFonts w:ascii="Symbol" w:hAnsi="Symbol"/>
    </w:rPr>
  </w:style>
  <w:style w:type="character" w:customStyle="1" w:styleId="WW8Num23z0">
    <w:name w:val="WW8Num23z0"/>
    <w:rsid w:val="00B24E11"/>
    <w:rPr>
      <w:rFonts w:ascii="Symbol" w:hAnsi="Symbol"/>
      <w:color w:val="auto"/>
    </w:rPr>
  </w:style>
  <w:style w:type="character" w:customStyle="1" w:styleId="WW8Num24z0">
    <w:name w:val="WW8Num24z0"/>
    <w:rsid w:val="00B24E11"/>
    <w:rPr>
      <w:rFonts w:ascii="Symbol" w:hAnsi="Symbol"/>
    </w:rPr>
  </w:style>
  <w:style w:type="character" w:customStyle="1" w:styleId="WW8Num26z0">
    <w:name w:val="WW8Num26z0"/>
    <w:rsid w:val="00B24E11"/>
    <w:rPr>
      <w:rFonts w:ascii="Wingdings" w:hAnsi="Wingdings"/>
    </w:rPr>
  </w:style>
  <w:style w:type="character" w:customStyle="1" w:styleId="WW8Num28z0">
    <w:name w:val="WW8Num28z0"/>
    <w:rsid w:val="00B24E11"/>
    <w:rPr>
      <w:rFonts w:ascii="Wingdings" w:hAnsi="Wingdings"/>
    </w:rPr>
  </w:style>
  <w:style w:type="character" w:customStyle="1" w:styleId="WW8Num29z0">
    <w:name w:val="WW8Num29z0"/>
    <w:rsid w:val="00B24E11"/>
    <w:rPr>
      <w:rFonts w:ascii="Wingdings" w:hAnsi="Wingdings"/>
    </w:rPr>
  </w:style>
  <w:style w:type="character" w:customStyle="1" w:styleId="WW8Num30z0">
    <w:name w:val="WW8Num30z0"/>
    <w:rsid w:val="00B24E11"/>
    <w:rPr>
      <w:rFonts w:ascii="Symbol" w:hAnsi="Symbol"/>
      <w:color w:val="auto"/>
      <w:sz w:val="16"/>
    </w:rPr>
  </w:style>
  <w:style w:type="character" w:customStyle="1" w:styleId="WW8Num30z1">
    <w:name w:val="WW8Num30z1"/>
    <w:rsid w:val="00B24E11"/>
    <w:rPr>
      <w:rFonts w:ascii="Courier New" w:hAnsi="Courier New"/>
    </w:rPr>
  </w:style>
  <w:style w:type="character" w:customStyle="1" w:styleId="WW8Num30z2">
    <w:name w:val="WW8Num30z2"/>
    <w:rsid w:val="00B24E11"/>
    <w:rPr>
      <w:rFonts w:ascii="Wingdings" w:hAnsi="Wingdings"/>
    </w:rPr>
  </w:style>
  <w:style w:type="character" w:customStyle="1" w:styleId="WW8Num30z3">
    <w:name w:val="WW8Num30z3"/>
    <w:rsid w:val="00B24E11"/>
    <w:rPr>
      <w:rFonts w:ascii="Symbol" w:hAnsi="Symbol"/>
    </w:rPr>
  </w:style>
  <w:style w:type="character" w:customStyle="1" w:styleId="WW8Num31z0">
    <w:name w:val="WW8Num31z0"/>
    <w:rsid w:val="00B24E11"/>
    <w:rPr>
      <w:rFonts w:ascii="Times New Roman" w:hAnsi="Times New Roman"/>
    </w:rPr>
  </w:style>
  <w:style w:type="character" w:customStyle="1" w:styleId="WW8Num32z0">
    <w:name w:val="WW8Num32z0"/>
    <w:rsid w:val="00B24E11"/>
    <w:rPr>
      <w:rFonts w:ascii="Symbol" w:hAnsi="Symbol"/>
    </w:rPr>
  </w:style>
  <w:style w:type="character" w:customStyle="1" w:styleId="WW8Num32z1">
    <w:name w:val="WW8Num32z1"/>
    <w:rsid w:val="00B24E11"/>
    <w:rPr>
      <w:rFonts w:ascii="Courier New" w:hAnsi="Courier New"/>
    </w:rPr>
  </w:style>
  <w:style w:type="character" w:customStyle="1" w:styleId="WW8Num32z2">
    <w:name w:val="WW8Num32z2"/>
    <w:rsid w:val="00B24E11"/>
    <w:rPr>
      <w:rFonts w:ascii="Wingdings" w:hAnsi="Wingdings"/>
    </w:rPr>
  </w:style>
  <w:style w:type="character" w:customStyle="1" w:styleId="WW8Num33z0">
    <w:name w:val="WW8Num33z0"/>
    <w:rsid w:val="00B24E11"/>
    <w:rPr>
      <w:rFonts w:ascii="Times New Roman" w:hAnsi="Times New Roman"/>
    </w:rPr>
  </w:style>
  <w:style w:type="character" w:customStyle="1" w:styleId="WW8Num34z0">
    <w:name w:val="WW8Num34z0"/>
    <w:rsid w:val="00B24E11"/>
    <w:rPr>
      <w:rFonts w:ascii="Monotype Sorts" w:hAnsi="Monotype Sorts"/>
    </w:rPr>
  </w:style>
  <w:style w:type="character" w:customStyle="1" w:styleId="WW8Num35z0">
    <w:name w:val="WW8Num35z0"/>
    <w:rsid w:val="00B24E11"/>
    <w:rPr>
      <w:rFonts w:ascii="Wingdings" w:hAnsi="Wingdings"/>
    </w:rPr>
  </w:style>
  <w:style w:type="character" w:customStyle="1" w:styleId="WW8Num36z0">
    <w:name w:val="WW8Num36z0"/>
    <w:rsid w:val="00B24E11"/>
    <w:rPr>
      <w:rFonts w:ascii="Symbol" w:hAnsi="Symbol"/>
    </w:rPr>
  </w:style>
  <w:style w:type="character" w:customStyle="1" w:styleId="WW8Num37z0">
    <w:name w:val="WW8Num37z0"/>
    <w:rsid w:val="00B24E11"/>
    <w:rPr>
      <w:rFonts w:ascii="Symbol" w:hAnsi="Symbol"/>
      <w:color w:val="auto"/>
      <w:sz w:val="16"/>
    </w:rPr>
  </w:style>
  <w:style w:type="character" w:customStyle="1" w:styleId="WW8Num37z1">
    <w:name w:val="WW8Num37z1"/>
    <w:rsid w:val="00B24E11"/>
    <w:rPr>
      <w:rFonts w:ascii="Courier New" w:hAnsi="Courier New"/>
    </w:rPr>
  </w:style>
  <w:style w:type="character" w:customStyle="1" w:styleId="WW8Num37z2">
    <w:name w:val="WW8Num37z2"/>
    <w:rsid w:val="00B24E11"/>
    <w:rPr>
      <w:rFonts w:ascii="Wingdings" w:hAnsi="Wingdings"/>
    </w:rPr>
  </w:style>
  <w:style w:type="character" w:customStyle="1" w:styleId="WW8Num37z3">
    <w:name w:val="WW8Num37z3"/>
    <w:rsid w:val="00B24E11"/>
    <w:rPr>
      <w:rFonts w:ascii="Symbol" w:hAnsi="Symbol"/>
    </w:rPr>
  </w:style>
  <w:style w:type="character" w:customStyle="1" w:styleId="WW8Num38z0">
    <w:name w:val="WW8Num38z0"/>
    <w:rsid w:val="00B24E11"/>
    <w:rPr>
      <w:rFonts w:ascii="Symbol" w:hAnsi="Symbol"/>
      <w:sz w:val="20"/>
    </w:rPr>
  </w:style>
  <w:style w:type="character" w:customStyle="1" w:styleId="WW8Num38z1">
    <w:name w:val="WW8Num38z1"/>
    <w:rsid w:val="00B24E11"/>
    <w:rPr>
      <w:rFonts w:ascii="Courier New" w:hAnsi="Courier New"/>
    </w:rPr>
  </w:style>
  <w:style w:type="character" w:customStyle="1" w:styleId="WW8Num38z2">
    <w:name w:val="WW8Num38z2"/>
    <w:rsid w:val="00B24E11"/>
    <w:rPr>
      <w:rFonts w:ascii="Wingdings" w:hAnsi="Wingdings"/>
    </w:rPr>
  </w:style>
  <w:style w:type="character" w:customStyle="1" w:styleId="WW8Num38z3">
    <w:name w:val="WW8Num38z3"/>
    <w:rsid w:val="00B24E11"/>
    <w:rPr>
      <w:rFonts w:ascii="Symbol" w:hAnsi="Symbol"/>
    </w:rPr>
  </w:style>
  <w:style w:type="character" w:customStyle="1" w:styleId="WW8Num40z0">
    <w:name w:val="WW8Num40z0"/>
    <w:rsid w:val="00B24E11"/>
    <w:rPr>
      <w:rFonts w:ascii="Symbol" w:hAnsi="Symbol"/>
      <w:color w:val="auto"/>
      <w:sz w:val="16"/>
    </w:rPr>
  </w:style>
  <w:style w:type="character" w:customStyle="1" w:styleId="WW8Num40z1">
    <w:name w:val="WW8Num40z1"/>
    <w:rsid w:val="00B24E11"/>
    <w:rPr>
      <w:rFonts w:ascii="Courier New" w:hAnsi="Courier New"/>
    </w:rPr>
  </w:style>
  <w:style w:type="character" w:customStyle="1" w:styleId="WW8Num40z2">
    <w:name w:val="WW8Num40z2"/>
    <w:rsid w:val="00B24E11"/>
    <w:rPr>
      <w:rFonts w:ascii="Wingdings" w:hAnsi="Wingdings"/>
    </w:rPr>
  </w:style>
  <w:style w:type="character" w:customStyle="1" w:styleId="WW8Num40z3">
    <w:name w:val="WW8Num40z3"/>
    <w:rsid w:val="00B24E11"/>
    <w:rPr>
      <w:rFonts w:ascii="Symbol" w:hAnsi="Symbol"/>
    </w:rPr>
  </w:style>
  <w:style w:type="character" w:customStyle="1" w:styleId="WW8Num41z0">
    <w:name w:val="WW8Num41z0"/>
    <w:rsid w:val="00B24E11"/>
    <w:rPr>
      <w:rFonts w:ascii="Symbol" w:hAnsi="Symbol"/>
    </w:rPr>
  </w:style>
  <w:style w:type="character" w:customStyle="1" w:styleId="WW8Num42z0">
    <w:name w:val="WW8Num42z0"/>
    <w:rsid w:val="00B24E11"/>
    <w:rPr>
      <w:rFonts w:ascii="Times New Roman" w:hAnsi="Times New Roman"/>
      <w:color w:val="auto"/>
    </w:rPr>
  </w:style>
  <w:style w:type="character" w:customStyle="1" w:styleId="WW8Num43z0">
    <w:name w:val="WW8Num43z0"/>
    <w:rsid w:val="00B24E11"/>
    <w:rPr>
      <w:rFonts w:ascii="Symbol" w:hAnsi="Symbol"/>
    </w:rPr>
  </w:style>
  <w:style w:type="character" w:customStyle="1" w:styleId="WW8Num45z0">
    <w:name w:val="WW8Num45z0"/>
    <w:rsid w:val="00B24E11"/>
    <w:rPr>
      <w:rFonts w:ascii="Times New Roman" w:hAnsi="Times New Roman"/>
      <w:b w:val="0"/>
      <w:i w:val="0"/>
      <w:sz w:val="24"/>
      <w:u w:val="none"/>
    </w:rPr>
  </w:style>
  <w:style w:type="character" w:customStyle="1" w:styleId="WW8Num46z0">
    <w:name w:val="WW8Num46z0"/>
    <w:rsid w:val="00B24E11"/>
    <w:rPr>
      <w:rFonts w:ascii="Times New Roman" w:hAnsi="Times New Roman"/>
    </w:rPr>
  </w:style>
  <w:style w:type="character" w:customStyle="1" w:styleId="WW8Num47z0">
    <w:name w:val="WW8Num47z0"/>
    <w:rsid w:val="00B24E11"/>
    <w:rPr>
      <w:rFonts w:ascii="Times New Roman" w:hAnsi="Times New Roman"/>
    </w:rPr>
  </w:style>
  <w:style w:type="character" w:customStyle="1" w:styleId="WW8Num48z0">
    <w:name w:val="WW8Num48z0"/>
    <w:rsid w:val="00B24E11"/>
    <w:rPr>
      <w:rFonts w:ascii="Symbol" w:hAnsi="Symbol"/>
      <w:sz w:val="18"/>
    </w:rPr>
  </w:style>
  <w:style w:type="character" w:customStyle="1" w:styleId="WW8Num48z1">
    <w:name w:val="WW8Num48z1"/>
    <w:rsid w:val="00B24E11"/>
    <w:rPr>
      <w:rFonts w:ascii="Courier New" w:hAnsi="Courier New" w:cs="Courier New"/>
    </w:rPr>
  </w:style>
  <w:style w:type="character" w:customStyle="1" w:styleId="WW8Num48z2">
    <w:name w:val="WW8Num48z2"/>
    <w:rsid w:val="00B24E11"/>
    <w:rPr>
      <w:rFonts w:ascii="Wingdings" w:hAnsi="Wingdings" w:cs="Times New Roman"/>
    </w:rPr>
  </w:style>
  <w:style w:type="character" w:customStyle="1" w:styleId="WW8Num48z3">
    <w:name w:val="WW8Num48z3"/>
    <w:rsid w:val="00B24E11"/>
    <w:rPr>
      <w:rFonts w:ascii="Symbol" w:hAnsi="Symbol" w:cs="Times New Roman"/>
    </w:rPr>
  </w:style>
  <w:style w:type="character" w:customStyle="1" w:styleId="WW8Num49z0">
    <w:name w:val="WW8Num49z0"/>
    <w:rsid w:val="00B24E11"/>
    <w:rPr>
      <w:rFonts w:ascii="Wingdings" w:hAnsi="Wingdings"/>
    </w:rPr>
  </w:style>
  <w:style w:type="character" w:customStyle="1" w:styleId="WW8Num50z2">
    <w:name w:val="WW8Num50z2"/>
    <w:rsid w:val="00B24E11"/>
    <w:rPr>
      <w:rFonts w:ascii="Times New Roman" w:eastAsia="Times New Roman" w:hAnsi="Times New Roman" w:cs="Times New Roman"/>
    </w:rPr>
  </w:style>
  <w:style w:type="character" w:customStyle="1" w:styleId="WW8Num51z0">
    <w:name w:val="WW8Num51z0"/>
    <w:rsid w:val="00B24E11"/>
    <w:rPr>
      <w:rFonts w:ascii="Symbol" w:hAnsi="Symbol"/>
    </w:rPr>
  </w:style>
  <w:style w:type="character" w:customStyle="1" w:styleId="WW8Num52z0">
    <w:name w:val="WW8Num52z0"/>
    <w:rsid w:val="00B24E11"/>
    <w:rPr>
      <w:rFonts w:ascii="Symbol" w:hAnsi="Symbol"/>
      <w:sz w:val="20"/>
    </w:rPr>
  </w:style>
  <w:style w:type="character" w:customStyle="1" w:styleId="WW8Num52z1">
    <w:name w:val="WW8Num52z1"/>
    <w:rsid w:val="00B24E11"/>
    <w:rPr>
      <w:rFonts w:ascii="Courier New" w:hAnsi="Courier New"/>
    </w:rPr>
  </w:style>
  <w:style w:type="character" w:customStyle="1" w:styleId="WW8Num52z2">
    <w:name w:val="WW8Num52z2"/>
    <w:rsid w:val="00B24E11"/>
    <w:rPr>
      <w:rFonts w:ascii="Wingdings" w:hAnsi="Wingdings"/>
    </w:rPr>
  </w:style>
  <w:style w:type="character" w:customStyle="1" w:styleId="WW8Num52z3">
    <w:name w:val="WW8Num52z3"/>
    <w:rsid w:val="00B24E11"/>
    <w:rPr>
      <w:rFonts w:ascii="Symbol" w:hAnsi="Symbol"/>
    </w:rPr>
  </w:style>
  <w:style w:type="character" w:customStyle="1" w:styleId="WW8Num54z0">
    <w:name w:val="WW8Num54z0"/>
    <w:rsid w:val="00B24E11"/>
    <w:rPr>
      <w:rFonts w:ascii="Symbol" w:hAnsi="Symbol"/>
      <w:color w:val="auto"/>
      <w:sz w:val="16"/>
    </w:rPr>
  </w:style>
  <w:style w:type="character" w:customStyle="1" w:styleId="WW8Num54z1">
    <w:name w:val="WW8Num54z1"/>
    <w:rsid w:val="00B24E11"/>
    <w:rPr>
      <w:rFonts w:ascii="Courier New" w:hAnsi="Courier New"/>
    </w:rPr>
  </w:style>
  <w:style w:type="character" w:customStyle="1" w:styleId="WW8Num54z2">
    <w:name w:val="WW8Num54z2"/>
    <w:rsid w:val="00B24E11"/>
    <w:rPr>
      <w:rFonts w:ascii="Wingdings" w:hAnsi="Wingdings"/>
    </w:rPr>
  </w:style>
  <w:style w:type="character" w:customStyle="1" w:styleId="WW8Num54z3">
    <w:name w:val="WW8Num54z3"/>
    <w:rsid w:val="00B24E11"/>
    <w:rPr>
      <w:rFonts w:ascii="Symbol" w:hAnsi="Symbol"/>
    </w:rPr>
  </w:style>
  <w:style w:type="character" w:customStyle="1" w:styleId="WW8Num56z0">
    <w:name w:val="WW8Num56z0"/>
    <w:rsid w:val="00B24E11"/>
    <w:rPr>
      <w:rFonts w:ascii="Symbol" w:hAnsi="Symbol"/>
    </w:rPr>
  </w:style>
  <w:style w:type="character" w:customStyle="1" w:styleId="WW8Num56z1">
    <w:name w:val="WW8Num56z1"/>
    <w:rsid w:val="00B24E11"/>
    <w:rPr>
      <w:rFonts w:ascii="Courier New" w:hAnsi="Courier New" w:cs="Courier New"/>
    </w:rPr>
  </w:style>
  <w:style w:type="character" w:customStyle="1" w:styleId="WW8Num56z2">
    <w:name w:val="WW8Num56z2"/>
    <w:rsid w:val="00B24E11"/>
    <w:rPr>
      <w:rFonts w:ascii="Wingdings" w:hAnsi="Wingdings"/>
    </w:rPr>
  </w:style>
  <w:style w:type="character" w:customStyle="1" w:styleId="WW8Num57z0">
    <w:name w:val="WW8Num57z0"/>
    <w:rsid w:val="00B24E11"/>
    <w:rPr>
      <w:rFonts w:ascii="Wingdings" w:hAnsi="Wingdings"/>
    </w:rPr>
  </w:style>
  <w:style w:type="character" w:customStyle="1" w:styleId="WW8Num60z2">
    <w:name w:val="WW8Num60z2"/>
    <w:rsid w:val="00B24E11"/>
    <w:rPr>
      <w:rFonts w:ascii="Arial" w:hAnsi="Arial"/>
      <w:b/>
      <w:i w:val="0"/>
      <w:sz w:val="24"/>
    </w:rPr>
  </w:style>
  <w:style w:type="character" w:customStyle="1" w:styleId="WW8Num62z0">
    <w:name w:val="WW8Num62z0"/>
    <w:rsid w:val="00B24E11"/>
    <w:rPr>
      <w:rFonts w:ascii="Symbol" w:hAnsi="Symbol"/>
    </w:rPr>
  </w:style>
  <w:style w:type="character" w:customStyle="1" w:styleId="WW8Num63z0">
    <w:name w:val="WW8Num63z0"/>
    <w:rsid w:val="00B24E11"/>
    <w:rPr>
      <w:rFonts w:ascii="Symbol" w:hAnsi="Symbol"/>
      <w:color w:val="auto"/>
    </w:rPr>
  </w:style>
  <w:style w:type="character" w:customStyle="1" w:styleId="WW8Num63z1">
    <w:name w:val="WW8Num63z1"/>
    <w:rsid w:val="00B24E11"/>
    <w:rPr>
      <w:rFonts w:ascii="Courier New" w:hAnsi="Courier New"/>
    </w:rPr>
  </w:style>
  <w:style w:type="character" w:customStyle="1" w:styleId="WW8Num63z2">
    <w:name w:val="WW8Num63z2"/>
    <w:rsid w:val="00B24E11"/>
    <w:rPr>
      <w:rFonts w:ascii="Wingdings" w:hAnsi="Wingdings"/>
    </w:rPr>
  </w:style>
  <w:style w:type="character" w:customStyle="1" w:styleId="WW8Num63z3">
    <w:name w:val="WW8Num63z3"/>
    <w:rsid w:val="00B24E11"/>
    <w:rPr>
      <w:rFonts w:ascii="Symbol" w:hAnsi="Symbol"/>
    </w:rPr>
  </w:style>
  <w:style w:type="character" w:customStyle="1" w:styleId="WW8Num64z0">
    <w:name w:val="WW8Num64z0"/>
    <w:rsid w:val="00B24E11"/>
    <w:rPr>
      <w:rFonts w:ascii="Symbol" w:hAnsi="Symbol"/>
      <w:color w:val="auto"/>
      <w:sz w:val="16"/>
    </w:rPr>
  </w:style>
  <w:style w:type="character" w:customStyle="1" w:styleId="WW8Num64z1">
    <w:name w:val="WW8Num64z1"/>
    <w:rsid w:val="00B24E11"/>
    <w:rPr>
      <w:rFonts w:ascii="Courier New" w:hAnsi="Courier New"/>
    </w:rPr>
  </w:style>
  <w:style w:type="character" w:customStyle="1" w:styleId="WW8Num64z2">
    <w:name w:val="WW8Num64z2"/>
    <w:rsid w:val="00B24E11"/>
    <w:rPr>
      <w:rFonts w:ascii="Wingdings" w:hAnsi="Wingdings"/>
    </w:rPr>
  </w:style>
  <w:style w:type="character" w:customStyle="1" w:styleId="WW8Num64z3">
    <w:name w:val="WW8Num64z3"/>
    <w:rsid w:val="00B24E11"/>
    <w:rPr>
      <w:rFonts w:ascii="Symbol" w:hAnsi="Symbol"/>
    </w:rPr>
  </w:style>
  <w:style w:type="character" w:customStyle="1" w:styleId="WW8Num65z0">
    <w:name w:val="WW8Num65z0"/>
    <w:rsid w:val="00B24E11"/>
    <w:rPr>
      <w:rFonts w:ascii="Symbol" w:hAnsi="Symbol"/>
    </w:rPr>
  </w:style>
  <w:style w:type="character" w:customStyle="1" w:styleId="WW8Num66z0">
    <w:name w:val="WW8Num66z0"/>
    <w:rsid w:val="00B24E11"/>
    <w:rPr>
      <w:rFonts w:ascii="Symbol" w:hAnsi="Symbol"/>
      <w:color w:val="auto"/>
      <w:sz w:val="16"/>
    </w:rPr>
  </w:style>
  <w:style w:type="character" w:customStyle="1" w:styleId="WW8Num66z1">
    <w:name w:val="WW8Num66z1"/>
    <w:rsid w:val="00B24E11"/>
    <w:rPr>
      <w:rFonts w:ascii="Courier New" w:hAnsi="Courier New"/>
    </w:rPr>
  </w:style>
  <w:style w:type="character" w:customStyle="1" w:styleId="WW8Num66z2">
    <w:name w:val="WW8Num66z2"/>
    <w:rsid w:val="00B24E11"/>
    <w:rPr>
      <w:rFonts w:ascii="Wingdings" w:hAnsi="Wingdings"/>
    </w:rPr>
  </w:style>
  <w:style w:type="character" w:customStyle="1" w:styleId="WW8Num66z3">
    <w:name w:val="WW8Num66z3"/>
    <w:rsid w:val="00B24E11"/>
    <w:rPr>
      <w:rFonts w:ascii="Symbol" w:hAnsi="Symbol"/>
    </w:rPr>
  </w:style>
  <w:style w:type="character" w:customStyle="1" w:styleId="WW8Num67z0">
    <w:name w:val="WW8Num67z0"/>
    <w:rsid w:val="00B24E11"/>
    <w:rPr>
      <w:rFonts w:ascii="Times New Roman" w:hAnsi="Times New Roman"/>
    </w:rPr>
  </w:style>
  <w:style w:type="character" w:customStyle="1" w:styleId="WW8Num70z0">
    <w:name w:val="WW8Num70z0"/>
    <w:rsid w:val="00B24E11"/>
    <w:rPr>
      <w:rFonts w:ascii="Symbol" w:hAnsi="Symbol"/>
    </w:rPr>
  </w:style>
  <w:style w:type="character" w:customStyle="1" w:styleId="WW8Num72z0">
    <w:name w:val="WW8Num72z0"/>
    <w:rsid w:val="00B24E11"/>
    <w:rPr>
      <w:rFonts w:ascii="Symbol" w:hAnsi="Symbol"/>
      <w:color w:val="auto"/>
      <w:sz w:val="16"/>
    </w:rPr>
  </w:style>
  <w:style w:type="character" w:customStyle="1" w:styleId="WW8Num72z1">
    <w:name w:val="WW8Num72z1"/>
    <w:rsid w:val="00B24E11"/>
    <w:rPr>
      <w:rFonts w:ascii="Courier New" w:hAnsi="Courier New"/>
    </w:rPr>
  </w:style>
  <w:style w:type="character" w:customStyle="1" w:styleId="WW8Num72z2">
    <w:name w:val="WW8Num72z2"/>
    <w:rsid w:val="00B24E11"/>
    <w:rPr>
      <w:rFonts w:ascii="Wingdings" w:hAnsi="Wingdings"/>
    </w:rPr>
  </w:style>
  <w:style w:type="character" w:customStyle="1" w:styleId="WW8Num72z3">
    <w:name w:val="WW8Num72z3"/>
    <w:rsid w:val="00B24E11"/>
    <w:rPr>
      <w:rFonts w:ascii="Symbol" w:hAnsi="Symbol"/>
    </w:rPr>
  </w:style>
  <w:style w:type="character" w:customStyle="1" w:styleId="WW8Num74z0">
    <w:name w:val="WW8Num74z0"/>
    <w:rsid w:val="00B24E11"/>
    <w:rPr>
      <w:rFonts w:ascii="Wingdings" w:hAnsi="Wingdings"/>
    </w:rPr>
  </w:style>
  <w:style w:type="character" w:customStyle="1" w:styleId="WW8Num75z0">
    <w:name w:val="WW8Num75z0"/>
    <w:rsid w:val="00B24E11"/>
    <w:rPr>
      <w:rFonts w:ascii="Symbol" w:hAnsi="Symbol"/>
    </w:rPr>
  </w:style>
  <w:style w:type="character" w:customStyle="1" w:styleId="WW8Num76z0">
    <w:name w:val="WW8Num76z0"/>
    <w:rsid w:val="00B24E11"/>
    <w:rPr>
      <w:rFonts w:ascii="Symbol" w:hAnsi="Symbol"/>
    </w:rPr>
  </w:style>
  <w:style w:type="character" w:customStyle="1" w:styleId="WW8Num77z0">
    <w:name w:val="WW8Num77z0"/>
    <w:rsid w:val="00B24E11"/>
    <w:rPr>
      <w:rFonts w:ascii="Symbol" w:hAnsi="Symbol"/>
    </w:rPr>
  </w:style>
  <w:style w:type="character" w:customStyle="1" w:styleId="WW8Num78z0">
    <w:name w:val="WW8Num78z0"/>
    <w:rsid w:val="00B24E11"/>
    <w:rPr>
      <w:rFonts w:ascii="Times New Roman" w:hAnsi="Times New Roman"/>
      <w:b/>
      <w:i w:val="0"/>
      <w:sz w:val="28"/>
      <w:u w:val="none"/>
    </w:rPr>
  </w:style>
  <w:style w:type="character" w:customStyle="1" w:styleId="WW8Num79z0">
    <w:name w:val="WW8Num79z0"/>
    <w:rsid w:val="00B24E11"/>
    <w:rPr>
      <w:rFonts w:ascii="Wingdings" w:hAnsi="Wingdings"/>
    </w:rPr>
  </w:style>
  <w:style w:type="character" w:customStyle="1" w:styleId="WW8Num82z0">
    <w:name w:val="WW8Num82z0"/>
    <w:rsid w:val="00B24E11"/>
    <w:rPr>
      <w:rFonts w:ascii="Symbol" w:hAnsi="Symbol"/>
    </w:rPr>
  </w:style>
  <w:style w:type="character" w:customStyle="1" w:styleId="WW8Num82z1">
    <w:name w:val="WW8Num82z1"/>
    <w:rsid w:val="00B24E11"/>
    <w:rPr>
      <w:rFonts w:ascii="Courier New" w:hAnsi="Courier New" w:cs="Courier New"/>
    </w:rPr>
  </w:style>
  <w:style w:type="character" w:customStyle="1" w:styleId="WW8Num82z2">
    <w:name w:val="WW8Num82z2"/>
    <w:rsid w:val="00B24E11"/>
    <w:rPr>
      <w:rFonts w:ascii="Wingdings" w:hAnsi="Wingdings"/>
    </w:rPr>
  </w:style>
  <w:style w:type="character" w:customStyle="1" w:styleId="WW8Num85z0">
    <w:name w:val="WW8Num85z0"/>
    <w:rsid w:val="00B24E11"/>
    <w:rPr>
      <w:rFonts w:ascii="Times New Roman" w:hAnsi="Times New Roman"/>
    </w:rPr>
  </w:style>
  <w:style w:type="character" w:customStyle="1" w:styleId="WW8Num86z0">
    <w:name w:val="WW8Num86z0"/>
    <w:rsid w:val="00B24E11"/>
    <w:rPr>
      <w:rFonts w:ascii="Symbol" w:hAnsi="Symbol"/>
    </w:rPr>
  </w:style>
  <w:style w:type="character" w:customStyle="1" w:styleId="WW8Num87z0">
    <w:name w:val="WW8Num87z0"/>
    <w:rsid w:val="00B24E11"/>
    <w:rPr>
      <w:rFonts w:ascii="Symbol" w:hAnsi="Symbol"/>
      <w:color w:val="auto"/>
      <w:sz w:val="16"/>
    </w:rPr>
  </w:style>
  <w:style w:type="character" w:customStyle="1" w:styleId="WW8Num87z1">
    <w:name w:val="WW8Num87z1"/>
    <w:rsid w:val="00B24E11"/>
    <w:rPr>
      <w:rFonts w:ascii="Arial" w:eastAsia="Times New Roman" w:hAnsi="Arial" w:cs="Arial"/>
    </w:rPr>
  </w:style>
  <w:style w:type="character" w:customStyle="1" w:styleId="WW8Num89z0">
    <w:name w:val="WW8Num89z0"/>
    <w:rsid w:val="00B24E11"/>
    <w:rPr>
      <w:rFonts w:ascii="Times New Roman" w:hAnsi="Times New Roman"/>
    </w:rPr>
  </w:style>
  <w:style w:type="character" w:customStyle="1" w:styleId="WW8Num90z0">
    <w:name w:val="WW8Num90z0"/>
    <w:rsid w:val="00B24E11"/>
    <w:rPr>
      <w:rFonts w:ascii="Wingdings" w:hAnsi="Wingdings"/>
      <w:sz w:val="16"/>
    </w:rPr>
  </w:style>
  <w:style w:type="character" w:customStyle="1" w:styleId="WW8Num92z0">
    <w:name w:val="WW8Num92z0"/>
    <w:rsid w:val="00B24E11"/>
    <w:rPr>
      <w:rFonts w:ascii="Wingdings" w:hAnsi="Wingdings"/>
    </w:rPr>
  </w:style>
  <w:style w:type="character" w:customStyle="1" w:styleId="WW8Num92z1">
    <w:name w:val="WW8Num92z1"/>
    <w:rsid w:val="00B24E11"/>
    <w:rPr>
      <w:rFonts w:ascii="Courier New" w:hAnsi="Courier New"/>
    </w:rPr>
  </w:style>
  <w:style w:type="character" w:customStyle="1" w:styleId="WW8Num92z3">
    <w:name w:val="WW8Num92z3"/>
    <w:rsid w:val="00B24E11"/>
    <w:rPr>
      <w:rFonts w:ascii="Symbol" w:hAnsi="Symbol"/>
    </w:rPr>
  </w:style>
  <w:style w:type="character" w:customStyle="1" w:styleId="WW8Num93z0">
    <w:name w:val="WW8Num93z0"/>
    <w:rsid w:val="00B24E11"/>
    <w:rPr>
      <w:rFonts w:ascii="Wingdings" w:hAnsi="Wingdings"/>
      <w:sz w:val="16"/>
    </w:rPr>
  </w:style>
  <w:style w:type="character" w:customStyle="1" w:styleId="WW8Num93z1">
    <w:name w:val="WW8Num93z1"/>
    <w:rsid w:val="00B24E11"/>
    <w:rPr>
      <w:rFonts w:ascii="Courier New" w:hAnsi="Courier New"/>
    </w:rPr>
  </w:style>
  <w:style w:type="character" w:customStyle="1" w:styleId="WW8Num93z2">
    <w:name w:val="WW8Num93z2"/>
    <w:rsid w:val="00B24E11"/>
    <w:rPr>
      <w:rFonts w:ascii="Wingdings" w:hAnsi="Wingdings"/>
    </w:rPr>
  </w:style>
  <w:style w:type="character" w:customStyle="1" w:styleId="WW8Num93z3">
    <w:name w:val="WW8Num93z3"/>
    <w:rsid w:val="00B24E11"/>
    <w:rPr>
      <w:rFonts w:ascii="Symbol" w:hAnsi="Symbol"/>
    </w:rPr>
  </w:style>
  <w:style w:type="character" w:customStyle="1" w:styleId="WW8Num94z0">
    <w:name w:val="WW8Num94z0"/>
    <w:rsid w:val="00B24E11"/>
    <w:rPr>
      <w:rFonts w:ascii="Symbol" w:hAnsi="Symbol"/>
    </w:rPr>
  </w:style>
  <w:style w:type="character" w:customStyle="1" w:styleId="WW8Num97z0">
    <w:name w:val="WW8Num97z0"/>
    <w:rsid w:val="00B24E11"/>
    <w:rPr>
      <w:rFonts w:ascii="Symbol" w:hAnsi="Symbol"/>
      <w:color w:val="auto"/>
      <w:sz w:val="16"/>
    </w:rPr>
  </w:style>
  <w:style w:type="character" w:customStyle="1" w:styleId="WW8Num97z1">
    <w:name w:val="WW8Num97z1"/>
    <w:rsid w:val="00B24E11"/>
    <w:rPr>
      <w:rFonts w:ascii="Courier New" w:hAnsi="Courier New"/>
    </w:rPr>
  </w:style>
  <w:style w:type="character" w:customStyle="1" w:styleId="WW8Num97z2">
    <w:name w:val="WW8Num97z2"/>
    <w:rsid w:val="00B24E11"/>
    <w:rPr>
      <w:rFonts w:ascii="Wingdings" w:hAnsi="Wingdings"/>
    </w:rPr>
  </w:style>
  <w:style w:type="character" w:customStyle="1" w:styleId="WW8Num97z3">
    <w:name w:val="WW8Num97z3"/>
    <w:rsid w:val="00B24E11"/>
    <w:rPr>
      <w:rFonts w:ascii="Symbol" w:hAnsi="Symbol"/>
    </w:rPr>
  </w:style>
  <w:style w:type="character" w:customStyle="1" w:styleId="WW8Num100z0">
    <w:name w:val="WW8Num100z0"/>
    <w:rsid w:val="00B24E11"/>
    <w:rPr>
      <w:rFonts w:ascii="Wingdings" w:hAnsi="Wingdings"/>
      <w:sz w:val="16"/>
    </w:rPr>
  </w:style>
  <w:style w:type="character" w:customStyle="1" w:styleId="WW8Num101z0">
    <w:name w:val="WW8Num101z0"/>
    <w:rsid w:val="00B24E11"/>
    <w:rPr>
      <w:rFonts w:ascii="Times New Roman" w:eastAsia="Times New Roman" w:hAnsi="Times New Roman" w:cs="Times New Roman"/>
    </w:rPr>
  </w:style>
  <w:style w:type="character" w:customStyle="1" w:styleId="WW8Num101z1">
    <w:name w:val="WW8Num101z1"/>
    <w:rsid w:val="00B24E11"/>
    <w:rPr>
      <w:rFonts w:ascii="Courier New" w:hAnsi="Courier New"/>
    </w:rPr>
  </w:style>
  <w:style w:type="character" w:customStyle="1" w:styleId="WW8Num101z2">
    <w:name w:val="WW8Num101z2"/>
    <w:rsid w:val="00B24E11"/>
    <w:rPr>
      <w:rFonts w:ascii="Wingdings" w:hAnsi="Wingdings"/>
    </w:rPr>
  </w:style>
  <w:style w:type="character" w:customStyle="1" w:styleId="WW8Num101z3">
    <w:name w:val="WW8Num101z3"/>
    <w:rsid w:val="00B24E11"/>
    <w:rPr>
      <w:rFonts w:ascii="Symbol" w:hAnsi="Symbol"/>
    </w:rPr>
  </w:style>
  <w:style w:type="character" w:customStyle="1" w:styleId="WW8Num102z0">
    <w:name w:val="WW8Num102z0"/>
    <w:rsid w:val="00B24E11"/>
    <w:rPr>
      <w:rFonts w:ascii="Symbol" w:hAnsi="Symbol"/>
    </w:rPr>
  </w:style>
  <w:style w:type="character" w:customStyle="1" w:styleId="WW8Num103z0">
    <w:name w:val="WW8Num103z0"/>
    <w:rsid w:val="00B24E11"/>
    <w:rPr>
      <w:u w:val="none"/>
    </w:rPr>
  </w:style>
  <w:style w:type="character" w:customStyle="1" w:styleId="WW8Num104z0">
    <w:name w:val="WW8Num104z0"/>
    <w:rsid w:val="00B24E11"/>
    <w:rPr>
      <w:rFonts w:ascii="Symbol" w:hAnsi="Symbol"/>
    </w:rPr>
  </w:style>
  <w:style w:type="character" w:customStyle="1" w:styleId="WW8Num105z0">
    <w:name w:val="WW8Num105z0"/>
    <w:rsid w:val="00B24E11"/>
    <w:rPr>
      <w:rFonts w:ascii="Times New Roman" w:hAnsi="Times New Roman"/>
    </w:rPr>
  </w:style>
  <w:style w:type="character" w:customStyle="1" w:styleId="WW8Num106z0">
    <w:name w:val="WW8Num106z0"/>
    <w:rsid w:val="00B24E11"/>
    <w:rPr>
      <w:rFonts w:ascii="Times New Roman" w:hAnsi="Times New Roman"/>
      <w:b/>
      <w:i w:val="0"/>
      <w:sz w:val="28"/>
      <w:u w:val="none"/>
    </w:rPr>
  </w:style>
  <w:style w:type="character" w:customStyle="1" w:styleId="WW8Num108z0">
    <w:name w:val="WW8Num108z0"/>
    <w:rsid w:val="00B24E11"/>
    <w:rPr>
      <w:rFonts w:ascii="Symbol" w:hAnsi="Symbol"/>
    </w:rPr>
  </w:style>
  <w:style w:type="character" w:customStyle="1" w:styleId="WW8Num109z0">
    <w:name w:val="WW8Num109z0"/>
    <w:rsid w:val="00B24E11"/>
    <w:rPr>
      <w:rFonts w:ascii="Times New Roman" w:eastAsia="Times New Roman" w:hAnsi="Times New Roman" w:cs="Times New Roman"/>
    </w:rPr>
  </w:style>
  <w:style w:type="character" w:customStyle="1" w:styleId="WW8Num109z1">
    <w:name w:val="WW8Num109z1"/>
    <w:rsid w:val="00B24E11"/>
    <w:rPr>
      <w:rFonts w:ascii="Courier New" w:hAnsi="Courier New"/>
    </w:rPr>
  </w:style>
  <w:style w:type="character" w:customStyle="1" w:styleId="WW8Num109z2">
    <w:name w:val="WW8Num109z2"/>
    <w:rsid w:val="00B24E11"/>
    <w:rPr>
      <w:rFonts w:ascii="Wingdings" w:hAnsi="Wingdings"/>
    </w:rPr>
  </w:style>
  <w:style w:type="character" w:customStyle="1" w:styleId="WW8Num109z3">
    <w:name w:val="WW8Num109z3"/>
    <w:rsid w:val="00B24E11"/>
    <w:rPr>
      <w:rFonts w:ascii="Symbol" w:hAnsi="Symbol"/>
    </w:rPr>
  </w:style>
  <w:style w:type="character" w:customStyle="1" w:styleId="WW8Num110z0">
    <w:name w:val="WW8Num110z0"/>
    <w:rsid w:val="00B24E11"/>
    <w:rPr>
      <w:rFonts w:ascii="Monotype Sorts" w:hAnsi="Monotype Sorts"/>
    </w:rPr>
  </w:style>
  <w:style w:type="character" w:customStyle="1" w:styleId="WW8Num111z0">
    <w:name w:val="WW8Num111z0"/>
    <w:rsid w:val="00B24E11"/>
    <w:rPr>
      <w:rFonts w:ascii="Symbol" w:hAnsi="Symbol"/>
    </w:rPr>
  </w:style>
  <w:style w:type="character" w:customStyle="1" w:styleId="WW8Num112z0">
    <w:name w:val="WW8Num112z0"/>
    <w:rsid w:val="00B24E11"/>
    <w:rPr>
      <w:rFonts w:ascii="Symbol" w:hAnsi="Symbol"/>
      <w:color w:val="auto"/>
      <w:sz w:val="16"/>
    </w:rPr>
  </w:style>
  <w:style w:type="character" w:customStyle="1" w:styleId="WW8Num112z1">
    <w:name w:val="WW8Num112z1"/>
    <w:rsid w:val="00B24E11"/>
    <w:rPr>
      <w:rFonts w:ascii="Courier New" w:hAnsi="Courier New"/>
    </w:rPr>
  </w:style>
  <w:style w:type="character" w:customStyle="1" w:styleId="WW8Num112z2">
    <w:name w:val="WW8Num112z2"/>
    <w:rsid w:val="00B24E11"/>
    <w:rPr>
      <w:rFonts w:ascii="Wingdings" w:hAnsi="Wingdings"/>
    </w:rPr>
  </w:style>
  <w:style w:type="character" w:customStyle="1" w:styleId="WW8Num112z3">
    <w:name w:val="WW8Num112z3"/>
    <w:rsid w:val="00B24E11"/>
    <w:rPr>
      <w:rFonts w:ascii="Symbol" w:hAnsi="Symbol"/>
    </w:rPr>
  </w:style>
  <w:style w:type="character" w:customStyle="1" w:styleId="WW8Num113z0">
    <w:name w:val="WW8Num113z0"/>
    <w:rsid w:val="00B24E11"/>
    <w:rPr>
      <w:rFonts w:ascii="Symbol" w:hAnsi="Symbol"/>
    </w:rPr>
  </w:style>
  <w:style w:type="character" w:customStyle="1" w:styleId="WW8Num118z0">
    <w:name w:val="WW8Num118z0"/>
    <w:rsid w:val="00B24E11"/>
    <w:rPr>
      <w:rFonts w:ascii="Symbol" w:hAnsi="Symbol"/>
    </w:rPr>
  </w:style>
  <w:style w:type="character" w:customStyle="1" w:styleId="WW8Num122z0">
    <w:name w:val="WW8Num122z0"/>
    <w:rsid w:val="00B24E11"/>
    <w:rPr>
      <w:rFonts w:ascii="Times New Roman" w:hAnsi="Times New Roman"/>
      <w:color w:val="auto"/>
    </w:rPr>
  </w:style>
  <w:style w:type="character" w:customStyle="1" w:styleId="WW8Num123z0">
    <w:name w:val="WW8Num123z0"/>
    <w:rsid w:val="00B24E11"/>
    <w:rPr>
      <w:rFonts w:ascii="Arial" w:hAnsi="Arial"/>
      <w:b/>
      <w:i w:val="0"/>
      <w:sz w:val="20"/>
      <w:u w:val="none"/>
    </w:rPr>
  </w:style>
  <w:style w:type="character" w:customStyle="1" w:styleId="WW8Num124z0">
    <w:name w:val="WW8Num124z0"/>
    <w:rsid w:val="00B24E11"/>
    <w:rPr>
      <w:rFonts w:ascii="Symbol" w:hAnsi="Symbol"/>
    </w:rPr>
  </w:style>
  <w:style w:type="character" w:customStyle="1" w:styleId="WW8Num125z0">
    <w:name w:val="WW8Num125z0"/>
    <w:rsid w:val="00B24E11"/>
    <w:rPr>
      <w:rFonts w:ascii="Wingdings" w:hAnsi="Wingdings"/>
    </w:rPr>
  </w:style>
  <w:style w:type="character" w:customStyle="1" w:styleId="WW8Num126z0">
    <w:name w:val="WW8Num126z0"/>
    <w:rsid w:val="00B24E11"/>
    <w:rPr>
      <w:rFonts w:ascii="Symbol" w:hAnsi="Symbol"/>
    </w:rPr>
  </w:style>
  <w:style w:type="character" w:customStyle="1" w:styleId="WW8Num128z0">
    <w:name w:val="WW8Num128z0"/>
    <w:rsid w:val="00B24E11"/>
    <w:rPr>
      <w:rFonts w:ascii="Wingdings" w:hAnsi="Wingdings"/>
    </w:rPr>
  </w:style>
  <w:style w:type="character" w:customStyle="1" w:styleId="WW8Num128z1">
    <w:name w:val="WW8Num128z1"/>
    <w:rsid w:val="00B24E11"/>
    <w:rPr>
      <w:rFonts w:ascii="Courier New" w:hAnsi="Courier New"/>
    </w:rPr>
  </w:style>
  <w:style w:type="character" w:customStyle="1" w:styleId="WW8Num128z3">
    <w:name w:val="WW8Num128z3"/>
    <w:rsid w:val="00B24E11"/>
    <w:rPr>
      <w:rFonts w:ascii="Symbol" w:hAnsi="Symbol"/>
    </w:rPr>
  </w:style>
  <w:style w:type="character" w:customStyle="1" w:styleId="WW8Num130z0">
    <w:name w:val="WW8Num130z0"/>
    <w:rsid w:val="00B24E11"/>
    <w:rPr>
      <w:rFonts w:ascii="Times New Roman" w:hAnsi="Times New Roman"/>
      <w:b w:val="0"/>
      <w:i w:val="0"/>
      <w:sz w:val="24"/>
      <w:u w:val="none"/>
    </w:rPr>
  </w:style>
  <w:style w:type="character" w:customStyle="1" w:styleId="WW8Num131z0">
    <w:name w:val="WW8Num131z0"/>
    <w:rsid w:val="00B24E11"/>
    <w:rPr>
      <w:u w:val="none"/>
    </w:rPr>
  </w:style>
  <w:style w:type="character" w:customStyle="1" w:styleId="WW8Num133z0">
    <w:name w:val="WW8Num133z0"/>
    <w:rsid w:val="00B24E11"/>
    <w:rPr>
      <w:rFonts w:ascii="Symbol" w:hAnsi="Symbol"/>
      <w:color w:val="auto"/>
      <w:sz w:val="16"/>
    </w:rPr>
  </w:style>
  <w:style w:type="character" w:customStyle="1" w:styleId="WW8Num133z1">
    <w:name w:val="WW8Num133z1"/>
    <w:rsid w:val="00B24E11"/>
    <w:rPr>
      <w:rFonts w:ascii="Courier New" w:hAnsi="Courier New"/>
    </w:rPr>
  </w:style>
  <w:style w:type="character" w:customStyle="1" w:styleId="WW8Num133z2">
    <w:name w:val="WW8Num133z2"/>
    <w:rsid w:val="00B24E11"/>
    <w:rPr>
      <w:rFonts w:ascii="Wingdings" w:hAnsi="Wingdings"/>
    </w:rPr>
  </w:style>
  <w:style w:type="character" w:customStyle="1" w:styleId="WW8Num133z3">
    <w:name w:val="WW8Num133z3"/>
    <w:rsid w:val="00B24E11"/>
    <w:rPr>
      <w:rFonts w:ascii="Symbol" w:hAnsi="Symbol"/>
    </w:rPr>
  </w:style>
  <w:style w:type="character" w:customStyle="1" w:styleId="WW8Num134z0">
    <w:name w:val="WW8Num134z0"/>
    <w:rsid w:val="00B24E11"/>
    <w:rPr>
      <w:rFonts w:ascii="Arial" w:hAnsi="Arial"/>
    </w:rPr>
  </w:style>
  <w:style w:type="character" w:customStyle="1" w:styleId="WW8Num135z0">
    <w:name w:val="WW8Num135z0"/>
    <w:rsid w:val="00B24E11"/>
    <w:rPr>
      <w:rFonts w:ascii="Symbol" w:hAnsi="Symbol"/>
      <w:color w:val="auto"/>
      <w:sz w:val="16"/>
    </w:rPr>
  </w:style>
  <w:style w:type="character" w:customStyle="1" w:styleId="WW8Num135z1">
    <w:name w:val="WW8Num135z1"/>
    <w:rsid w:val="00B24E11"/>
    <w:rPr>
      <w:rFonts w:ascii="Courier New" w:hAnsi="Courier New"/>
    </w:rPr>
  </w:style>
  <w:style w:type="character" w:customStyle="1" w:styleId="WW8Num135z2">
    <w:name w:val="WW8Num135z2"/>
    <w:rsid w:val="00B24E11"/>
    <w:rPr>
      <w:rFonts w:ascii="Wingdings" w:hAnsi="Wingdings"/>
    </w:rPr>
  </w:style>
  <w:style w:type="character" w:customStyle="1" w:styleId="WW8Num135z3">
    <w:name w:val="WW8Num135z3"/>
    <w:rsid w:val="00B24E11"/>
    <w:rPr>
      <w:rFonts w:ascii="Symbol" w:hAnsi="Symbol"/>
    </w:rPr>
  </w:style>
  <w:style w:type="character" w:customStyle="1" w:styleId="WW8Num136z0">
    <w:name w:val="WW8Num136z0"/>
    <w:rsid w:val="00B24E11"/>
    <w:rPr>
      <w:rFonts w:ascii="Symbol" w:hAnsi="Symbol"/>
      <w:color w:val="auto"/>
      <w:sz w:val="16"/>
    </w:rPr>
  </w:style>
  <w:style w:type="character" w:customStyle="1" w:styleId="WW8Num136z1">
    <w:name w:val="WW8Num136z1"/>
    <w:rsid w:val="00B24E11"/>
    <w:rPr>
      <w:rFonts w:ascii="Courier New" w:hAnsi="Courier New"/>
    </w:rPr>
  </w:style>
  <w:style w:type="character" w:customStyle="1" w:styleId="WW8Num136z2">
    <w:name w:val="WW8Num136z2"/>
    <w:rsid w:val="00B24E11"/>
    <w:rPr>
      <w:rFonts w:ascii="Wingdings" w:hAnsi="Wingdings"/>
    </w:rPr>
  </w:style>
  <w:style w:type="character" w:customStyle="1" w:styleId="WW8Num136z3">
    <w:name w:val="WW8Num136z3"/>
    <w:rsid w:val="00B24E11"/>
    <w:rPr>
      <w:rFonts w:ascii="Symbol" w:hAnsi="Symbol"/>
    </w:rPr>
  </w:style>
  <w:style w:type="character" w:customStyle="1" w:styleId="WW8Num138z0">
    <w:name w:val="WW8Num138z0"/>
    <w:rsid w:val="00B24E11"/>
    <w:rPr>
      <w:rFonts w:ascii="Symbol" w:hAnsi="Symbol"/>
    </w:rPr>
  </w:style>
  <w:style w:type="character" w:customStyle="1" w:styleId="WW8Num139z0">
    <w:name w:val="WW8Num139z0"/>
    <w:rsid w:val="00B24E11"/>
    <w:rPr>
      <w:rFonts w:ascii="Symbol" w:hAnsi="Symbol"/>
      <w:color w:val="auto"/>
      <w:sz w:val="16"/>
    </w:rPr>
  </w:style>
  <w:style w:type="character" w:customStyle="1" w:styleId="WW8Num139z1">
    <w:name w:val="WW8Num139z1"/>
    <w:rsid w:val="00B24E11"/>
    <w:rPr>
      <w:rFonts w:ascii="Courier New" w:hAnsi="Courier New"/>
    </w:rPr>
  </w:style>
  <w:style w:type="character" w:customStyle="1" w:styleId="WW8Num139z2">
    <w:name w:val="WW8Num139z2"/>
    <w:rsid w:val="00B24E11"/>
    <w:rPr>
      <w:rFonts w:ascii="Wingdings" w:hAnsi="Wingdings"/>
    </w:rPr>
  </w:style>
  <w:style w:type="character" w:customStyle="1" w:styleId="WW8Num139z3">
    <w:name w:val="WW8Num139z3"/>
    <w:rsid w:val="00B24E11"/>
    <w:rPr>
      <w:rFonts w:ascii="Symbol" w:hAnsi="Symbol"/>
    </w:rPr>
  </w:style>
  <w:style w:type="character" w:customStyle="1" w:styleId="WW8Num140z0">
    <w:name w:val="WW8Num140z0"/>
    <w:rsid w:val="00B24E11"/>
    <w:rPr>
      <w:rFonts w:ascii="Monotype Sorts" w:hAnsi="Monotype Sorts"/>
    </w:rPr>
  </w:style>
  <w:style w:type="character" w:customStyle="1" w:styleId="WW8Num141z0">
    <w:name w:val="WW8Num141z0"/>
    <w:rsid w:val="00B24E11"/>
    <w:rPr>
      <w:rFonts w:ascii="Wingdings" w:hAnsi="Wingdings"/>
    </w:rPr>
  </w:style>
  <w:style w:type="character" w:customStyle="1" w:styleId="WW8Num142z0">
    <w:name w:val="WW8Num142z0"/>
    <w:rsid w:val="00B24E11"/>
    <w:rPr>
      <w:u w:val="none"/>
    </w:rPr>
  </w:style>
  <w:style w:type="character" w:customStyle="1" w:styleId="WW8Num144z0">
    <w:name w:val="WW8Num144z0"/>
    <w:rsid w:val="00B24E11"/>
    <w:rPr>
      <w:rFonts w:ascii="Symbol" w:hAnsi="Symbol"/>
    </w:rPr>
  </w:style>
  <w:style w:type="character" w:customStyle="1" w:styleId="WW8Num145z0">
    <w:name w:val="WW8Num145z0"/>
    <w:rsid w:val="00B24E11"/>
    <w:rPr>
      <w:rFonts w:ascii="Symbol" w:hAnsi="Symbol"/>
      <w:color w:val="auto"/>
      <w:sz w:val="16"/>
    </w:rPr>
  </w:style>
  <w:style w:type="character" w:customStyle="1" w:styleId="WW8Num145z1">
    <w:name w:val="WW8Num145z1"/>
    <w:rsid w:val="00B24E11"/>
    <w:rPr>
      <w:rFonts w:ascii="Courier New" w:hAnsi="Courier New"/>
    </w:rPr>
  </w:style>
  <w:style w:type="character" w:customStyle="1" w:styleId="WW8Num145z2">
    <w:name w:val="WW8Num145z2"/>
    <w:rsid w:val="00B24E11"/>
    <w:rPr>
      <w:rFonts w:ascii="Wingdings" w:hAnsi="Wingdings"/>
    </w:rPr>
  </w:style>
  <w:style w:type="character" w:customStyle="1" w:styleId="WW8Num145z3">
    <w:name w:val="WW8Num145z3"/>
    <w:rsid w:val="00B24E11"/>
    <w:rPr>
      <w:rFonts w:ascii="Symbol" w:hAnsi="Symbol"/>
    </w:rPr>
  </w:style>
  <w:style w:type="character" w:customStyle="1" w:styleId="WW8Num146z0">
    <w:name w:val="WW8Num146z0"/>
    <w:rsid w:val="00B24E11"/>
    <w:rPr>
      <w:rFonts w:ascii="Symbol" w:hAnsi="Symbol"/>
    </w:rPr>
  </w:style>
  <w:style w:type="character" w:customStyle="1" w:styleId="WW8Num148z0">
    <w:name w:val="WW8Num148z0"/>
    <w:rsid w:val="00B24E11"/>
    <w:rPr>
      <w:rFonts w:ascii="Symbol" w:hAnsi="Symbol"/>
    </w:rPr>
  </w:style>
  <w:style w:type="character" w:customStyle="1" w:styleId="WW8Num150z0">
    <w:name w:val="WW8Num150z0"/>
    <w:rsid w:val="00B24E11"/>
    <w:rPr>
      <w:rFonts w:ascii="Symbol" w:hAnsi="Symbol"/>
      <w:color w:val="auto"/>
      <w:sz w:val="16"/>
    </w:rPr>
  </w:style>
  <w:style w:type="character" w:customStyle="1" w:styleId="WW8Num150z1">
    <w:name w:val="WW8Num150z1"/>
    <w:rsid w:val="00B24E11"/>
    <w:rPr>
      <w:rFonts w:ascii="Times New Roman" w:eastAsia="Times New Roman" w:hAnsi="Times New Roman" w:cs="Times New Roman"/>
    </w:rPr>
  </w:style>
  <w:style w:type="character" w:customStyle="1" w:styleId="WW8Num150z2">
    <w:name w:val="WW8Num150z2"/>
    <w:rsid w:val="00B24E11"/>
    <w:rPr>
      <w:rFonts w:ascii="Wingdings" w:hAnsi="Wingdings"/>
    </w:rPr>
  </w:style>
  <w:style w:type="character" w:customStyle="1" w:styleId="WW8Num150z3">
    <w:name w:val="WW8Num150z3"/>
    <w:rsid w:val="00B24E11"/>
    <w:rPr>
      <w:rFonts w:ascii="Symbol" w:hAnsi="Symbol"/>
    </w:rPr>
  </w:style>
  <w:style w:type="character" w:customStyle="1" w:styleId="WW8Num150z4">
    <w:name w:val="WW8Num150z4"/>
    <w:rsid w:val="00B24E11"/>
    <w:rPr>
      <w:rFonts w:ascii="Courier New" w:hAnsi="Courier New"/>
    </w:rPr>
  </w:style>
  <w:style w:type="character" w:customStyle="1" w:styleId="WW8Num151z0">
    <w:name w:val="WW8Num151z0"/>
    <w:rsid w:val="00B24E11"/>
    <w:rPr>
      <w:rFonts w:ascii="Times New Roman" w:eastAsia="Times New Roman" w:hAnsi="Times New Roman" w:cs="Times New Roman"/>
    </w:rPr>
  </w:style>
  <w:style w:type="character" w:customStyle="1" w:styleId="WW8Num151z1">
    <w:name w:val="WW8Num151z1"/>
    <w:rsid w:val="00B24E11"/>
    <w:rPr>
      <w:rFonts w:ascii="Courier New" w:hAnsi="Courier New"/>
    </w:rPr>
  </w:style>
  <w:style w:type="character" w:customStyle="1" w:styleId="WW8Num151z2">
    <w:name w:val="WW8Num151z2"/>
    <w:rsid w:val="00B24E11"/>
    <w:rPr>
      <w:rFonts w:ascii="Wingdings" w:hAnsi="Wingdings"/>
    </w:rPr>
  </w:style>
  <w:style w:type="character" w:customStyle="1" w:styleId="WW8Num151z3">
    <w:name w:val="WW8Num151z3"/>
    <w:rsid w:val="00B24E11"/>
    <w:rPr>
      <w:rFonts w:ascii="Symbol" w:hAnsi="Symbol"/>
    </w:rPr>
  </w:style>
  <w:style w:type="character" w:customStyle="1" w:styleId="WW8Num152z0">
    <w:name w:val="WW8Num152z0"/>
    <w:rsid w:val="00B24E11"/>
    <w:rPr>
      <w:rFonts w:ascii="Wingdings" w:hAnsi="Wingdings"/>
    </w:rPr>
  </w:style>
  <w:style w:type="character" w:customStyle="1" w:styleId="WW8Num153z0">
    <w:name w:val="WW8Num153z0"/>
    <w:rsid w:val="00B24E11"/>
    <w:rPr>
      <w:rFonts w:ascii="Times New Roman" w:hAnsi="Times New Roman"/>
      <w:color w:val="auto"/>
    </w:rPr>
  </w:style>
  <w:style w:type="character" w:customStyle="1" w:styleId="WW8Num154z0">
    <w:name w:val="WW8Num154z0"/>
    <w:rsid w:val="00B24E11"/>
    <w:rPr>
      <w:rFonts w:ascii="Symbol" w:hAnsi="Symbol"/>
    </w:rPr>
  </w:style>
  <w:style w:type="character" w:customStyle="1" w:styleId="WW8Num155z0">
    <w:name w:val="WW8Num155z0"/>
    <w:rsid w:val="00B24E11"/>
    <w:rPr>
      <w:u w:val="none"/>
    </w:rPr>
  </w:style>
  <w:style w:type="character" w:customStyle="1" w:styleId="WW8Num156z0">
    <w:name w:val="WW8Num156z0"/>
    <w:rsid w:val="00B24E11"/>
    <w:rPr>
      <w:rFonts w:ascii="Times New Roman" w:hAnsi="Times New Roman"/>
    </w:rPr>
  </w:style>
  <w:style w:type="character" w:customStyle="1" w:styleId="WW8Num157z0">
    <w:name w:val="WW8Num157z0"/>
    <w:rsid w:val="00B24E11"/>
    <w:rPr>
      <w:rFonts w:ascii="Times New Roman" w:hAnsi="Times New Roman"/>
    </w:rPr>
  </w:style>
  <w:style w:type="character" w:customStyle="1" w:styleId="WW8Num158z0">
    <w:name w:val="WW8Num158z0"/>
    <w:rsid w:val="00B24E11"/>
    <w:rPr>
      <w:rFonts w:ascii="Times New Roman" w:hAnsi="Times New Roman"/>
      <w:color w:val="auto"/>
    </w:rPr>
  </w:style>
  <w:style w:type="character" w:customStyle="1" w:styleId="WW8Num159z0">
    <w:name w:val="WW8Num159z0"/>
    <w:rsid w:val="00B24E11"/>
    <w:rPr>
      <w:rFonts w:ascii="Symbol" w:hAnsi="Symbol"/>
    </w:rPr>
  </w:style>
  <w:style w:type="character" w:customStyle="1" w:styleId="WW8Num160z0">
    <w:name w:val="WW8Num160z0"/>
    <w:rsid w:val="00B24E11"/>
    <w:rPr>
      <w:rFonts w:ascii="Symbol" w:hAnsi="Symbol"/>
      <w:color w:val="auto"/>
      <w:sz w:val="16"/>
    </w:rPr>
  </w:style>
  <w:style w:type="character" w:customStyle="1" w:styleId="WW8Num160z1">
    <w:name w:val="WW8Num160z1"/>
    <w:rsid w:val="00B24E11"/>
    <w:rPr>
      <w:rFonts w:ascii="Courier New" w:hAnsi="Courier New"/>
    </w:rPr>
  </w:style>
  <w:style w:type="character" w:customStyle="1" w:styleId="WW8Num160z2">
    <w:name w:val="WW8Num160z2"/>
    <w:rsid w:val="00B24E11"/>
    <w:rPr>
      <w:rFonts w:ascii="Wingdings" w:hAnsi="Wingdings"/>
    </w:rPr>
  </w:style>
  <w:style w:type="character" w:customStyle="1" w:styleId="WW8Num160z3">
    <w:name w:val="WW8Num160z3"/>
    <w:rsid w:val="00B24E11"/>
    <w:rPr>
      <w:rFonts w:ascii="Symbol" w:hAnsi="Symbol"/>
    </w:rPr>
  </w:style>
  <w:style w:type="character" w:customStyle="1" w:styleId="WW8Num161z0">
    <w:name w:val="WW8Num161z0"/>
    <w:rsid w:val="00B24E11"/>
    <w:rPr>
      <w:rFonts w:ascii="Arial" w:hAnsi="Arial"/>
      <w:b/>
      <w:i w:val="0"/>
      <w:sz w:val="20"/>
      <w:u w:val="single"/>
    </w:rPr>
  </w:style>
  <w:style w:type="character" w:customStyle="1" w:styleId="WW8Num162z0">
    <w:name w:val="WW8Num162z0"/>
    <w:rsid w:val="00B24E11"/>
    <w:rPr>
      <w:rFonts w:ascii="Arial" w:hAnsi="Arial"/>
      <w:b w:val="0"/>
      <w:i w:val="0"/>
      <w:sz w:val="22"/>
      <w:u w:val="none"/>
    </w:rPr>
  </w:style>
  <w:style w:type="character" w:customStyle="1" w:styleId="WW8Num163z0">
    <w:name w:val="WW8Num163z0"/>
    <w:rsid w:val="00B24E11"/>
    <w:rPr>
      <w:rFonts w:ascii="Symbol" w:hAnsi="Symbol"/>
    </w:rPr>
  </w:style>
  <w:style w:type="character" w:customStyle="1" w:styleId="WW8Num164z0">
    <w:name w:val="WW8Num164z0"/>
    <w:rsid w:val="00B24E11"/>
    <w:rPr>
      <w:rFonts w:ascii="Wingdings" w:hAnsi="Wingdings"/>
    </w:rPr>
  </w:style>
  <w:style w:type="character" w:customStyle="1" w:styleId="WW8Num165z0">
    <w:name w:val="WW8Num165z0"/>
    <w:rsid w:val="00B24E11"/>
    <w:rPr>
      <w:u w:val="single"/>
    </w:rPr>
  </w:style>
  <w:style w:type="character" w:customStyle="1" w:styleId="WW8Num166z0">
    <w:name w:val="WW8Num166z0"/>
    <w:rsid w:val="00B24E11"/>
    <w:rPr>
      <w:rFonts w:ascii="Symbol" w:hAnsi="Symbol"/>
    </w:rPr>
  </w:style>
  <w:style w:type="character" w:customStyle="1" w:styleId="WW8Num167z0">
    <w:name w:val="WW8Num167z0"/>
    <w:rsid w:val="00B24E11"/>
    <w:rPr>
      <w:rFonts w:ascii="Wingdings" w:hAnsi="Wingdings"/>
    </w:rPr>
  </w:style>
  <w:style w:type="character" w:customStyle="1" w:styleId="WW8Num168z0">
    <w:name w:val="WW8Num168z0"/>
    <w:rsid w:val="00B24E11"/>
    <w:rPr>
      <w:rFonts w:ascii="Symbol" w:hAnsi="Symbol"/>
    </w:rPr>
  </w:style>
  <w:style w:type="character" w:customStyle="1" w:styleId="WW8Num169z0">
    <w:name w:val="WW8Num169z0"/>
    <w:rsid w:val="00B24E11"/>
    <w:rPr>
      <w:rFonts w:ascii="Times New Roman" w:hAnsi="Times New Roman"/>
      <w:color w:val="auto"/>
    </w:rPr>
  </w:style>
  <w:style w:type="character" w:customStyle="1" w:styleId="WW8Num170z0">
    <w:name w:val="WW8Num170z0"/>
    <w:rsid w:val="00B24E11"/>
    <w:rPr>
      <w:rFonts w:ascii="Symbol" w:hAnsi="Symbol"/>
    </w:rPr>
  </w:style>
  <w:style w:type="character" w:customStyle="1" w:styleId="WW8Num171z0">
    <w:name w:val="WW8Num171z0"/>
    <w:rsid w:val="00B24E11"/>
    <w:rPr>
      <w:rFonts w:ascii="Wingdings" w:hAnsi="Wingdings"/>
    </w:rPr>
  </w:style>
  <w:style w:type="character" w:customStyle="1" w:styleId="WW8Num172z0">
    <w:name w:val="WW8Num172z0"/>
    <w:rsid w:val="00B24E11"/>
    <w:rPr>
      <w:rFonts w:ascii="Symbol" w:hAnsi="Symbol"/>
    </w:rPr>
  </w:style>
  <w:style w:type="character" w:customStyle="1" w:styleId="WW8Num173z0">
    <w:name w:val="WW8Num173z0"/>
    <w:rsid w:val="00B24E11"/>
    <w:rPr>
      <w:rFonts w:ascii="Times New Roman" w:eastAsia="Times New Roman" w:hAnsi="Times New Roman" w:cs="Times New Roman"/>
    </w:rPr>
  </w:style>
  <w:style w:type="character" w:customStyle="1" w:styleId="WW8Num173z1">
    <w:name w:val="WW8Num173z1"/>
    <w:rsid w:val="00B24E11"/>
    <w:rPr>
      <w:rFonts w:ascii="Courier New" w:hAnsi="Courier New"/>
    </w:rPr>
  </w:style>
  <w:style w:type="character" w:customStyle="1" w:styleId="WW8Num173z2">
    <w:name w:val="WW8Num173z2"/>
    <w:rsid w:val="00B24E11"/>
    <w:rPr>
      <w:rFonts w:ascii="Wingdings" w:hAnsi="Wingdings"/>
    </w:rPr>
  </w:style>
  <w:style w:type="character" w:customStyle="1" w:styleId="WW8Num173z3">
    <w:name w:val="WW8Num173z3"/>
    <w:rsid w:val="00B24E11"/>
    <w:rPr>
      <w:rFonts w:ascii="Symbol" w:hAnsi="Symbol"/>
    </w:rPr>
  </w:style>
  <w:style w:type="character" w:customStyle="1" w:styleId="WW8Num174z0">
    <w:name w:val="WW8Num174z0"/>
    <w:rsid w:val="00B24E11"/>
    <w:rPr>
      <w:rFonts w:ascii="Wingdings" w:hAnsi="Wingdings"/>
      <w:sz w:val="16"/>
    </w:rPr>
  </w:style>
  <w:style w:type="character" w:customStyle="1" w:styleId="WW8Num175z0">
    <w:name w:val="WW8Num175z0"/>
    <w:rsid w:val="00B24E11"/>
    <w:rPr>
      <w:rFonts w:ascii="Symbol" w:hAnsi="Symbol"/>
    </w:rPr>
  </w:style>
  <w:style w:type="character" w:customStyle="1" w:styleId="WW8Num177z0">
    <w:name w:val="WW8Num177z0"/>
    <w:rsid w:val="00B24E11"/>
    <w:rPr>
      <w:rFonts w:ascii="Wingdings" w:hAnsi="Wingdings"/>
    </w:rPr>
  </w:style>
  <w:style w:type="character" w:customStyle="1" w:styleId="WW8Num178z0">
    <w:name w:val="WW8Num178z0"/>
    <w:rsid w:val="00B24E11"/>
    <w:rPr>
      <w:rFonts w:ascii="Symbol" w:hAnsi="Symbol"/>
    </w:rPr>
  </w:style>
  <w:style w:type="character" w:customStyle="1" w:styleId="WW8Num180z0">
    <w:name w:val="WW8Num180z0"/>
    <w:rsid w:val="00B24E11"/>
    <w:rPr>
      <w:rFonts w:ascii="Symbol" w:hAnsi="Symbol"/>
    </w:rPr>
  </w:style>
  <w:style w:type="character" w:customStyle="1" w:styleId="WW8Num181z0">
    <w:name w:val="WW8Num181z0"/>
    <w:rsid w:val="00B24E11"/>
    <w:rPr>
      <w:rFonts w:ascii="Times New Roman" w:hAnsi="Times New Roman"/>
      <w:b w:val="0"/>
      <w:i w:val="0"/>
      <w:sz w:val="24"/>
      <w:u w:val="none"/>
    </w:rPr>
  </w:style>
  <w:style w:type="character" w:customStyle="1" w:styleId="WW8Num183z0">
    <w:name w:val="WW8Num183z0"/>
    <w:rsid w:val="00B24E11"/>
    <w:rPr>
      <w:rFonts w:ascii="Wingdings" w:hAnsi="Wingdings"/>
    </w:rPr>
  </w:style>
  <w:style w:type="character" w:customStyle="1" w:styleId="WW8Num183z1">
    <w:name w:val="WW8Num183z1"/>
    <w:rsid w:val="00B24E11"/>
    <w:rPr>
      <w:rFonts w:ascii="Courier New" w:hAnsi="Courier New"/>
    </w:rPr>
  </w:style>
  <w:style w:type="character" w:customStyle="1" w:styleId="WW8Num183z3">
    <w:name w:val="WW8Num183z3"/>
    <w:rsid w:val="00B24E11"/>
    <w:rPr>
      <w:rFonts w:ascii="Symbol" w:hAnsi="Symbol"/>
    </w:rPr>
  </w:style>
  <w:style w:type="character" w:customStyle="1" w:styleId="WW8Num186z0">
    <w:name w:val="WW8Num186z0"/>
    <w:rsid w:val="00B24E11"/>
    <w:rPr>
      <w:rFonts w:ascii="Times New Roman" w:hAnsi="Times New Roman"/>
      <w:color w:val="auto"/>
    </w:rPr>
  </w:style>
  <w:style w:type="character" w:customStyle="1" w:styleId="WW8Num190z0">
    <w:name w:val="WW8Num190z0"/>
    <w:rsid w:val="00B24E11"/>
    <w:rPr>
      <w:rFonts w:ascii="Times New Roman" w:hAnsi="Times New Roman"/>
      <w:color w:val="auto"/>
    </w:rPr>
  </w:style>
  <w:style w:type="character" w:customStyle="1" w:styleId="WW8Num191z0">
    <w:name w:val="WW8Num191z0"/>
    <w:rsid w:val="00B24E11"/>
    <w:rPr>
      <w:rFonts w:ascii="Symbol" w:hAnsi="Symbol"/>
      <w:color w:val="auto"/>
      <w:sz w:val="16"/>
    </w:rPr>
  </w:style>
  <w:style w:type="character" w:customStyle="1" w:styleId="WW8Num191z1">
    <w:name w:val="WW8Num191z1"/>
    <w:rsid w:val="00B24E11"/>
    <w:rPr>
      <w:rFonts w:ascii="Courier New" w:hAnsi="Courier New"/>
    </w:rPr>
  </w:style>
  <w:style w:type="character" w:customStyle="1" w:styleId="WW8Num191z2">
    <w:name w:val="WW8Num191z2"/>
    <w:rsid w:val="00B24E11"/>
    <w:rPr>
      <w:rFonts w:ascii="Wingdings" w:hAnsi="Wingdings"/>
    </w:rPr>
  </w:style>
  <w:style w:type="character" w:customStyle="1" w:styleId="WW8Num191z3">
    <w:name w:val="WW8Num191z3"/>
    <w:rsid w:val="00B24E11"/>
    <w:rPr>
      <w:rFonts w:ascii="Symbol" w:hAnsi="Symbol"/>
    </w:rPr>
  </w:style>
  <w:style w:type="character" w:customStyle="1" w:styleId="WW8Num192z0">
    <w:name w:val="WW8Num192z0"/>
    <w:rsid w:val="00B24E11"/>
    <w:rPr>
      <w:rFonts w:ascii="Symbol" w:hAnsi="Symbol"/>
      <w:sz w:val="20"/>
    </w:rPr>
  </w:style>
  <w:style w:type="character" w:customStyle="1" w:styleId="WW8Num193z0">
    <w:name w:val="WW8Num193z0"/>
    <w:rsid w:val="00B24E11"/>
    <w:rPr>
      <w:rFonts w:ascii="Symbol" w:hAnsi="Symbol"/>
      <w:color w:val="auto"/>
      <w:sz w:val="16"/>
    </w:rPr>
  </w:style>
  <w:style w:type="character" w:customStyle="1" w:styleId="WW8Num193z1">
    <w:name w:val="WW8Num193z1"/>
    <w:rsid w:val="00B24E11"/>
    <w:rPr>
      <w:rFonts w:ascii="Courier New" w:hAnsi="Courier New"/>
    </w:rPr>
  </w:style>
  <w:style w:type="character" w:customStyle="1" w:styleId="WW8Num193z2">
    <w:name w:val="WW8Num193z2"/>
    <w:rsid w:val="00B24E11"/>
    <w:rPr>
      <w:rFonts w:ascii="Wingdings" w:hAnsi="Wingdings"/>
    </w:rPr>
  </w:style>
  <w:style w:type="character" w:customStyle="1" w:styleId="WW8Num193z3">
    <w:name w:val="WW8Num193z3"/>
    <w:rsid w:val="00B24E11"/>
    <w:rPr>
      <w:rFonts w:ascii="Symbol" w:hAnsi="Symbol"/>
    </w:rPr>
  </w:style>
  <w:style w:type="character" w:customStyle="1" w:styleId="WW8Num195z0">
    <w:name w:val="WW8Num195z0"/>
    <w:rsid w:val="00B24E11"/>
    <w:rPr>
      <w:rFonts w:ascii="Symbol" w:hAnsi="Symbol"/>
    </w:rPr>
  </w:style>
  <w:style w:type="character" w:customStyle="1" w:styleId="WW8Num197z0">
    <w:name w:val="WW8Num197z0"/>
    <w:rsid w:val="00B24E11"/>
    <w:rPr>
      <w:rFonts w:ascii="Symbol" w:hAnsi="Symbol"/>
    </w:rPr>
  </w:style>
  <w:style w:type="character" w:customStyle="1" w:styleId="WW8Num197z1">
    <w:name w:val="WW8Num197z1"/>
    <w:rsid w:val="00B24E11"/>
    <w:rPr>
      <w:rFonts w:ascii="Courier New" w:hAnsi="Courier New"/>
    </w:rPr>
  </w:style>
  <w:style w:type="character" w:customStyle="1" w:styleId="WW8Num197z2">
    <w:name w:val="WW8Num197z2"/>
    <w:rsid w:val="00B24E11"/>
    <w:rPr>
      <w:rFonts w:ascii="Wingdings" w:hAnsi="Wingdings"/>
    </w:rPr>
  </w:style>
  <w:style w:type="character" w:customStyle="1" w:styleId="WW8Num198z0">
    <w:name w:val="WW8Num198z0"/>
    <w:rsid w:val="00B24E11"/>
    <w:rPr>
      <w:rFonts w:ascii="Symbol" w:hAnsi="Symbol"/>
    </w:rPr>
  </w:style>
  <w:style w:type="character" w:customStyle="1" w:styleId="WW8Num200z0">
    <w:name w:val="WW8Num200z0"/>
    <w:rsid w:val="00B24E11"/>
    <w:rPr>
      <w:rFonts w:ascii="Symbol" w:hAnsi="Symbol"/>
    </w:rPr>
  </w:style>
  <w:style w:type="character" w:customStyle="1" w:styleId="WW8Num201z0">
    <w:name w:val="WW8Num201z0"/>
    <w:rsid w:val="00B24E11"/>
    <w:rPr>
      <w:rFonts w:ascii="Symbol" w:hAnsi="Symbol"/>
    </w:rPr>
  </w:style>
  <w:style w:type="character" w:customStyle="1" w:styleId="WW8Num203z0">
    <w:name w:val="WW8Num203z0"/>
    <w:rsid w:val="00B24E11"/>
    <w:rPr>
      <w:rFonts w:ascii="Times New Roman" w:hAnsi="Times New Roman"/>
    </w:rPr>
  </w:style>
  <w:style w:type="character" w:customStyle="1" w:styleId="WW8Num204z0">
    <w:name w:val="WW8Num204z0"/>
    <w:rsid w:val="00B24E11"/>
    <w:rPr>
      <w:rFonts w:ascii="Symbol" w:hAnsi="Symbol"/>
      <w:color w:val="auto"/>
      <w:sz w:val="16"/>
    </w:rPr>
  </w:style>
  <w:style w:type="character" w:customStyle="1" w:styleId="WW8Num204z1">
    <w:name w:val="WW8Num204z1"/>
    <w:rsid w:val="00B24E11"/>
    <w:rPr>
      <w:rFonts w:ascii="Courier New" w:hAnsi="Courier New"/>
    </w:rPr>
  </w:style>
  <w:style w:type="character" w:customStyle="1" w:styleId="WW8Num204z2">
    <w:name w:val="WW8Num204z2"/>
    <w:rsid w:val="00B24E11"/>
    <w:rPr>
      <w:rFonts w:ascii="Wingdings" w:hAnsi="Wingdings"/>
    </w:rPr>
  </w:style>
  <w:style w:type="character" w:customStyle="1" w:styleId="WW8Num204z3">
    <w:name w:val="WW8Num204z3"/>
    <w:rsid w:val="00B24E11"/>
    <w:rPr>
      <w:rFonts w:ascii="Symbol" w:hAnsi="Symbol"/>
    </w:rPr>
  </w:style>
  <w:style w:type="character" w:customStyle="1" w:styleId="WW8Num205z0">
    <w:name w:val="WW8Num205z0"/>
    <w:rsid w:val="00B24E11"/>
    <w:rPr>
      <w:rFonts w:ascii="Symbol" w:hAnsi="Symbol"/>
    </w:rPr>
  </w:style>
  <w:style w:type="character" w:customStyle="1" w:styleId="WW8Num205z1">
    <w:name w:val="WW8Num205z1"/>
    <w:rsid w:val="00B24E11"/>
    <w:rPr>
      <w:rFonts w:ascii="Courier New" w:hAnsi="Courier New"/>
    </w:rPr>
  </w:style>
  <w:style w:type="character" w:customStyle="1" w:styleId="WW8Num205z2">
    <w:name w:val="WW8Num205z2"/>
    <w:rsid w:val="00B24E11"/>
    <w:rPr>
      <w:rFonts w:ascii="Wingdings" w:hAnsi="Wingdings"/>
    </w:rPr>
  </w:style>
  <w:style w:type="character" w:customStyle="1" w:styleId="WW8Num206z0">
    <w:name w:val="WW8Num206z0"/>
    <w:rsid w:val="00B24E11"/>
    <w:rPr>
      <w:rFonts w:ascii="Times New Roman" w:hAnsi="Times New Roman"/>
    </w:rPr>
  </w:style>
  <w:style w:type="character" w:customStyle="1" w:styleId="WW8Num207z0">
    <w:name w:val="WW8Num207z0"/>
    <w:rsid w:val="00B24E11"/>
    <w:rPr>
      <w:rFonts w:ascii="Wingdings" w:hAnsi="Wingdings"/>
    </w:rPr>
  </w:style>
  <w:style w:type="character" w:customStyle="1" w:styleId="WW8Num207z1">
    <w:name w:val="WW8Num207z1"/>
    <w:rsid w:val="00B24E11"/>
    <w:rPr>
      <w:rFonts w:ascii="Courier New" w:hAnsi="Courier New"/>
    </w:rPr>
  </w:style>
  <w:style w:type="character" w:customStyle="1" w:styleId="WW8Num207z3">
    <w:name w:val="WW8Num207z3"/>
    <w:rsid w:val="00B24E11"/>
    <w:rPr>
      <w:rFonts w:ascii="Symbol" w:hAnsi="Symbol"/>
    </w:rPr>
  </w:style>
  <w:style w:type="character" w:customStyle="1" w:styleId="WW8Num208z0">
    <w:name w:val="WW8Num208z0"/>
    <w:rsid w:val="00B24E11"/>
    <w:rPr>
      <w:rFonts w:ascii="Symbol" w:hAnsi="Symbol"/>
    </w:rPr>
  </w:style>
  <w:style w:type="character" w:customStyle="1" w:styleId="WW8Num210z0">
    <w:name w:val="WW8Num210z0"/>
    <w:rsid w:val="00B24E11"/>
    <w:rPr>
      <w:rFonts w:ascii="Wingdings" w:hAnsi="Wingdings"/>
    </w:rPr>
  </w:style>
  <w:style w:type="character" w:customStyle="1" w:styleId="WW8Num212z0">
    <w:name w:val="WW8Num212z0"/>
    <w:rsid w:val="00B24E11"/>
    <w:rPr>
      <w:rFonts w:ascii="Wingdings" w:hAnsi="Wingdings"/>
    </w:rPr>
  </w:style>
  <w:style w:type="character" w:customStyle="1" w:styleId="WW8Num213z0">
    <w:name w:val="WW8Num213z0"/>
    <w:rsid w:val="00B24E11"/>
    <w:rPr>
      <w:rFonts w:ascii="Times New Roman" w:hAnsi="Times New Roman"/>
      <w:color w:val="auto"/>
    </w:rPr>
  </w:style>
  <w:style w:type="character" w:customStyle="1" w:styleId="WW8Num214z0">
    <w:name w:val="WW8Num214z0"/>
    <w:rsid w:val="00B24E11"/>
    <w:rPr>
      <w:rFonts w:ascii="Times New Roman" w:hAnsi="Times New Roman"/>
      <w:color w:val="auto"/>
    </w:rPr>
  </w:style>
  <w:style w:type="character" w:customStyle="1" w:styleId="WW8Num216z0">
    <w:name w:val="WW8Num216z0"/>
    <w:rsid w:val="00B24E11"/>
    <w:rPr>
      <w:rFonts w:ascii="Symbol" w:hAnsi="Symbol"/>
      <w:color w:val="auto"/>
      <w:sz w:val="16"/>
    </w:rPr>
  </w:style>
  <w:style w:type="character" w:customStyle="1" w:styleId="WW8Num216z1">
    <w:name w:val="WW8Num216z1"/>
    <w:rsid w:val="00B24E11"/>
    <w:rPr>
      <w:rFonts w:ascii="Courier New" w:hAnsi="Courier New"/>
    </w:rPr>
  </w:style>
  <w:style w:type="character" w:customStyle="1" w:styleId="WW8Num216z2">
    <w:name w:val="WW8Num216z2"/>
    <w:rsid w:val="00B24E11"/>
    <w:rPr>
      <w:rFonts w:ascii="Wingdings" w:hAnsi="Wingdings"/>
    </w:rPr>
  </w:style>
  <w:style w:type="character" w:customStyle="1" w:styleId="WW8Num216z3">
    <w:name w:val="WW8Num216z3"/>
    <w:rsid w:val="00B24E11"/>
    <w:rPr>
      <w:rFonts w:ascii="Symbol" w:hAnsi="Symbol"/>
    </w:rPr>
  </w:style>
  <w:style w:type="character" w:customStyle="1" w:styleId="WW8Num217z0">
    <w:name w:val="WW8Num217z0"/>
    <w:rsid w:val="00B24E11"/>
    <w:rPr>
      <w:rFonts w:ascii="Symbol" w:hAnsi="Symbol"/>
      <w:color w:val="auto"/>
      <w:sz w:val="16"/>
    </w:rPr>
  </w:style>
  <w:style w:type="character" w:customStyle="1" w:styleId="WW8Num217z1">
    <w:name w:val="WW8Num217z1"/>
    <w:rsid w:val="00B24E11"/>
    <w:rPr>
      <w:rFonts w:ascii="Courier New" w:hAnsi="Courier New"/>
    </w:rPr>
  </w:style>
  <w:style w:type="character" w:customStyle="1" w:styleId="WW8Num217z2">
    <w:name w:val="WW8Num217z2"/>
    <w:rsid w:val="00B24E11"/>
    <w:rPr>
      <w:rFonts w:ascii="Wingdings" w:hAnsi="Wingdings"/>
    </w:rPr>
  </w:style>
  <w:style w:type="character" w:customStyle="1" w:styleId="WW8Num217z3">
    <w:name w:val="WW8Num217z3"/>
    <w:rsid w:val="00B24E11"/>
    <w:rPr>
      <w:rFonts w:ascii="Symbol" w:hAnsi="Symbol"/>
    </w:rPr>
  </w:style>
  <w:style w:type="character" w:customStyle="1" w:styleId="WW8Num218z0">
    <w:name w:val="WW8Num218z0"/>
    <w:rsid w:val="00B24E11"/>
    <w:rPr>
      <w:rFonts w:ascii="Symbol" w:hAnsi="Symbol"/>
    </w:rPr>
  </w:style>
  <w:style w:type="character" w:customStyle="1" w:styleId="WW8Num220z0">
    <w:name w:val="WW8Num220z0"/>
    <w:rsid w:val="00B24E11"/>
    <w:rPr>
      <w:rFonts w:ascii="Symbol" w:hAnsi="Symbol"/>
      <w:color w:val="auto"/>
    </w:rPr>
  </w:style>
  <w:style w:type="character" w:customStyle="1" w:styleId="WW8Num221z0">
    <w:name w:val="WW8Num221z0"/>
    <w:rsid w:val="00B24E11"/>
    <w:rPr>
      <w:rFonts w:ascii="Symbol" w:hAnsi="Symbol"/>
    </w:rPr>
  </w:style>
  <w:style w:type="character" w:customStyle="1" w:styleId="WW8Num222z0">
    <w:name w:val="WW8Num222z0"/>
    <w:rsid w:val="00B24E11"/>
    <w:rPr>
      <w:rFonts w:ascii="Times New Roman" w:hAnsi="Times New Roman"/>
      <w:color w:val="auto"/>
    </w:rPr>
  </w:style>
  <w:style w:type="character" w:customStyle="1" w:styleId="WW8Num223z0">
    <w:name w:val="WW8Num223z0"/>
    <w:rsid w:val="00B24E11"/>
    <w:rPr>
      <w:rFonts w:ascii="Symbol" w:hAnsi="Symbol"/>
    </w:rPr>
  </w:style>
  <w:style w:type="character" w:customStyle="1" w:styleId="WW8Num224z0">
    <w:name w:val="WW8Num224z0"/>
    <w:rsid w:val="00B24E11"/>
    <w:rPr>
      <w:rFonts w:ascii="Times New Roman" w:hAnsi="Times New Roman"/>
      <w:b/>
      <w:i w:val="0"/>
      <w:sz w:val="28"/>
      <w:u w:val="none"/>
    </w:rPr>
  </w:style>
  <w:style w:type="character" w:customStyle="1" w:styleId="WW8Num226z0">
    <w:name w:val="WW8Num226z0"/>
    <w:rsid w:val="00B24E11"/>
    <w:rPr>
      <w:rFonts w:ascii="Arial" w:hAnsi="Arial"/>
      <w:b/>
      <w:i w:val="0"/>
    </w:rPr>
  </w:style>
  <w:style w:type="character" w:customStyle="1" w:styleId="WW8Num229z0">
    <w:name w:val="WW8Num229z0"/>
    <w:rsid w:val="00B24E11"/>
    <w:rPr>
      <w:rFonts w:ascii="Arial" w:hAnsi="Arial"/>
      <w:b w:val="0"/>
      <w:i w:val="0"/>
      <w:sz w:val="20"/>
      <w:u w:val="none"/>
    </w:rPr>
  </w:style>
  <w:style w:type="character" w:customStyle="1" w:styleId="WW8Num231z0">
    <w:name w:val="WW8Num231z0"/>
    <w:rsid w:val="00B24E11"/>
    <w:rPr>
      <w:u w:val="none"/>
    </w:rPr>
  </w:style>
  <w:style w:type="character" w:customStyle="1" w:styleId="WW8Num232z0">
    <w:name w:val="WW8Num232z0"/>
    <w:rsid w:val="00B24E11"/>
    <w:rPr>
      <w:rFonts w:ascii="Wingdings" w:hAnsi="Wingdings"/>
    </w:rPr>
  </w:style>
  <w:style w:type="character" w:customStyle="1" w:styleId="WW8Num233z0">
    <w:name w:val="WW8Num233z0"/>
    <w:rsid w:val="00B24E11"/>
    <w:rPr>
      <w:rFonts w:ascii="Wingdings" w:hAnsi="Wingdings"/>
    </w:rPr>
  </w:style>
  <w:style w:type="character" w:customStyle="1" w:styleId="WW8Num236z0">
    <w:name w:val="WW8Num236z0"/>
    <w:rsid w:val="00B24E11"/>
    <w:rPr>
      <w:rFonts w:ascii="Symbol" w:hAnsi="Symbol"/>
      <w:color w:val="auto"/>
      <w:sz w:val="16"/>
    </w:rPr>
  </w:style>
  <w:style w:type="character" w:customStyle="1" w:styleId="WW8Num236z1">
    <w:name w:val="WW8Num236z1"/>
    <w:rsid w:val="00B24E11"/>
    <w:rPr>
      <w:rFonts w:ascii="Courier New" w:hAnsi="Courier New"/>
    </w:rPr>
  </w:style>
  <w:style w:type="character" w:customStyle="1" w:styleId="WW8Num236z2">
    <w:name w:val="WW8Num236z2"/>
    <w:rsid w:val="00B24E11"/>
    <w:rPr>
      <w:rFonts w:ascii="Wingdings" w:hAnsi="Wingdings"/>
    </w:rPr>
  </w:style>
  <w:style w:type="character" w:customStyle="1" w:styleId="WW8Num236z3">
    <w:name w:val="WW8Num236z3"/>
    <w:rsid w:val="00B24E11"/>
    <w:rPr>
      <w:rFonts w:ascii="Symbol" w:hAnsi="Symbol"/>
    </w:rPr>
  </w:style>
  <w:style w:type="character" w:customStyle="1" w:styleId="WW8Num237z0">
    <w:name w:val="WW8Num237z0"/>
    <w:rsid w:val="00B24E11"/>
    <w:rPr>
      <w:rFonts w:ascii="Symbol" w:hAnsi="Symbol"/>
    </w:rPr>
  </w:style>
  <w:style w:type="character" w:customStyle="1" w:styleId="WW8Num238z0">
    <w:name w:val="WW8Num238z0"/>
    <w:rsid w:val="00B24E11"/>
    <w:rPr>
      <w:rFonts w:ascii="Symbol" w:hAnsi="Symbol"/>
    </w:rPr>
  </w:style>
  <w:style w:type="character" w:customStyle="1" w:styleId="WW8Num239z0">
    <w:name w:val="WW8Num239z0"/>
    <w:rsid w:val="00B24E11"/>
    <w:rPr>
      <w:rFonts w:ascii="Wingdings" w:hAnsi="Wingdings"/>
    </w:rPr>
  </w:style>
  <w:style w:type="character" w:customStyle="1" w:styleId="WW8Num243z0">
    <w:name w:val="WW8Num243z0"/>
    <w:rsid w:val="00B24E11"/>
    <w:rPr>
      <w:rFonts w:ascii="Symbol" w:hAnsi="Symbol"/>
    </w:rPr>
  </w:style>
  <w:style w:type="character" w:customStyle="1" w:styleId="WW8Num244z0">
    <w:name w:val="WW8Num244z0"/>
    <w:rsid w:val="00B24E11"/>
    <w:rPr>
      <w:rFonts w:ascii="Symbol" w:hAnsi="Symbol"/>
      <w:color w:val="auto"/>
      <w:sz w:val="16"/>
    </w:rPr>
  </w:style>
  <w:style w:type="character" w:customStyle="1" w:styleId="WW8Num244z1">
    <w:name w:val="WW8Num244z1"/>
    <w:rsid w:val="00B24E11"/>
    <w:rPr>
      <w:rFonts w:ascii="Courier New" w:hAnsi="Courier New"/>
    </w:rPr>
  </w:style>
  <w:style w:type="character" w:customStyle="1" w:styleId="WW8Num244z2">
    <w:name w:val="WW8Num244z2"/>
    <w:rsid w:val="00B24E11"/>
    <w:rPr>
      <w:rFonts w:ascii="Wingdings" w:hAnsi="Wingdings"/>
    </w:rPr>
  </w:style>
  <w:style w:type="character" w:customStyle="1" w:styleId="WW8Num244z3">
    <w:name w:val="WW8Num244z3"/>
    <w:rsid w:val="00B24E11"/>
    <w:rPr>
      <w:rFonts w:ascii="Symbol" w:hAnsi="Symbol"/>
    </w:rPr>
  </w:style>
  <w:style w:type="character" w:customStyle="1" w:styleId="WW8Num245z0">
    <w:name w:val="WW8Num245z0"/>
    <w:rsid w:val="00B24E11"/>
    <w:rPr>
      <w:rFonts w:ascii="Symbol" w:hAnsi="Symbol"/>
    </w:rPr>
  </w:style>
  <w:style w:type="character" w:customStyle="1" w:styleId="WW8Num246z0">
    <w:name w:val="WW8Num246z0"/>
    <w:rsid w:val="00B24E11"/>
    <w:rPr>
      <w:rFonts w:ascii="Arial" w:hAnsi="Arial"/>
      <w:b/>
      <w:i w:val="0"/>
      <w:sz w:val="24"/>
      <w:u w:val="none"/>
    </w:rPr>
  </w:style>
  <w:style w:type="character" w:customStyle="1" w:styleId="WW8Num247z0">
    <w:name w:val="WW8Num247z0"/>
    <w:rsid w:val="00B24E11"/>
    <w:rPr>
      <w:rFonts w:ascii="Symbol" w:hAnsi="Symbol"/>
      <w:color w:val="auto"/>
      <w:sz w:val="16"/>
    </w:rPr>
  </w:style>
  <w:style w:type="character" w:customStyle="1" w:styleId="WW8Num247z1">
    <w:name w:val="WW8Num247z1"/>
    <w:rsid w:val="00B24E11"/>
    <w:rPr>
      <w:rFonts w:ascii="Courier New" w:hAnsi="Courier New"/>
    </w:rPr>
  </w:style>
  <w:style w:type="character" w:customStyle="1" w:styleId="WW8Num247z2">
    <w:name w:val="WW8Num247z2"/>
    <w:rsid w:val="00B24E11"/>
    <w:rPr>
      <w:rFonts w:ascii="Wingdings" w:hAnsi="Wingdings"/>
    </w:rPr>
  </w:style>
  <w:style w:type="character" w:customStyle="1" w:styleId="WW8Num247z3">
    <w:name w:val="WW8Num247z3"/>
    <w:rsid w:val="00B24E11"/>
    <w:rPr>
      <w:rFonts w:ascii="Symbol" w:hAnsi="Symbol"/>
    </w:rPr>
  </w:style>
  <w:style w:type="character" w:customStyle="1" w:styleId="WW8Num248z0">
    <w:name w:val="WW8Num248z0"/>
    <w:rsid w:val="00B24E11"/>
    <w:rPr>
      <w:rFonts w:ascii="Monotype Sorts" w:hAnsi="Monotype Sorts"/>
    </w:rPr>
  </w:style>
  <w:style w:type="character" w:customStyle="1" w:styleId="WW8Num249z0">
    <w:name w:val="WW8Num249z0"/>
    <w:rsid w:val="00B24E11"/>
    <w:rPr>
      <w:rFonts w:ascii="Times New Roman" w:hAnsi="Times New Roman"/>
    </w:rPr>
  </w:style>
  <w:style w:type="character" w:customStyle="1" w:styleId="WW8Num250z0">
    <w:name w:val="WW8Num250z0"/>
    <w:rsid w:val="00B24E11"/>
    <w:rPr>
      <w:rFonts w:ascii="Symbol" w:hAnsi="Symbol"/>
    </w:rPr>
  </w:style>
  <w:style w:type="character" w:customStyle="1" w:styleId="WW8Num251z1">
    <w:name w:val="WW8Num251z1"/>
    <w:rsid w:val="00B24E11"/>
    <w:rPr>
      <w:rFonts w:ascii="Courier New" w:hAnsi="Courier New"/>
    </w:rPr>
  </w:style>
  <w:style w:type="character" w:customStyle="1" w:styleId="WW8Num251z2">
    <w:name w:val="WW8Num251z2"/>
    <w:rsid w:val="00B24E11"/>
    <w:rPr>
      <w:rFonts w:ascii="Wingdings" w:hAnsi="Wingdings"/>
    </w:rPr>
  </w:style>
  <w:style w:type="character" w:customStyle="1" w:styleId="WW8Num251z3">
    <w:name w:val="WW8Num251z3"/>
    <w:rsid w:val="00B24E11"/>
    <w:rPr>
      <w:rFonts w:ascii="Symbol" w:hAnsi="Symbol"/>
    </w:rPr>
  </w:style>
  <w:style w:type="character" w:customStyle="1" w:styleId="WW8Num252z0">
    <w:name w:val="WW8Num252z0"/>
    <w:rsid w:val="00B24E11"/>
    <w:rPr>
      <w:rFonts w:ascii="Times New Roman" w:hAnsi="Times New Roman"/>
    </w:rPr>
  </w:style>
  <w:style w:type="character" w:customStyle="1" w:styleId="WW8Num253z0">
    <w:name w:val="WW8Num253z0"/>
    <w:rsid w:val="00B24E11"/>
    <w:rPr>
      <w:rFonts w:ascii="Wingdings" w:hAnsi="Wingdings"/>
    </w:rPr>
  </w:style>
  <w:style w:type="character" w:customStyle="1" w:styleId="WW8Num253z1">
    <w:name w:val="WW8Num253z1"/>
    <w:rsid w:val="00B24E11"/>
    <w:rPr>
      <w:rFonts w:ascii="Courier New" w:hAnsi="Courier New"/>
    </w:rPr>
  </w:style>
  <w:style w:type="character" w:customStyle="1" w:styleId="WW8Num253z3">
    <w:name w:val="WW8Num253z3"/>
    <w:rsid w:val="00B24E11"/>
    <w:rPr>
      <w:rFonts w:ascii="Symbol" w:hAnsi="Symbol"/>
    </w:rPr>
  </w:style>
  <w:style w:type="character" w:customStyle="1" w:styleId="WW8Num254z0">
    <w:name w:val="WW8Num254z0"/>
    <w:rsid w:val="00B24E11"/>
    <w:rPr>
      <w:rFonts w:ascii="Symbol" w:hAnsi="Symbol"/>
    </w:rPr>
  </w:style>
  <w:style w:type="character" w:customStyle="1" w:styleId="WW8Num258z0">
    <w:name w:val="WW8Num258z0"/>
    <w:rsid w:val="00B24E11"/>
    <w:rPr>
      <w:rFonts w:ascii="Wingdings" w:hAnsi="Wingdings"/>
    </w:rPr>
  </w:style>
  <w:style w:type="character" w:customStyle="1" w:styleId="WW8Num258z1">
    <w:name w:val="WW8Num258z1"/>
    <w:rsid w:val="00B24E11"/>
    <w:rPr>
      <w:rFonts w:ascii="Courier New" w:hAnsi="Courier New"/>
    </w:rPr>
  </w:style>
  <w:style w:type="character" w:customStyle="1" w:styleId="WW8Num258z3">
    <w:name w:val="WW8Num258z3"/>
    <w:rsid w:val="00B24E11"/>
    <w:rPr>
      <w:rFonts w:ascii="Symbol" w:hAnsi="Symbol"/>
    </w:rPr>
  </w:style>
  <w:style w:type="character" w:customStyle="1" w:styleId="WW8Num259z0">
    <w:name w:val="WW8Num259z0"/>
    <w:rsid w:val="00B24E11"/>
    <w:rPr>
      <w:rFonts w:ascii="Wingdings" w:hAnsi="Wingdings"/>
    </w:rPr>
  </w:style>
  <w:style w:type="character" w:customStyle="1" w:styleId="WW8Num260z0">
    <w:name w:val="WW8Num260z0"/>
    <w:rsid w:val="00B24E11"/>
    <w:rPr>
      <w:rFonts w:ascii="Wingdings" w:hAnsi="Wingdings"/>
    </w:rPr>
  </w:style>
  <w:style w:type="character" w:customStyle="1" w:styleId="WW8Num261z0">
    <w:name w:val="WW8Num261z0"/>
    <w:rsid w:val="00B24E11"/>
    <w:rPr>
      <w:rFonts w:ascii="Symbol" w:hAnsi="Symbol"/>
    </w:rPr>
  </w:style>
  <w:style w:type="character" w:customStyle="1" w:styleId="WW8Num262z0">
    <w:name w:val="WW8Num262z0"/>
    <w:rsid w:val="00B24E11"/>
    <w:rPr>
      <w:rFonts w:ascii="Symbol" w:hAnsi="Symbol"/>
    </w:rPr>
  </w:style>
  <w:style w:type="character" w:customStyle="1" w:styleId="WW8Num267z0">
    <w:name w:val="WW8Num267z0"/>
    <w:rsid w:val="00B24E11"/>
    <w:rPr>
      <w:rFonts w:ascii="Symbol" w:hAnsi="Symbol"/>
      <w:sz w:val="20"/>
    </w:rPr>
  </w:style>
  <w:style w:type="character" w:customStyle="1" w:styleId="WW8Num268z0">
    <w:name w:val="WW8Num268z0"/>
    <w:rsid w:val="00B24E11"/>
    <w:rPr>
      <w:rFonts w:ascii="Symbol" w:hAnsi="Symbol"/>
    </w:rPr>
  </w:style>
  <w:style w:type="character" w:customStyle="1" w:styleId="WW8Num270z0">
    <w:name w:val="WW8Num270z0"/>
    <w:rsid w:val="00B24E11"/>
    <w:rPr>
      <w:rFonts w:ascii="Wingdings" w:hAnsi="Wingdings"/>
    </w:rPr>
  </w:style>
  <w:style w:type="character" w:customStyle="1" w:styleId="WW8Num272z0">
    <w:name w:val="WW8Num272z0"/>
    <w:rsid w:val="00B24E11"/>
    <w:rPr>
      <w:rFonts w:ascii="Wingdings" w:hAnsi="Wingdings"/>
    </w:rPr>
  </w:style>
  <w:style w:type="character" w:customStyle="1" w:styleId="WW8Num276z0">
    <w:name w:val="WW8Num276z0"/>
    <w:rsid w:val="00B24E11"/>
    <w:rPr>
      <w:rFonts w:ascii="Symbol" w:hAnsi="Symbol"/>
    </w:rPr>
  </w:style>
  <w:style w:type="character" w:customStyle="1" w:styleId="WW8Num277z0">
    <w:name w:val="WW8Num277z0"/>
    <w:rsid w:val="00B24E11"/>
    <w:rPr>
      <w:u w:val="none"/>
    </w:rPr>
  </w:style>
  <w:style w:type="character" w:customStyle="1" w:styleId="WW8Num279z0">
    <w:name w:val="WW8Num279z0"/>
    <w:rsid w:val="00B24E11"/>
    <w:rPr>
      <w:rFonts w:ascii="Times New Roman" w:hAnsi="Times New Roman"/>
    </w:rPr>
  </w:style>
  <w:style w:type="character" w:customStyle="1" w:styleId="WW8Num280z0">
    <w:name w:val="WW8Num280z0"/>
    <w:rsid w:val="00B24E11"/>
    <w:rPr>
      <w:rFonts w:ascii="Symbol" w:hAnsi="Symbol"/>
    </w:rPr>
  </w:style>
  <w:style w:type="character" w:customStyle="1" w:styleId="WW8Num281z0">
    <w:name w:val="WW8Num281z0"/>
    <w:rsid w:val="00B24E11"/>
    <w:rPr>
      <w:rFonts w:ascii="Symbol" w:hAnsi="Symbol"/>
    </w:rPr>
  </w:style>
  <w:style w:type="character" w:customStyle="1" w:styleId="WW8Num283z0">
    <w:name w:val="WW8Num283z0"/>
    <w:rsid w:val="00B24E11"/>
    <w:rPr>
      <w:u w:val="single"/>
    </w:rPr>
  </w:style>
  <w:style w:type="character" w:customStyle="1" w:styleId="WW8Num284z0">
    <w:name w:val="WW8Num284z0"/>
    <w:rsid w:val="00B24E11"/>
    <w:rPr>
      <w:rFonts w:ascii="Symbol" w:hAnsi="Symbol"/>
      <w:sz w:val="20"/>
    </w:rPr>
  </w:style>
  <w:style w:type="character" w:customStyle="1" w:styleId="WW8Num284z1">
    <w:name w:val="WW8Num284z1"/>
    <w:rsid w:val="00B24E11"/>
    <w:rPr>
      <w:rFonts w:ascii="Courier New" w:hAnsi="Courier New"/>
    </w:rPr>
  </w:style>
  <w:style w:type="character" w:customStyle="1" w:styleId="WW8Num284z2">
    <w:name w:val="WW8Num284z2"/>
    <w:rsid w:val="00B24E11"/>
    <w:rPr>
      <w:rFonts w:ascii="Wingdings" w:hAnsi="Wingdings"/>
    </w:rPr>
  </w:style>
  <w:style w:type="character" w:customStyle="1" w:styleId="WW8Num284z3">
    <w:name w:val="WW8Num284z3"/>
    <w:rsid w:val="00B24E11"/>
    <w:rPr>
      <w:rFonts w:ascii="Symbol" w:hAnsi="Symbol"/>
    </w:rPr>
  </w:style>
  <w:style w:type="character" w:customStyle="1" w:styleId="WW8Num286z0">
    <w:name w:val="WW8Num286z0"/>
    <w:rsid w:val="00B24E11"/>
    <w:rPr>
      <w:rFonts w:ascii="Arial" w:hAnsi="Arial"/>
    </w:rPr>
  </w:style>
  <w:style w:type="character" w:customStyle="1" w:styleId="WW8Num287z0">
    <w:name w:val="WW8Num287z0"/>
    <w:rsid w:val="00B24E11"/>
    <w:rPr>
      <w:rFonts w:ascii="Symbol" w:hAnsi="Symbol"/>
      <w:sz w:val="20"/>
    </w:rPr>
  </w:style>
  <w:style w:type="character" w:customStyle="1" w:styleId="WW8Num288z0">
    <w:name w:val="WW8Num288z0"/>
    <w:rsid w:val="00B24E11"/>
    <w:rPr>
      <w:rFonts w:ascii="Symbol" w:hAnsi="Symbol"/>
      <w:sz w:val="20"/>
    </w:rPr>
  </w:style>
  <w:style w:type="character" w:customStyle="1" w:styleId="WW8Num288z1">
    <w:name w:val="WW8Num288z1"/>
    <w:rsid w:val="00B24E11"/>
    <w:rPr>
      <w:rFonts w:ascii="Courier New" w:hAnsi="Courier New"/>
    </w:rPr>
  </w:style>
  <w:style w:type="character" w:customStyle="1" w:styleId="WW8Num288z2">
    <w:name w:val="WW8Num288z2"/>
    <w:rsid w:val="00B24E11"/>
    <w:rPr>
      <w:rFonts w:ascii="Wingdings" w:hAnsi="Wingdings"/>
    </w:rPr>
  </w:style>
  <w:style w:type="character" w:customStyle="1" w:styleId="WW8Num288z3">
    <w:name w:val="WW8Num288z3"/>
    <w:rsid w:val="00B24E11"/>
    <w:rPr>
      <w:rFonts w:ascii="Symbol" w:hAnsi="Symbol"/>
    </w:rPr>
  </w:style>
  <w:style w:type="character" w:customStyle="1" w:styleId="WW8Num291z0">
    <w:name w:val="WW8Num291z0"/>
    <w:rsid w:val="00B24E11"/>
    <w:rPr>
      <w:rFonts w:ascii="Symbol" w:hAnsi="Symbol"/>
    </w:rPr>
  </w:style>
  <w:style w:type="character" w:customStyle="1" w:styleId="WW8Num294z0">
    <w:name w:val="WW8Num294z0"/>
    <w:rsid w:val="00B24E11"/>
    <w:rPr>
      <w:u w:val="single"/>
    </w:rPr>
  </w:style>
  <w:style w:type="character" w:customStyle="1" w:styleId="WW8Num295z0">
    <w:name w:val="WW8Num295z0"/>
    <w:rsid w:val="00B24E11"/>
    <w:rPr>
      <w:rFonts w:ascii="Symbol" w:hAnsi="Symbol"/>
    </w:rPr>
  </w:style>
  <w:style w:type="character" w:customStyle="1" w:styleId="WW8Num296z0">
    <w:name w:val="WW8Num296z0"/>
    <w:rsid w:val="00B24E11"/>
    <w:rPr>
      <w:rFonts w:ascii="Times New Roman" w:hAnsi="Times New Roman"/>
      <w:b/>
      <w:i w:val="0"/>
      <w:sz w:val="28"/>
      <w:u w:val="none"/>
    </w:rPr>
  </w:style>
  <w:style w:type="character" w:customStyle="1" w:styleId="WW8Num300z0">
    <w:name w:val="WW8Num300z0"/>
    <w:rsid w:val="00B24E11"/>
    <w:rPr>
      <w:rFonts w:ascii="Symbol" w:hAnsi="Symbol"/>
    </w:rPr>
  </w:style>
  <w:style w:type="character" w:customStyle="1" w:styleId="WW8Num301z0">
    <w:name w:val="WW8Num301z0"/>
    <w:rsid w:val="00B24E11"/>
    <w:rPr>
      <w:rFonts w:ascii="Symbol" w:hAnsi="Symbol"/>
      <w:sz w:val="20"/>
    </w:rPr>
  </w:style>
  <w:style w:type="character" w:customStyle="1" w:styleId="WW8Num301z1">
    <w:name w:val="WW8Num301z1"/>
    <w:rsid w:val="00B24E11"/>
    <w:rPr>
      <w:rFonts w:ascii="Courier New" w:hAnsi="Courier New"/>
    </w:rPr>
  </w:style>
  <w:style w:type="character" w:customStyle="1" w:styleId="WW8Num301z2">
    <w:name w:val="WW8Num301z2"/>
    <w:rsid w:val="00B24E11"/>
    <w:rPr>
      <w:rFonts w:ascii="Wingdings" w:hAnsi="Wingdings"/>
    </w:rPr>
  </w:style>
  <w:style w:type="character" w:customStyle="1" w:styleId="WW8Num301z3">
    <w:name w:val="WW8Num301z3"/>
    <w:rsid w:val="00B24E11"/>
    <w:rPr>
      <w:rFonts w:ascii="Symbol" w:hAnsi="Symbol"/>
    </w:rPr>
  </w:style>
  <w:style w:type="character" w:customStyle="1" w:styleId="WW8Num302z0">
    <w:name w:val="WW8Num302z0"/>
    <w:rsid w:val="00B24E11"/>
    <w:rPr>
      <w:b/>
    </w:rPr>
  </w:style>
  <w:style w:type="character" w:customStyle="1" w:styleId="WW8Num303z0">
    <w:name w:val="WW8Num303z0"/>
    <w:rsid w:val="00B24E11"/>
    <w:rPr>
      <w:rFonts w:ascii="Symbol" w:hAnsi="Symbol"/>
    </w:rPr>
  </w:style>
  <w:style w:type="character" w:customStyle="1" w:styleId="WW8Num304z0">
    <w:name w:val="WW8Num304z0"/>
    <w:rsid w:val="00B24E11"/>
    <w:rPr>
      <w:rFonts w:ascii="Symbol" w:hAnsi="Symbol"/>
    </w:rPr>
  </w:style>
  <w:style w:type="character" w:customStyle="1" w:styleId="WW8Num305z0">
    <w:name w:val="WW8Num305z0"/>
    <w:rsid w:val="00B24E11"/>
    <w:rPr>
      <w:rFonts w:ascii="Symbol" w:hAnsi="Symbol"/>
      <w:sz w:val="18"/>
    </w:rPr>
  </w:style>
  <w:style w:type="character" w:customStyle="1" w:styleId="WW8Num305z1">
    <w:name w:val="WW8Num305z1"/>
    <w:rsid w:val="00B24E11"/>
    <w:rPr>
      <w:rFonts w:ascii="Courier New" w:hAnsi="Courier New"/>
    </w:rPr>
  </w:style>
  <w:style w:type="character" w:customStyle="1" w:styleId="WW8Num305z2">
    <w:name w:val="WW8Num305z2"/>
    <w:rsid w:val="00B24E11"/>
    <w:rPr>
      <w:rFonts w:ascii="Wingdings" w:hAnsi="Wingdings"/>
    </w:rPr>
  </w:style>
  <w:style w:type="character" w:customStyle="1" w:styleId="WW8Num305z3">
    <w:name w:val="WW8Num305z3"/>
    <w:rsid w:val="00B24E11"/>
    <w:rPr>
      <w:rFonts w:ascii="Symbol" w:hAnsi="Symbol"/>
    </w:rPr>
  </w:style>
  <w:style w:type="character" w:customStyle="1" w:styleId="WW8Num310z0">
    <w:name w:val="WW8Num310z0"/>
    <w:rsid w:val="00B24E11"/>
    <w:rPr>
      <w:u w:val="none"/>
    </w:rPr>
  </w:style>
  <w:style w:type="character" w:customStyle="1" w:styleId="WW8Num311z0">
    <w:name w:val="WW8Num311z0"/>
    <w:rsid w:val="00B24E11"/>
    <w:rPr>
      <w:rFonts w:ascii="Symbol" w:hAnsi="Symbol"/>
    </w:rPr>
  </w:style>
  <w:style w:type="character" w:customStyle="1" w:styleId="WW8Num311z1">
    <w:name w:val="WW8Num311z1"/>
    <w:rsid w:val="00B24E11"/>
    <w:rPr>
      <w:rFonts w:ascii="Courier New" w:hAnsi="Courier New"/>
    </w:rPr>
  </w:style>
  <w:style w:type="character" w:customStyle="1" w:styleId="WW8Num311z2">
    <w:name w:val="WW8Num311z2"/>
    <w:rsid w:val="00B24E11"/>
    <w:rPr>
      <w:rFonts w:ascii="Wingdings" w:hAnsi="Wingdings"/>
    </w:rPr>
  </w:style>
  <w:style w:type="character" w:customStyle="1" w:styleId="WW8Num312z0">
    <w:name w:val="WW8Num312z0"/>
    <w:rsid w:val="00B24E11"/>
    <w:rPr>
      <w:rFonts w:ascii="Symbol" w:hAnsi="Symbol"/>
    </w:rPr>
  </w:style>
  <w:style w:type="character" w:customStyle="1" w:styleId="WW8Num312z1">
    <w:name w:val="WW8Num312z1"/>
    <w:rsid w:val="00B24E11"/>
    <w:rPr>
      <w:rFonts w:ascii="Courier New" w:hAnsi="Courier New"/>
    </w:rPr>
  </w:style>
  <w:style w:type="character" w:customStyle="1" w:styleId="WW8Num312z2">
    <w:name w:val="WW8Num312z2"/>
    <w:rsid w:val="00B24E11"/>
    <w:rPr>
      <w:rFonts w:ascii="Wingdings" w:hAnsi="Wingdings"/>
    </w:rPr>
  </w:style>
  <w:style w:type="character" w:customStyle="1" w:styleId="WW8Num313z0">
    <w:name w:val="WW8Num313z0"/>
    <w:rsid w:val="00B24E11"/>
    <w:rPr>
      <w:rFonts w:ascii="Wingdings" w:hAnsi="Wingdings"/>
    </w:rPr>
  </w:style>
  <w:style w:type="character" w:customStyle="1" w:styleId="WW8Num313z1">
    <w:name w:val="WW8Num313z1"/>
    <w:rsid w:val="00B24E11"/>
    <w:rPr>
      <w:rFonts w:ascii="Courier New" w:hAnsi="Courier New"/>
    </w:rPr>
  </w:style>
  <w:style w:type="character" w:customStyle="1" w:styleId="WW8Num313z3">
    <w:name w:val="WW8Num313z3"/>
    <w:rsid w:val="00B24E11"/>
    <w:rPr>
      <w:rFonts w:ascii="Symbol" w:hAnsi="Symbol"/>
    </w:rPr>
  </w:style>
  <w:style w:type="character" w:customStyle="1" w:styleId="WW8Num314z0">
    <w:name w:val="WW8Num314z0"/>
    <w:rsid w:val="00B24E11"/>
    <w:rPr>
      <w:rFonts w:ascii="Symbol" w:hAnsi="Symbol"/>
      <w:sz w:val="20"/>
    </w:rPr>
  </w:style>
  <w:style w:type="character" w:customStyle="1" w:styleId="WW8Num314z1">
    <w:name w:val="WW8Num314z1"/>
    <w:rsid w:val="00B24E11"/>
    <w:rPr>
      <w:rFonts w:ascii="Courier New" w:hAnsi="Courier New"/>
    </w:rPr>
  </w:style>
  <w:style w:type="character" w:customStyle="1" w:styleId="WW8Num314z2">
    <w:name w:val="WW8Num314z2"/>
    <w:rsid w:val="00B24E11"/>
    <w:rPr>
      <w:rFonts w:ascii="Wingdings" w:hAnsi="Wingdings"/>
    </w:rPr>
  </w:style>
  <w:style w:type="character" w:customStyle="1" w:styleId="WW8Num314z3">
    <w:name w:val="WW8Num314z3"/>
    <w:rsid w:val="00B24E11"/>
    <w:rPr>
      <w:rFonts w:ascii="Symbol" w:hAnsi="Symbol"/>
    </w:rPr>
  </w:style>
  <w:style w:type="character" w:customStyle="1" w:styleId="WW8Num315z0">
    <w:name w:val="WW8Num315z0"/>
    <w:rsid w:val="00B24E11"/>
    <w:rPr>
      <w:rFonts w:ascii="Symbol" w:hAnsi="Symbol"/>
      <w:color w:val="auto"/>
    </w:rPr>
  </w:style>
  <w:style w:type="character" w:customStyle="1" w:styleId="WW8Num316z0">
    <w:name w:val="WW8Num316z0"/>
    <w:rsid w:val="00B24E11"/>
    <w:rPr>
      <w:rFonts w:ascii="Symbol" w:hAnsi="Symbol"/>
    </w:rPr>
  </w:style>
  <w:style w:type="character" w:customStyle="1" w:styleId="WW8Num317z0">
    <w:name w:val="WW8Num317z0"/>
    <w:rsid w:val="00B24E11"/>
    <w:rPr>
      <w:rFonts w:ascii="Symbol" w:hAnsi="Symbol"/>
      <w:color w:val="auto"/>
      <w:sz w:val="16"/>
    </w:rPr>
  </w:style>
  <w:style w:type="character" w:customStyle="1" w:styleId="WW8Num317z1">
    <w:name w:val="WW8Num317z1"/>
    <w:rsid w:val="00B24E11"/>
    <w:rPr>
      <w:rFonts w:ascii="Courier New" w:hAnsi="Courier New"/>
    </w:rPr>
  </w:style>
  <w:style w:type="character" w:customStyle="1" w:styleId="WW8Num317z2">
    <w:name w:val="WW8Num317z2"/>
    <w:rsid w:val="00B24E11"/>
    <w:rPr>
      <w:rFonts w:ascii="Wingdings" w:hAnsi="Wingdings"/>
    </w:rPr>
  </w:style>
  <w:style w:type="character" w:customStyle="1" w:styleId="WW8Num317z3">
    <w:name w:val="WW8Num317z3"/>
    <w:rsid w:val="00B24E11"/>
    <w:rPr>
      <w:rFonts w:ascii="Symbol" w:hAnsi="Symbol"/>
    </w:rPr>
  </w:style>
  <w:style w:type="character" w:customStyle="1" w:styleId="WW8Num319z0">
    <w:name w:val="WW8Num319z0"/>
    <w:rsid w:val="00B24E11"/>
    <w:rPr>
      <w:rFonts w:ascii="Symbol" w:hAnsi="Symbol"/>
    </w:rPr>
  </w:style>
  <w:style w:type="character" w:customStyle="1" w:styleId="WW8Num320z0">
    <w:name w:val="WW8Num320z0"/>
    <w:rsid w:val="00B24E11"/>
    <w:rPr>
      <w:rFonts w:ascii="Symbol" w:hAnsi="Symbol"/>
    </w:rPr>
  </w:style>
  <w:style w:type="character" w:customStyle="1" w:styleId="WW8Num321z0">
    <w:name w:val="WW8Num321z0"/>
    <w:rsid w:val="00B24E11"/>
    <w:rPr>
      <w:rFonts w:ascii="Wingdings" w:hAnsi="Wingdings"/>
    </w:rPr>
  </w:style>
  <w:style w:type="character" w:customStyle="1" w:styleId="WW8Num322z0">
    <w:name w:val="WW8Num322z0"/>
    <w:rsid w:val="00B24E11"/>
    <w:rPr>
      <w:rFonts w:ascii="Wingdings" w:hAnsi="Wingdings"/>
    </w:rPr>
  </w:style>
  <w:style w:type="character" w:customStyle="1" w:styleId="WW8Num326z0">
    <w:name w:val="WW8Num326z0"/>
    <w:rsid w:val="00B24E11"/>
    <w:rPr>
      <w:rFonts w:ascii="Symbol" w:hAnsi="Symbol"/>
      <w:color w:val="auto"/>
      <w:sz w:val="16"/>
    </w:rPr>
  </w:style>
  <w:style w:type="character" w:customStyle="1" w:styleId="WW8Num326z1">
    <w:name w:val="WW8Num326z1"/>
    <w:rsid w:val="00B24E11"/>
    <w:rPr>
      <w:rFonts w:ascii="Courier New" w:hAnsi="Courier New"/>
    </w:rPr>
  </w:style>
  <w:style w:type="character" w:customStyle="1" w:styleId="WW8Num326z2">
    <w:name w:val="WW8Num326z2"/>
    <w:rsid w:val="00B24E11"/>
    <w:rPr>
      <w:rFonts w:ascii="Wingdings" w:hAnsi="Wingdings"/>
    </w:rPr>
  </w:style>
  <w:style w:type="character" w:customStyle="1" w:styleId="WW8Num326z3">
    <w:name w:val="WW8Num326z3"/>
    <w:rsid w:val="00B24E11"/>
    <w:rPr>
      <w:rFonts w:ascii="Symbol" w:hAnsi="Symbol"/>
    </w:rPr>
  </w:style>
  <w:style w:type="character" w:customStyle="1" w:styleId="WW8Num327z0">
    <w:name w:val="WW8Num327z0"/>
    <w:rsid w:val="00B24E11"/>
    <w:rPr>
      <w:rFonts w:ascii="Wingdings" w:hAnsi="Wingdings"/>
      <w:sz w:val="16"/>
    </w:rPr>
  </w:style>
  <w:style w:type="character" w:customStyle="1" w:styleId="WW8Num328z0">
    <w:name w:val="WW8Num328z0"/>
    <w:rsid w:val="00B24E11"/>
    <w:rPr>
      <w:rFonts w:ascii="Symbol" w:hAnsi="Symbol"/>
    </w:rPr>
  </w:style>
  <w:style w:type="character" w:customStyle="1" w:styleId="WW8Num330z0">
    <w:name w:val="WW8Num330z0"/>
    <w:rsid w:val="00B24E11"/>
    <w:rPr>
      <w:rFonts w:ascii="Symbol" w:hAnsi="Symbol"/>
    </w:rPr>
  </w:style>
  <w:style w:type="character" w:customStyle="1" w:styleId="WW8Num332z0">
    <w:name w:val="WW8Num332z0"/>
    <w:rsid w:val="00B24E11"/>
    <w:rPr>
      <w:rFonts w:ascii="Wingdings" w:hAnsi="Wingdings"/>
      <w:sz w:val="16"/>
    </w:rPr>
  </w:style>
  <w:style w:type="character" w:customStyle="1" w:styleId="WW8Num332z1">
    <w:name w:val="WW8Num332z1"/>
    <w:rsid w:val="00B24E11"/>
    <w:rPr>
      <w:rFonts w:ascii="Courier New" w:hAnsi="Courier New"/>
    </w:rPr>
  </w:style>
  <w:style w:type="character" w:customStyle="1" w:styleId="WW8Num332z2">
    <w:name w:val="WW8Num332z2"/>
    <w:rsid w:val="00B24E11"/>
    <w:rPr>
      <w:rFonts w:ascii="Wingdings" w:hAnsi="Wingdings"/>
    </w:rPr>
  </w:style>
  <w:style w:type="character" w:customStyle="1" w:styleId="WW8Num332z3">
    <w:name w:val="WW8Num332z3"/>
    <w:rsid w:val="00B24E11"/>
    <w:rPr>
      <w:rFonts w:ascii="Symbol" w:hAnsi="Symbol"/>
    </w:rPr>
  </w:style>
  <w:style w:type="character" w:customStyle="1" w:styleId="WW8Num334z0">
    <w:name w:val="WW8Num334z0"/>
    <w:rsid w:val="00B24E11"/>
    <w:rPr>
      <w:rFonts w:ascii="Symbol" w:hAnsi="Symbol"/>
      <w:color w:val="auto"/>
      <w:sz w:val="16"/>
    </w:rPr>
  </w:style>
  <w:style w:type="character" w:customStyle="1" w:styleId="WW8Num334z1">
    <w:name w:val="WW8Num334z1"/>
    <w:rsid w:val="00B24E11"/>
    <w:rPr>
      <w:rFonts w:ascii="Courier New" w:hAnsi="Courier New"/>
    </w:rPr>
  </w:style>
  <w:style w:type="character" w:customStyle="1" w:styleId="WW8Num334z2">
    <w:name w:val="WW8Num334z2"/>
    <w:rsid w:val="00B24E11"/>
    <w:rPr>
      <w:rFonts w:ascii="Wingdings" w:hAnsi="Wingdings"/>
    </w:rPr>
  </w:style>
  <w:style w:type="character" w:customStyle="1" w:styleId="WW8Num334z3">
    <w:name w:val="WW8Num334z3"/>
    <w:rsid w:val="00B24E11"/>
    <w:rPr>
      <w:rFonts w:ascii="Symbol" w:hAnsi="Symbol"/>
    </w:rPr>
  </w:style>
  <w:style w:type="character" w:customStyle="1" w:styleId="WW8Num335z0">
    <w:name w:val="WW8Num335z0"/>
    <w:rsid w:val="00B24E11"/>
    <w:rPr>
      <w:rFonts w:ascii="Symbol" w:hAnsi="Symbol"/>
    </w:rPr>
  </w:style>
  <w:style w:type="character" w:customStyle="1" w:styleId="WW8Num337z0">
    <w:name w:val="WW8Num337z0"/>
    <w:rsid w:val="00B24E11"/>
    <w:rPr>
      <w:rFonts w:ascii="Symbol" w:hAnsi="Symbol"/>
    </w:rPr>
  </w:style>
  <w:style w:type="character" w:customStyle="1" w:styleId="WW8Num338z0">
    <w:name w:val="WW8Num338z0"/>
    <w:rsid w:val="00B24E11"/>
    <w:rPr>
      <w:rFonts w:ascii="Arial" w:hAnsi="Arial"/>
    </w:rPr>
  </w:style>
  <w:style w:type="character" w:customStyle="1" w:styleId="WW8Num339z0">
    <w:name w:val="WW8Num339z0"/>
    <w:rsid w:val="00B24E11"/>
    <w:rPr>
      <w:rFonts w:ascii="Symbol" w:hAnsi="Symbol"/>
    </w:rPr>
  </w:style>
  <w:style w:type="character" w:customStyle="1" w:styleId="WW8Num340z0">
    <w:name w:val="WW8Num340z0"/>
    <w:rsid w:val="00B24E11"/>
    <w:rPr>
      <w:rFonts w:ascii="Times New Roman" w:eastAsia="Times New Roman" w:hAnsi="Times New Roman" w:cs="Times New Roman"/>
    </w:rPr>
  </w:style>
  <w:style w:type="character" w:customStyle="1" w:styleId="WW8Num340z1">
    <w:name w:val="WW8Num340z1"/>
    <w:rsid w:val="00B24E11"/>
    <w:rPr>
      <w:rFonts w:ascii="Courier New" w:hAnsi="Courier New"/>
    </w:rPr>
  </w:style>
  <w:style w:type="character" w:customStyle="1" w:styleId="WW8Num340z2">
    <w:name w:val="WW8Num340z2"/>
    <w:rsid w:val="00B24E11"/>
    <w:rPr>
      <w:rFonts w:ascii="Wingdings" w:hAnsi="Wingdings"/>
    </w:rPr>
  </w:style>
  <w:style w:type="character" w:customStyle="1" w:styleId="WW8Num340z3">
    <w:name w:val="WW8Num340z3"/>
    <w:rsid w:val="00B24E11"/>
    <w:rPr>
      <w:rFonts w:ascii="Symbol" w:hAnsi="Symbol"/>
    </w:rPr>
  </w:style>
  <w:style w:type="character" w:customStyle="1" w:styleId="WW8Num341z0">
    <w:name w:val="WW8Num341z0"/>
    <w:rsid w:val="00B24E11"/>
    <w:rPr>
      <w:rFonts w:ascii="Symbol" w:hAnsi="Symbol"/>
    </w:rPr>
  </w:style>
  <w:style w:type="character" w:customStyle="1" w:styleId="WW8Num342z0">
    <w:name w:val="WW8Num342z0"/>
    <w:rsid w:val="00B24E11"/>
    <w:rPr>
      <w:rFonts w:ascii="Wingdings" w:hAnsi="Wingdings"/>
    </w:rPr>
  </w:style>
  <w:style w:type="character" w:customStyle="1" w:styleId="WW8Num342z1">
    <w:name w:val="WW8Num342z1"/>
    <w:rsid w:val="00B24E11"/>
    <w:rPr>
      <w:rFonts w:ascii="Symbol" w:eastAsia="Times New Roman" w:hAnsi="Symbol" w:cs="Times New Roman"/>
    </w:rPr>
  </w:style>
  <w:style w:type="character" w:customStyle="1" w:styleId="WW8Num342z3">
    <w:name w:val="WW8Num342z3"/>
    <w:rsid w:val="00B24E11"/>
    <w:rPr>
      <w:rFonts w:ascii="Symbol" w:hAnsi="Symbol"/>
    </w:rPr>
  </w:style>
  <w:style w:type="character" w:customStyle="1" w:styleId="WW8Num342z4">
    <w:name w:val="WW8Num342z4"/>
    <w:rsid w:val="00B24E11"/>
    <w:rPr>
      <w:rFonts w:ascii="Courier New" w:hAnsi="Courier New"/>
    </w:rPr>
  </w:style>
  <w:style w:type="character" w:customStyle="1" w:styleId="WW8Num345z0">
    <w:name w:val="WW8Num345z0"/>
    <w:rsid w:val="00B24E11"/>
    <w:rPr>
      <w:rFonts w:ascii="Symbol" w:hAnsi="Symbol"/>
    </w:rPr>
  </w:style>
  <w:style w:type="character" w:customStyle="1" w:styleId="WW8Num345z3">
    <w:name w:val="WW8Num345z3"/>
    <w:rsid w:val="00B24E11"/>
    <w:rPr>
      <w:rFonts w:ascii="Arial" w:eastAsia="Times New Roman" w:hAnsi="Arial" w:cs="Arial"/>
    </w:rPr>
  </w:style>
  <w:style w:type="character" w:customStyle="1" w:styleId="WW8Num345z4">
    <w:name w:val="WW8Num345z4"/>
    <w:rsid w:val="00B24E11"/>
    <w:rPr>
      <w:rFonts w:ascii="Courier New" w:hAnsi="Courier New"/>
    </w:rPr>
  </w:style>
  <w:style w:type="character" w:customStyle="1" w:styleId="WW8Num345z5">
    <w:name w:val="WW8Num345z5"/>
    <w:rsid w:val="00B24E11"/>
    <w:rPr>
      <w:rFonts w:ascii="Wingdings" w:hAnsi="Wingdings"/>
    </w:rPr>
  </w:style>
  <w:style w:type="character" w:customStyle="1" w:styleId="WW8Num346z0">
    <w:name w:val="WW8Num346z0"/>
    <w:rsid w:val="00B24E11"/>
    <w:rPr>
      <w:rFonts w:ascii="Times New Roman" w:hAnsi="Times New Roman"/>
      <w:color w:val="auto"/>
    </w:rPr>
  </w:style>
  <w:style w:type="character" w:customStyle="1" w:styleId="WW8Num348z0">
    <w:name w:val="WW8Num348z0"/>
    <w:rsid w:val="00B24E11"/>
    <w:rPr>
      <w:rFonts w:ascii="Symbol" w:hAnsi="Symbol"/>
      <w:color w:val="auto"/>
      <w:sz w:val="16"/>
    </w:rPr>
  </w:style>
  <w:style w:type="character" w:customStyle="1" w:styleId="WW8Num348z1">
    <w:name w:val="WW8Num348z1"/>
    <w:rsid w:val="00B24E11"/>
    <w:rPr>
      <w:rFonts w:ascii="Courier New" w:hAnsi="Courier New"/>
    </w:rPr>
  </w:style>
  <w:style w:type="character" w:customStyle="1" w:styleId="WW8Num348z2">
    <w:name w:val="WW8Num348z2"/>
    <w:rsid w:val="00B24E11"/>
    <w:rPr>
      <w:rFonts w:ascii="Wingdings" w:hAnsi="Wingdings"/>
    </w:rPr>
  </w:style>
  <w:style w:type="character" w:customStyle="1" w:styleId="WW8Num348z3">
    <w:name w:val="WW8Num348z3"/>
    <w:rsid w:val="00B24E11"/>
    <w:rPr>
      <w:rFonts w:ascii="Symbol" w:hAnsi="Symbol"/>
    </w:rPr>
  </w:style>
  <w:style w:type="character" w:customStyle="1" w:styleId="WW8Num349z0">
    <w:name w:val="WW8Num349z0"/>
    <w:rsid w:val="00B24E11"/>
    <w:rPr>
      <w:rFonts w:ascii="Symbol" w:hAnsi="Symbol"/>
      <w:color w:val="auto"/>
    </w:rPr>
  </w:style>
  <w:style w:type="character" w:customStyle="1" w:styleId="WW8Num353z0">
    <w:name w:val="WW8Num353z0"/>
    <w:rsid w:val="00B24E11"/>
    <w:rPr>
      <w:rFonts w:ascii="Wingdings" w:hAnsi="Wingdings"/>
      <w:sz w:val="16"/>
    </w:rPr>
  </w:style>
  <w:style w:type="character" w:customStyle="1" w:styleId="WW8Num353z1">
    <w:name w:val="WW8Num353z1"/>
    <w:rsid w:val="00B24E11"/>
    <w:rPr>
      <w:rFonts w:ascii="Courier New" w:hAnsi="Courier New"/>
    </w:rPr>
  </w:style>
  <w:style w:type="character" w:customStyle="1" w:styleId="WW8Num353z2">
    <w:name w:val="WW8Num353z2"/>
    <w:rsid w:val="00B24E11"/>
    <w:rPr>
      <w:rFonts w:ascii="Wingdings" w:hAnsi="Wingdings"/>
    </w:rPr>
  </w:style>
  <w:style w:type="character" w:customStyle="1" w:styleId="WW8Num353z3">
    <w:name w:val="WW8Num353z3"/>
    <w:rsid w:val="00B24E11"/>
    <w:rPr>
      <w:rFonts w:ascii="Symbol" w:hAnsi="Symbol"/>
    </w:rPr>
  </w:style>
  <w:style w:type="character" w:customStyle="1" w:styleId="WW8Num354z0">
    <w:name w:val="WW8Num354z0"/>
    <w:rsid w:val="00B24E11"/>
    <w:rPr>
      <w:rFonts w:ascii="Symbol" w:hAnsi="Symbol"/>
    </w:rPr>
  </w:style>
  <w:style w:type="character" w:customStyle="1" w:styleId="WW8Num354z1">
    <w:name w:val="WW8Num354z1"/>
    <w:rsid w:val="00B24E11"/>
    <w:rPr>
      <w:rFonts w:ascii="Courier New" w:hAnsi="Courier New"/>
    </w:rPr>
  </w:style>
  <w:style w:type="character" w:customStyle="1" w:styleId="WW8Num354z2">
    <w:name w:val="WW8Num354z2"/>
    <w:rsid w:val="00B24E11"/>
    <w:rPr>
      <w:rFonts w:ascii="Wingdings" w:hAnsi="Wingdings"/>
    </w:rPr>
  </w:style>
  <w:style w:type="character" w:customStyle="1" w:styleId="WW8Num357z0">
    <w:name w:val="WW8Num357z0"/>
    <w:rsid w:val="00B24E11"/>
    <w:rPr>
      <w:rFonts w:ascii="Symbol" w:hAnsi="Symbol"/>
    </w:rPr>
  </w:style>
  <w:style w:type="character" w:customStyle="1" w:styleId="WW8Num358z0">
    <w:name w:val="WW8Num358z0"/>
    <w:rsid w:val="00B24E11"/>
    <w:rPr>
      <w:rFonts w:ascii="Symbol" w:hAnsi="Symbol"/>
      <w:color w:val="auto"/>
      <w:sz w:val="16"/>
    </w:rPr>
  </w:style>
  <w:style w:type="character" w:customStyle="1" w:styleId="WW8Num358z1">
    <w:name w:val="WW8Num358z1"/>
    <w:rsid w:val="00B24E11"/>
    <w:rPr>
      <w:rFonts w:ascii="Courier New" w:hAnsi="Courier New"/>
    </w:rPr>
  </w:style>
  <w:style w:type="character" w:customStyle="1" w:styleId="WW8Num358z2">
    <w:name w:val="WW8Num358z2"/>
    <w:rsid w:val="00B24E11"/>
    <w:rPr>
      <w:rFonts w:ascii="Wingdings" w:hAnsi="Wingdings"/>
    </w:rPr>
  </w:style>
  <w:style w:type="character" w:customStyle="1" w:styleId="WW8Num358z3">
    <w:name w:val="WW8Num358z3"/>
    <w:rsid w:val="00B24E11"/>
    <w:rPr>
      <w:rFonts w:ascii="Symbol" w:hAnsi="Symbol"/>
    </w:rPr>
  </w:style>
  <w:style w:type="character" w:customStyle="1" w:styleId="WW8Num360z0">
    <w:name w:val="WW8Num360z0"/>
    <w:rsid w:val="00B24E11"/>
    <w:rPr>
      <w:rFonts w:ascii="Symbol" w:hAnsi="Symbol"/>
    </w:rPr>
  </w:style>
  <w:style w:type="character" w:customStyle="1" w:styleId="WW8Num361z0">
    <w:name w:val="WW8Num361z0"/>
    <w:rsid w:val="00B24E11"/>
    <w:rPr>
      <w:rFonts w:ascii="Times New Roman" w:hAnsi="Times New Roman"/>
      <w:b/>
      <w:i w:val="0"/>
      <w:sz w:val="28"/>
      <w:u w:val="none"/>
    </w:rPr>
  </w:style>
  <w:style w:type="character" w:customStyle="1" w:styleId="WW8Num362z0">
    <w:name w:val="WW8Num362z0"/>
    <w:rsid w:val="00B24E11"/>
    <w:rPr>
      <w:rFonts w:ascii="Symbol" w:hAnsi="Symbol"/>
    </w:rPr>
  </w:style>
  <w:style w:type="character" w:customStyle="1" w:styleId="WW8Num362z1">
    <w:name w:val="WW8Num362z1"/>
    <w:rsid w:val="00B24E11"/>
    <w:rPr>
      <w:rFonts w:ascii="Courier New" w:hAnsi="Courier New"/>
    </w:rPr>
  </w:style>
  <w:style w:type="character" w:customStyle="1" w:styleId="WW8Num362z2">
    <w:name w:val="WW8Num362z2"/>
    <w:rsid w:val="00B24E11"/>
    <w:rPr>
      <w:rFonts w:ascii="Wingdings" w:hAnsi="Wingdings"/>
    </w:rPr>
  </w:style>
  <w:style w:type="character" w:customStyle="1" w:styleId="WW8Num363z0">
    <w:name w:val="WW8Num363z0"/>
    <w:rsid w:val="00B24E11"/>
    <w:rPr>
      <w:rFonts w:ascii="Symbol" w:hAnsi="Symbol"/>
    </w:rPr>
  </w:style>
  <w:style w:type="character" w:customStyle="1" w:styleId="WW8Num363z1">
    <w:name w:val="WW8Num363z1"/>
    <w:rsid w:val="00B24E11"/>
    <w:rPr>
      <w:rFonts w:ascii="Courier New" w:hAnsi="Courier New"/>
    </w:rPr>
  </w:style>
  <w:style w:type="character" w:customStyle="1" w:styleId="WW8Num363z2">
    <w:name w:val="WW8Num363z2"/>
    <w:rsid w:val="00B24E11"/>
    <w:rPr>
      <w:rFonts w:ascii="Wingdings" w:hAnsi="Wingdings"/>
    </w:rPr>
  </w:style>
  <w:style w:type="character" w:customStyle="1" w:styleId="WW8Num364z0">
    <w:name w:val="WW8Num364z0"/>
    <w:rsid w:val="00B24E11"/>
    <w:rPr>
      <w:rFonts w:ascii="Symbol" w:hAnsi="Symbol"/>
    </w:rPr>
  </w:style>
  <w:style w:type="character" w:customStyle="1" w:styleId="WW8Num365z0">
    <w:name w:val="WW8Num365z0"/>
    <w:rsid w:val="00B24E11"/>
    <w:rPr>
      <w:b/>
    </w:rPr>
  </w:style>
  <w:style w:type="character" w:customStyle="1" w:styleId="WW8Num366z0">
    <w:name w:val="WW8Num366z0"/>
    <w:rsid w:val="00B24E11"/>
    <w:rPr>
      <w:rFonts w:ascii="Symbol" w:hAnsi="Symbol"/>
      <w:color w:val="auto"/>
      <w:sz w:val="16"/>
    </w:rPr>
  </w:style>
  <w:style w:type="character" w:customStyle="1" w:styleId="WW8Num366z1">
    <w:name w:val="WW8Num366z1"/>
    <w:rsid w:val="00B24E11"/>
    <w:rPr>
      <w:rFonts w:ascii="Courier New" w:hAnsi="Courier New"/>
    </w:rPr>
  </w:style>
  <w:style w:type="character" w:customStyle="1" w:styleId="WW8Num366z2">
    <w:name w:val="WW8Num366z2"/>
    <w:rsid w:val="00B24E11"/>
    <w:rPr>
      <w:rFonts w:ascii="Wingdings" w:hAnsi="Wingdings"/>
    </w:rPr>
  </w:style>
  <w:style w:type="character" w:customStyle="1" w:styleId="WW8Num366z3">
    <w:name w:val="WW8Num366z3"/>
    <w:rsid w:val="00B24E11"/>
    <w:rPr>
      <w:rFonts w:ascii="Symbol" w:hAnsi="Symbol"/>
    </w:rPr>
  </w:style>
  <w:style w:type="character" w:customStyle="1" w:styleId="WW8Num368z0">
    <w:name w:val="WW8Num368z0"/>
    <w:rsid w:val="00B24E11"/>
    <w:rPr>
      <w:rFonts w:ascii="Times New Roman" w:hAnsi="Times New Roman"/>
      <w:color w:val="auto"/>
    </w:rPr>
  </w:style>
  <w:style w:type="character" w:customStyle="1" w:styleId="WW8Num369z0">
    <w:name w:val="WW8Num369z0"/>
    <w:rsid w:val="00B24E11"/>
    <w:rPr>
      <w:rFonts w:ascii="Wingdings" w:hAnsi="Wingdings"/>
    </w:rPr>
  </w:style>
  <w:style w:type="character" w:customStyle="1" w:styleId="WW8Num369z1">
    <w:name w:val="WW8Num369z1"/>
    <w:rsid w:val="00B24E11"/>
    <w:rPr>
      <w:rFonts w:ascii="Courier New" w:hAnsi="Courier New"/>
    </w:rPr>
  </w:style>
  <w:style w:type="character" w:customStyle="1" w:styleId="WW8Num369z3">
    <w:name w:val="WW8Num369z3"/>
    <w:rsid w:val="00B24E11"/>
    <w:rPr>
      <w:rFonts w:ascii="Symbol" w:hAnsi="Symbol"/>
    </w:rPr>
  </w:style>
  <w:style w:type="character" w:customStyle="1" w:styleId="WW8Num370z0">
    <w:name w:val="WW8Num370z0"/>
    <w:rsid w:val="00B24E11"/>
    <w:rPr>
      <w:rFonts w:ascii="Times New Roman" w:hAnsi="Times New Roman"/>
      <w:color w:val="auto"/>
    </w:rPr>
  </w:style>
  <w:style w:type="character" w:customStyle="1" w:styleId="WW8Num371z0">
    <w:name w:val="WW8Num371z0"/>
    <w:rsid w:val="00B24E11"/>
    <w:rPr>
      <w:rFonts w:ascii="Symbol" w:hAnsi="Symbol"/>
    </w:rPr>
  </w:style>
  <w:style w:type="character" w:customStyle="1" w:styleId="WW8Num372z0">
    <w:name w:val="WW8Num372z0"/>
    <w:rsid w:val="00B24E11"/>
    <w:rPr>
      <w:u w:val="none"/>
    </w:rPr>
  </w:style>
  <w:style w:type="character" w:customStyle="1" w:styleId="WW8Num373z0">
    <w:name w:val="WW8Num373z0"/>
    <w:rsid w:val="00B24E11"/>
    <w:rPr>
      <w:rFonts w:ascii="Symbol" w:hAnsi="Symbol"/>
    </w:rPr>
  </w:style>
  <w:style w:type="character" w:customStyle="1" w:styleId="WW8Num373z1">
    <w:name w:val="WW8Num373z1"/>
    <w:rsid w:val="00B24E11"/>
    <w:rPr>
      <w:rFonts w:ascii="Courier New" w:hAnsi="Courier New"/>
    </w:rPr>
  </w:style>
  <w:style w:type="character" w:customStyle="1" w:styleId="WW8Num373z2">
    <w:name w:val="WW8Num373z2"/>
    <w:rsid w:val="00B24E11"/>
    <w:rPr>
      <w:rFonts w:ascii="Wingdings" w:hAnsi="Wingdings"/>
    </w:rPr>
  </w:style>
  <w:style w:type="character" w:customStyle="1" w:styleId="WW8Num374z0">
    <w:name w:val="WW8Num374z0"/>
    <w:rsid w:val="00B24E11"/>
    <w:rPr>
      <w:rFonts w:ascii="Times New Roman" w:hAnsi="Times New Roman"/>
      <w:color w:val="auto"/>
    </w:rPr>
  </w:style>
  <w:style w:type="character" w:customStyle="1" w:styleId="WW8Num375z0">
    <w:name w:val="WW8Num375z0"/>
    <w:rsid w:val="00B24E11"/>
    <w:rPr>
      <w:rFonts w:ascii="Times New Roman" w:hAnsi="Times New Roman"/>
    </w:rPr>
  </w:style>
  <w:style w:type="character" w:customStyle="1" w:styleId="WW8Num376z0">
    <w:name w:val="WW8Num376z0"/>
    <w:rsid w:val="00B24E11"/>
    <w:rPr>
      <w:rFonts w:ascii="Times New Roman" w:hAnsi="Times New Roman"/>
    </w:rPr>
  </w:style>
  <w:style w:type="character" w:customStyle="1" w:styleId="WW8Num377z0">
    <w:name w:val="WW8Num377z0"/>
    <w:rsid w:val="00B24E11"/>
    <w:rPr>
      <w:rFonts w:ascii="Symbol" w:hAnsi="Symbol"/>
    </w:rPr>
  </w:style>
  <w:style w:type="character" w:customStyle="1" w:styleId="WW8Num377z1">
    <w:name w:val="WW8Num377z1"/>
    <w:rsid w:val="00B24E11"/>
    <w:rPr>
      <w:rFonts w:ascii="Courier New" w:hAnsi="Courier New"/>
    </w:rPr>
  </w:style>
  <w:style w:type="character" w:customStyle="1" w:styleId="WW8Num377z2">
    <w:name w:val="WW8Num377z2"/>
    <w:rsid w:val="00B24E11"/>
    <w:rPr>
      <w:rFonts w:ascii="Wingdings" w:hAnsi="Wingdings"/>
    </w:rPr>
  </w:style>
  <w:style w:type="character" w:customStyle="1" w:styleId="WW8Num382z0">
    <w:name w:val="WW8Num382z0"/>
    <w:rsid w:val="00B24E11"/>
    <w:rPr>
      <w:rFonts w:ascii="Symbol" w:hAnsi="Symbol"/>
    </w:rPr>
  </w:style>
  <w:style w:type="character" w:customStyle="1" w:styleId="WW8Num383z0">
    <w:name w:val="WW8Num383z0"/>
    <w:rsid w:val="00B24E11"/>
    <w:rPr>
      <w:rFonts w:ascii="Symbol" w:hAnsi="Symbol"/>
    </w:rPr>
  </w:style>
  <w:style w:type="character" w:customStyle="1" w:styleId="WW8Num384z0">
    <w:name w:val="WW8Num384z0"/>
    <w:rsid w:val="00B24E11"/>
    <w:rPr>
      <w:rFonts w:ascii="Symbol" w:hAnsi="Symbol"/>
    </w:rPr>
  </w:style>
  <w:style w:type="character" w:customStyle="1" w:styleId="WW8Num388z0">
    <w:name w:val="WW8Num388z0"/>
    <w:rsid w:val="00B24E11"/>
    <w:rPr>
      <w:rFonts w:ascii="Times New Roman" w:hAnsi="Times New Roman"/>
    </w:rPr>
  </w:style>
  <w:style w:type="character" w:customStyle="1" w:styleId="WW8Num389z0">
    <w:name w:val="WW8Num389z0"/>
    <w:rsid w:val="00B24E11"/>
    <w:rPr>
      <w:rFonts w:ascii="Wingdings" w:hAnsi="Wingdings"/>
    </w:rPr>
  </w:style>
  <w:style w:type="character" w:customStyle="1" w:styleId="WW8Num389z1">
    <w:name w:val="WW8Num389z1"/>
    <w:rsid w:val="00B24E11"/>
    <w:rPr>
      <w:rFonts w:ascii="Courier New" w:hAnsi="Courier New"/>
    </w:rPr>
  </w:style>
  <w:style w:type="character" w:customStyle="1" w:styleId="WW8Num389z3">
    <w:name w:val="WW8Num389z3"/>
    <w:rsid w:val="00B24E11"/>
    <w:rPr>
      <w:rFonts w:ascii="Symbol" w:hAnsi="Symbol"/>
    </w:rPr>
  </w:style>
  <w:style w:type="character" w:customStyle="1" w:styleId="WW8Num390z0">
    <w:name w:val="WW8Num390z0"/>
    <w:rsid w:val="00B24E11"/>
    <w:rPr>
      <w:rFonts w:ascii="Wingdings" w:hAnsi="Wingdings"/>
    </w:rPr>
  </w:style>
  <w:style w:type="character" w:customStyle="1" w:styleId="WW8Num391z0">
    <w:name w:val="WW8Num391z0"/>
    <w:rsid w:val="00B24E11"/>
    <w:rPr>
      <w:rFonts w:ascii="Times New Roman" w:hAnsi="Times New Roman"/>
    </w:rPr>
  </w:style>
  <w:style w:type="character" w:customStyle="1" w:styleId="WW8Num392z0">
    <w:name w:val="WW8Num392z0"/>
    <w:rsid w:val="00B24E11"/>
    <w:rPr>
      <w:rFonts w:ascii="Symbol" w:hAnsi="Symbol"/>
    </w:rPr>
  </w:style>
  <w:style w:type="character" w:customStyle="1" w:styleId="WW8Num393z0">
    <w:name w:val="WW8Num393z0"/>
    <w:rsid w:val="00B24E11"/>
    <w:rPr>
      <w:rFonts w:ascii="Times New Roman" w:hAnsi="Times New Roman"/>
      <w:b/>
      <w:i w:val="0"/>
      <w:sz w:val="28"/>
      <w:u w:val="none"/>
    </w:rPr>
  </w:style>
  <w:style w:type="character" w:customStyle="1" w:styleId="WW8Num394z0">
    <w:name w:val="WW8Num394z0"/>
    <w:rsid w:val="00B24E11"/>
    <w:rPr>
      <w:rFonts w:ascii="Times New Roman" w:hAnsi="Times New Roman"/>
      <w:color w:val="auto"/>
    </w:rPr>
  </w:style>
  <w:style w:type="character" w:customStyle="1" w:styleId="WW8Num395z0">
    <w:name w:val="WW8Num395z0"/>
    <w:rsid w:val="00B24E11"/>
    <w:rPr>
      <w:rFonts w:ascii="Times New Roman" w:hAnsi="Times New Roman"/>
      <w:color w:val="auto"/>
    </w:rPr>
  </w:style>
  <w:style w:type="character" w:customStyle="1" w:styleId="WW8Num396z0">
    <w:name w:val="WW8Num396z0"/>
    <w:rsid w:val="00B24E11"/>
    <w:rPr>
      <w:rFonts w:ascii="Symbol" w:hAnsi="Symbol"/>
      <w:color w:val="auto"/>
      <w:sz w:val="16"/>
    </w:rPr>
  </w:style>
  <w:style w:type="character" w:customStyle="1" w:styleId="WW8Num396z1">
    <w:name w:val="WW8Num396z1"/>
    <w:rsid w:val="00B24E11"/>
    <w:rPr>
      <w:rFonts w:ascii="Arial" w:eastAsia="Times New Roman" w:hAnsi="Arial" w:cs="Arial"/>
    </w:rPr>
  </w:style>
  <w:style w:type="character" w:customStyle="1" w:styleId="WW8Num397z0">
    <w:name w:val="WW8Num397z0"/>
    <w:rsid w:val="00B24E11"/>
    <w:rPr>
      <w:rFonts w:ascii="Wingdings" w:hAnsi="Wingdings"/>
    </w:rPr>
  </w:style>
  <w:style w:type="character" w:customStyle="1" w:styleId="WW8Num398z0">
    <w:name w:val="WW8Num398z0"/>
    <w:rsid w:val="00B24E11"/>
    <w:rPr>
      <w:rFonts w:ascii="Wingdings" w:hAnsi="Wingdings"/>
    </w:rPr>
  </w:style>
  <w:style w:type="character" w:customStyle="1" w:styleId="WW8Num401z0">
    <w:name w:val="WW8Num401z0"/>
    <w:rsid w:val="00B24E11"/>
    <w:rPr>
      <w:rFonts w:ascii="Symbol" w:hAnsi="Symbol"/>
    </w:rPr>
  </w:style>
  <w:style w:type="character" w:customStyle="1" w:styleId="WW8Num402z0">
    <w:name w:val="WW8Num402z0"/>
    <w:rsid w:val="00B24E11"/>
    <w:rPr>
      <w:rFonts w:ascii="Wingdings" w:hAnsi="Wingdings"/>
      <w:sz w:val="16"/>
    </w:rPr>
  </w:style>
  <w:style w:type="character" w:customStyle="1" w:styleId="WW8Num403z0">
    <w:name w:val="WW8Num403z0"/>
    <w:rsid w:val="00B24E11"/>
    <w:rPr>
      <w:u w:val="none"/>
    </w:rPr>
  </w:style>
  <w:style w:type="character" w:customStyle="1" w:styleId="WW8Num407z0">
    <w:name w:val="WW8Num407z0"/>
    <w:rsid w:val="00B24E11"/>
    <w:rPr>
      <w:rFonts w:ascii="Symbol" w:hAnsi="Symbol"/>
      <w:color w:val="auto"/>
      <w:sz w:val="16"/>
    </w:rPr>
  </w:style>
  <w:style w:type="character" w:customStyle="1" w:styleId="WW8Num407z1">
    <w:name w:val="WW8Num407z1"/>
    <w:rsid w:val="00B24E11"/>
    <w:rPr>
      <w:rFonts w:ascii="Courier New" w:hAnsi="Courier New"/>
    </w:rPr>
  </w:style>
  <w:style w:type="character" w:customStyle="1" w:styleId="WW8Num407z2">
    <w:name w:val="WW8Num407z2"/>
    <w:rsid w:val="00B24E11"/>
    <w:rPr>
      <w:rFonts w:ascii="Wingdings" w:hAnsi="Wingdings"/>
    </w:rPr>
  </w:style>
  <w:style w:type="character" w:customStyle="1" w:styleId="WW8Num407z3">
    <w:name w:val="WW8Num407z3"/>
    <w:rsid w:val="00B24E11"/>
    <w:rPr>
      <w:rFonts w:ascii="Symbol" w:hAnsi="Symbol"/>
    </w:rPr>
  </w:style>
  <w:style w:type="character" w:customStyle="1" w:styleId="WW8Num408z0">
    <w:name w:val="WW8Num408z0"/>
    <w:rsid w:val="00B24E11"/>
    <w:rPr>
      <w:rFonts w:ascii="Times New Roman" w:hAnsi="Times New Roman"/>
      <w:color w:val="auto"/>
    </w:rPr>
  </w:style>
  <w:style w:type="character" w:customStyle="1" w:styleId="WW8Num409z0">
    <w:name w:val="WW8Num409z0"/>
    <w:rsid w:val="00B24E11"/>
    <w:rPr>
      <w:rFonts w:ascii="Times New Roman" w:hAnsi="Times New Roman"/>
      <w:color w:val="auto"/>
    </w:rPr>
  </w:style>
  <w:style w:type="character" w:customStyle="1" w:styleId="WW8Num410z0">
    <w:name w:val="WW8Num410z0"/>
    <w:rsid w:val="00B24E11"/>
    <w:rPr>
      <w:rFonts w:ascii="Monotype Sorts" w:hAnsi="Monotype Sorts"/>
    </w:rPr>
  </w:style>
  <w:style w:type="character" w:customStyle="1" w:styleId="WW8Num411z0">
    <w:name w:val="WW8Num411z0"/>
    <w:rsid w:val="00B24E11"/>
    <w:rPr>
      <w:rFonts w:ascii="Symbol" w:hAnsi="Symbol"/>
      <w:sz w:val="20"/>
    </w:rPr>
  </w:style>
  <w:style w:type="character" w:customStyle="1" w:styleId="WW8Num411z1">
    <w:name w:val="WW8Num411z1"/>
    <w:rsid w:val="00B24E11"/>
    <w:rPr>
      <w:rFonts w:ascii="Courier New" w:hAnsi="Courier New"/>
    </w:rPr>
  </w:style>
  <w:style w:type="character" w:customStyle="1" w:styleId="WW8Num411z2">
    <w:name w:val="WW8Num411z2"/>
    <w:rsid w:val="00B24E11"/>
    <w:rPr>
      <w:rFonts w:ascii="Wingdings" w:hAnsi="Wingdings"/>
    </w:rPr>
  </w:style>
  <w:style w:type="character" w:customStyle="1" w:styleId="WW8Num411z3">
    <w:name w:val="WW8Num411z3"/>
    <w:rsid w:val="00B24E11"/>
    <w:rPr>
      <w:rFonts w:ascii="Symbol" w:hAnsi="Symbol"/>
    </w:rPr>
  </w:style>
  <w:style w:type="character" w:customStyle="1" w:styleId="WW8Num416z0">
    <w:name w:val="WW8Num416z0"/>
    <w:rsid w:val="00B24E11"/>
    <w:rPr>
      <w:rFonts w:ascii="Symbol" w:hAnsi="Symbol"/>
    </w:rPr>
  </w:style>
  <w:style w:type="character" w:customStyle="1" w:styleId="WW8Num416z1">
    <w:name w:val="WW8Num416z1"/>
    <w:rsid w:val="00B24E11"/>
    <w:rPr>
      <w:rFonts w:ascii="Courier New" w:hAnsi="Courier New" w:cs="Courier New"/>
    </w:rPr>
  </w:style>
  <w:style w:type="character" w:customStyle="1" w:styleId="WW8Num416z2">
    <w:name w:val="WW8Num416z2"/>
    <w:rsid w:val="00B24E11"/>
    <w:rPr>
      <w:rFonts w:ascii="Wingdings" w:hAnsi="Wingdings"/>
    </w:rPr>
  </w:style>
  <w:style w:type="character" w:customStyle="1" w:styleId="WW8Num418z0">
    <w:name w:val="WW8Num418z0"/>
    <w:rsid w:val="00B24E11"/>
    <w:rPr>
      <w:rFonts w:ascii="Wingdings" w:hAnsi="Wingdings"/>
    </w:rPr>
  </w:style>
  <w:style w:type="character" w:customStyle="1" w:styleId="WW8Num420z0">
    <w:name w:val="WW8Num420z0"/>
    <w:rsid w:val="00B24E11"/>
    <w:rPr>
      <w:rFonts w:ascii="Times New Roman" w:eastAsia="Times New Roman" w:hAnsi="Times New Roman" w:cs="Times New Roman"/>
    </w:rPr>
  </w:style>
  <w:style w:type="character" w:customStyle="1" w:styleId="WW8Num420z1">
    <w:name w:val="WW8Num420z1"/>
    <w:rsid w:val="00B24E11"/>
    <w:rPr>
      <w:rFonts w:ascii="Courier New" w:hAnsi="Courier New"/>
    </w:rPr>
  </w:style>
  <w:style w:type="character" w:customStyle="1" w:styleId="WW8Num420z2">
    <w:name w:val="WW8Num420z2"/>
    <w:rsid w:val="00B24E11"/>
    <w:rPr>
      <w:rFonts w:ascii="Wingdings" w:hAnsi="Wingdings"/>
    </w:rPr>
  </w:style>
  <w:style w:type="character" w:customStyle="1" w:styleId="WW8Num420z3">
    <w:name w:val="WW8Num420z3"/>
    <w:rsid w:val="00B24E11"/>
    <w:rPr>
      <w:rFonts w:ascii="Symbol" w:hAnsi="Symbol"/>
    </w:rPr>
  </w:style>
  <w:style w:type="character" w:customStyle="1" w:styleId="WW8Num422z0">
    <w:name w:val="WW8Num422z0"/>
    <w:rsid w:val="00B24E11"/>
    <w:rPr>
      <w:rFonts w:ascii="Wingdings" w:hAnsi="Wingdings"/>
    </w:rPr>
  </w:style>
  <w:style w:type="character" w:customStyle="1" w:styleId="WW8Num422z1">
    <w:name w:val="WW8Num422z1"/>
    <w:rsid w:val="00B24E11"/>
    <w:rPr>
      <w:rFonts w:ascii="Courier New" w:hAnsi="Courier New"/>
    </w:rPr>
  </w:style>
  <w:style w:type="character" w:customStyle="1" w:styleId="WW8Num422z3">
    <w:name w:val="WW8Num422z3"/>
    <w:rsid w:val="00B24E11"/>
    <w:rPr>
      <w:rFonts w:ascii="Symbol" w:hAnsi="Symbol"/>
    </w:rPr>
  </w:style>
  <w:style w:type="character" w:customStyle="1" w:styleId="WW8Num423z0">
    <w:name w:val="WW8Num423z0"/>
    <w:rsid w:val="00B24E11"/>
    <w:rPr>
      <w:rFonts w:ascii="Symbol" w:hAnsi="Symbol"/>
      <w:color w:val="auto"/>
      <w:sz w:val="16"/>
    </w:rPr>
  </w:style>
  <w:style w:type="character" w:customStyle="1" w:styleId="WW8Num423z1">
    <w:name w:val="WW8Num423z1"/>
    <w:rsid w:val="00B24E11"/>
    <w:rPr>
      <w:rFonts w:ascii="Courier New" w:hAnsi="Courier New"/>
    </w:rPr>
  </w:style>
  <w:style w:type="character" w:customStyle="1" w:styleId="WW8Num423z2">
    <w:name w:val="WW8Num423z2"/>
    <w:rsid w:val="00B24E11"/>
    <w:rPr>
      <w:rFonts w:ascii="Wingdings" w:hAnsi="Wingdings"/>
    </w:rPr>
  </w:style>
  <w:style w:type="character" w:customStyle="1" w:styleId="WW8Num423z3">
    <w:name w:val="WW8Num423z3"/>
    <w:rsid w:val="00B24E11"/>
    <w:rPr>
      <w:rFonts w:ascii="Symbol" w:hAnsi="Symbol"/>
    </w:rPr>
  </w:style>
  <w:style w:type="character" w:customStyle="1" w:styleId="WW8Num424z0">
    <w:name w:val="WW8Num424z0"/>
    <w:rsid w:val="00B24E11"/>
    <w:rPr>
      <w:rFonts w:ascii="Symbol" w:hAnsi="Symbol"/>
      <w:color w:val="auto"/>
      <w:sz w:val="16"/>
    </w:rPr>
  </w:style>
  <w:style w:type="character" w:customStyle="1" w:styleId="WW8Num424z1">
    <w:name w:val="WW8Num424z1"/>
    <w:rsid w:val="00B24E11"/>
    <w:rPr>
      <w:rFonts w:ascii="Courier New" w:hAnsi="Courier New"/>
    </w:rPr>
  </w:style>
  <w:style w:type="character" w:customStyle="1" w:styleId="WW8Num424z2">
    <w:name w:val="WW8Num424z2"/>
    <w:rsid w:val="00B24E11"/>
    <w:rPr>
      <w:rFonts w:ascii="Wingdings" w:hAnsi="Wingdings"/>
    </w:rPr>
  </w:style>
  <w:style w:type="character" w:customStyle="1" w:styleId="WW8Num424z3">
    <w:name w:val="WW8Num424z3"/>
    <w:rsid w:val="00B24E11"/>
    <w:rPr>
      <w:rFonts w:ascii="Symbol" w:hAnsi="Symbol"/>
    </w:rPr>
  </w:style>
  <w:style w:type="character" w:customStyle="1" w:styleId="WW8Num425z0">
    <w:name w:val="WW8Num425z0"/>
    <w:rsid w:val="00B24E11"/>
    <w:rPr>
      <w:rFonts w:ascii="Symbol" w:hAnsi="Symbol"/>
    </w:rPr>
  </w:style>
  <w:style w:type="character" w:customStyle="1" w:styleId="WW8Num425z1">
    <w:name w:val="WW8Num425z1"/>
    <w:rsid w:val="00B24E11"/>
    <w:rPr>
      <w:rFonts w:ascii="Times New Roman" w:eastAsia="Times New Roman" w:hAnsi="Times New Roman" w:cs="Times New Roman"/>
    </w:rPr>
  </w:style>
  <w:style w:type="character" w:customStyle="1" w:styleId="WW8Num425z2">
    <w:name w:val="WW8Num425z2"/>
    <w:rsid w:val="00B24E11"/>
    <w:rPr>
      <w:rFonts w:ascii="Wingdings" w:hAnsi="Wingdings"/>
    </w:rPr>
  </w:style>
  <w:style w:type="character" w:customStyle="1" w:styleId="WW8Num425z4">
    <w:name w:val="WW8Num425z4"/>
    <w:rsid w:val="00B24E11"/>
    <w:rPr>
      <w:rFonts w:ascii="Courier New" w:hAnsi="Courier New"/>
    </w:rPr>
  </w:style>
  <w:style w:type="character" w:customStyle="1" w:styleId="WW8Num428z0">
    <w:name w:val="WW8Num428z0"/>
    <w:rsid w:val="00B24E11"/>
    <w:rPr>
      <w:rFonts w:ascii="Symbol" w:hAnsi="Symbol"/>
    </w:rPr>
  </w:style>
  <w:style w:type="character" w:customStyle="1" w:styleId="WW8Num430z1">
    <w:name w:val="WW8Num430z1"/>
    <w:rsid w:val="00B24E11"/>
    <w:rPr>
      <w:rFonts w:ascii="Courier New" w:hAnsi="Courier New"/>
    </w:rPr>
  </w:style>
  <w:style w:type="character" w:customStyle="1" w:styleId="WW8Num430z2">
    <w:name w:val="WW8Num430z2"/>
    <w:rsid w:val="00B24E11"/>
    <w:rPr>
      <w:rFonts w:ascii="Wingdings" w:hAnsi="Wingdings"/>
    </w:rPr>
  </w:style>
  <w:style w:type="character" w:customStyle="1" w:styleId="WW8Num430z3">
    <w:name w:val="WW8Num430z3"/>
    <w:rsid w:val="00B24E11"/>
    <w:rPr>
      <w:rFonts w:ascii="Symbol" w:hAnsi="Symbol"/>
    </w:rPr>
  </w:style>
  <w:style w:type="character" w:customStyle="1" w:styleId="WW8Num432z0">
    <w:name w:val="WW8Num432z0"/>
    <w:rsid w:val="00B24E11"/>
    <w:rPr>
      <w:rFonts w:ascii="Symbol" w:hAnsi="Symbol"/>
    </w:rPr>
  </w:style>
  <w:style w:type="character" w:customStyle="1" w:styleId="WW8Num433z0">
    <w:name w:val="WW8Num433z0"/>
    <w:rsid w:val="00B24E11"/>
    <w:rPr>
      <w:rFonts w:ascii="Times New Roman" w:hAnsi="Times New Roman"/>
    </w:rPr>
  </w:style>
  <w:style w:type="character" w:customStyle="1" w:styleId="WW8Num435z0">
    <w:name w:val="WW8Num435z0"/>
    <w:rsid w:val="00B24E11"/>
    <w:rPr>
      <w:rFonts w:ascii="Arial" w:hAnsi="Arial"/>
      <w:b/>
      <w:i w:val="0"/>
    </w:rPr>
  </w:style>
  <w:style w:type="character" w:customStyle="1" w:styleId="WW8Num436z0">
    <w:name w:val="WW8Num436z0"/>
    <w:rsid w:val="00B24E11"/>
    <w:rPr>
      <w:rFonts w:ascii="Times New Roman" w:eastAsia="Times New Roman" w:hAnsi="Times New Roman" w:cs="Times New Roman"/>
    </w:rPr>
  </w:style>
  <w:style w:type="character" w:customStyle="1" w:styleId="WW8Num436z1">
    <w:name w:val="WW8Num436z1"/>
    <w:rsid w:val="00B24E11"/>
    <w:rPr>
      <w:rFonts w:ascii="Courier New" w:hAnsi="Courier New"/>
    </w:rPr>
  </w:style>
  <w:style w:type="character" w:customStyle="1" w:styleId="WW8Num436z2">
    <w:name w:val="WW8Num436z2"/>
    <w:rsid w:val="00B24E11"/>
    <w:rPr>
      <w:rFonts w:ascii="Wingdings" w:hAnsi="Wingdings"/>
    </w:rPr>
  </w:style>
  <w:style w:type="character" w:customStyle="1" w:styleId="WW8Num436z3">
    <w:name w:val="WW8Num436z3"/>
    <w:rsid w:val="00B24E11"/>
    <w:rPr>
      <w:rFonts w:ascii="Symbol" w:hAnsi="Symbol"/>
    </w:rPr>
  </w:style>
  <w:style w:type="character" w:customStyle="1" w:styleId="WW8Num437z0">
    <w:name w:val="WW8Num437z0"/>
    <w:rsid w:val="00B24E11"/>
    <w:rPr>
      <w:rFonts w:ascii="Symbol" w:hAnsi="Symbol"/>
      <w:color w:val="auto"/>
      <w:sz w:val="16"/>
    </w:rPr>
  </w:style>
  <w:style w:type="character" w:customStyle="1" w:styleId="WW8Num437z1">
    <w:name w:val="WW8Num437z1"/>
    <w:rsid w:val="00B24E11"/>
    <w:rPr>
      <w:rFonts w:ascii="Times New Roman" w:eastAsia="Times New Roman" w:hAnsi="Times New Roman" w:cs="Times New Roman"/>
    </w:rPr>
  </w:style>
  <w:style w:type="character" w:customStyle="1" w:styleId="WW8Num437z2">
    <w:name w:val="WW8Num437z2"/>
    <w:rsid w:val="00B24E11"/>
    <w:rPr>
      <w:rFonts w:ascii="Wingdings" w:hAnsi="Wingdings"/>
    </w:rPr>
  </w:style>
  <w:style w:type="character" w:customStyle="1" w:styleId="WW8Num437z3">
    <w:name w:val="WW8Num437z3"/>
    <w:rsid w:val="00B24E11"/>
    <w:rPr>
      <w:rFonts w:ascii="Symbol" w:hAnsi="Symbol"/>
    </w:rPr>
  </w:style>
  <w:style w:type="character" w:customStyle="1" w:styleId="WW8Num437z4">
    <w:name w:val="WW8Num437z4"/>
    <w:rsid w:val="00B24E11"/>
    <w:rPr>
      <w:rFonts w:ascii="Courier New" w:hAnsi="Courier New"/>
    </w:rPr>
  </w:style>
  <w:style w:type="character" w:customStyle="1" w:styleId="WW8Num438z0">
    <w:name w:val="WW8Num438z0"/>
    <w:rsid w:val="00B24E11"/>
    <w:rPr>
      <w:rFonts w:ascii="Times New Roman" w:eastAsia="Times New Roman" w:hAnsi="Times New Roman" w:cs="Times New Roman"/>
    </w:rPr>
  </w:style>
  <w:style w:type="character" w:customStyle="1" w:styleId="WW8Num438z1">
    <w:name w:val="WW8Num438z1"/>
    <w:rsid w:val="00B24E11"/>
    <w:rPr>
      <w:rFonts w:ascii="Courier New" w:hAnsi="Courier New"/>
    </w:rPr>
  </w:style>
  <w:style w:type="character" w:customStyle="1" w:styleId="WW8Num438z2">
    <w:name w:val="WW8Num438z2"/>
    <w:rsid w:val="00B24E11"/>
    <w:rPr>
      <w:rFonts w:ascii="Wingdings" w:hAnsi="Wingdings"/>
    </w:rPr>
  </w:style>
  <w:style w:type="character" w:customStyle="1" w:styleId="WW8Num438z3">
    <w:name w:val="WW8Num438z3"/>
    <w:rsid w:val="00B24E11"/>
    <w:rPr>
      <w:rFonts w:ascii="Symbol" w:hAnsi="Symbol"/>
    </w:rPr>
  </w:style>
  <w:style w:type="character" w:customStyle="1" w:styleId="WW8Num439z0">
    <w:name w:val="WW8Num439z0"/>
    <w:rsid w:val="00B24E11"/>
    <w:rPr>
      <w:rFonts w:ascii="Symbol" w:hAnsi="Symbol"/>
      <w:color w:val="auto"/>
      <w:sz w:val="16"/>
    </w:rPr>
  </w:style>
  <w:style w:type="character" w:customStyle="1" w:styleId="WW8Num439z1">
    <w:name w:val="WW8Num439z1"/>
    <w:rsid w:val="00B24E11"/>
    <w:rPr>
      <w:rFonts w:ascii="Courier New" w:hAnsi="Courier New"/>
    </w:rPr>
  </w:style>
  <w:style w:type="character" w:customStyle="1" w:styleId="WW8Num439z2">
    <w:name w:val="WW8Num439z2"/>
    <w:rsid w:val="00B24E11"/>
    <w:rPr>
      <w:rFonts w:ascii="Wingdings" w:hAnsi="Wingdings"/>
    </w:rPr>
  </w:style>
  <w:style w:type="character" w:customStyle="1" w:styleId="WW8Num439z3">
    <w:name w:val="WW8Num439z3"/>
    <w:rsid w:val="00B24E11"/>
    <w:rPr>
      <w:rFonts w:ascii="Symbol" w:hAnsi="Symbol"/>
    </w:rPr>
  </w:style>
  <w:style w:type="character" w:customStyle="1" w:styleId="WW8Num440z0">
    <w:name w:val="WW8Num440z0"/>
    <w:rsid w:val="00B24E11"/>
    <w:rPr>
      <w:rFonts w:ascii="Symbol" w:hAnsi="Symbol"/>
    </w:rPr>
  </w:style>
  <w:style w:type="character" w:customStyle="1" w:styleId="WW8Num441z0">
    <w:name w:val="WW8Num441z0"/>
    <w:rsid w:val="00B24E11"/>
    <w:rPr>
      <w:rFonts w:ascii="Symbol" w:hAnsi="Symbol"/>
      <w:color w:val="auto"/>
      <w:sz w:val="16"/>
    </w:rPr>
  </w:style>
  <w:style w:type="character" w:customStyle="1" w:styleId="WW8Num441z1">
    <w:name w:val="WW8Num441z1"/>
    <w:rsid w:val="00B24E11"/>
    <w:rPr>
      <w:rFonts w:ascii="Courier New" w:hAnsi="Courier New"/>
    </w:rPr>
  </w:style>
  <w:style w:type="character" w:customStyle="1" w:styleId="WW8Num441z2">
    <w:name w:val="WW8Num441z2"/>
    <w:rsid w:val="00B24E11"/>
    <w:rPr>
      <w:rFonts w:ascii="Wingdings" w:hAnsi="Wingdings"/>
    </w:rPr>
  </w:style>
  <w:style w:type="character" w:customStyle="1" w:styleId="WW8Num441z3">
    <w:name w:val="WW8Num441z3"/>
    <w:rsid w:val="00B24E11"/>
    <w:rPr>
      <w:rFonts w:ascii="Symbol" w:hAnsi="Symbol"/>
    </w:rPr>
  </w:style>
  <w:style w:type="character" w:customStyle="1" w:styleId="WW8Num442z0">
    <w:name w:val="WW8Num442z0"/>
    <w:rsid w:val="00B24E11"/>
    <w:rPr>
      <w:rFonts w:ascii="Arial" w:hAnsi="Arial"/>
      <w:b/>
      <w:i w:val="0"/>
      <w:sz w:val="20"/>
      <w:u w:val="none"/>
    </w:rPr>
  </w:style>
  <w:style w:type="character" w:customStyle="1" w:styleId="WW8Num443z0">
    <w:name w:val="WW8Num443z0"/>
    <w:rsid w:val="00B24E11"/>
    <w:rPr>
      <w:rFonts w:ascii="Symbol" w:hAnsi="Symbol"/>
    </w:rPr>
  </w:style>
  <w:style w:type="character" w:customStyle="1" w:styleId="WW8Num445z0">
    <w:name w:val="WW8Num445z0"/>
    <w:rsid w:val="00B24E11"/>
    <w:rPr>
      <w:rFonts w:ascii="Symbol" w:hAnsi="Symbol"/>
    </w:rPr>
  </w:style>
  <w:style w:type="character" w:customStyle="1" w:styleId="WW8Num446z0">
    <w:name w:val="WW8Num446z0"/>
    <w:rsid w:val="00B24E11"/>
    <w:rPr>
      <w:rFonts w:ascii="Symbol" w:hAnsi="Symbol"/>
    </w:rPr>
  </w:style>
  <w:style w:type="character" w:customStyle="1" w:styleId="WW8Num446z1">
    <w:name w:val="WW8Num446z1"/>
    <w:rsid w:val="00B24E11"/>
    <w:rPr>
      <w:rFonts w:ascii="Courier New" w:hAnsi="Courier New"/>
    </w:rPr>
  </w:style>
  <w:style w:type="character" w:customStyle="1" w:styleId="WW8Num446z2">
    <w:name w:val="WW8Num446z2"/>
    <w:rsid w:val="00B24E11"/>
    <w:rPr>
      <w:rFonts w:ascii="Wingdings" w:hAnsi="Wingdings"/>
    </w:rPr>
  </w:style>
  <w:style w:type="character" w:customStyle="1" w:styleId="WW8Num448z0">
    <w:name w:val="WW8Num448z0"/>
    <w:rsid w:val="00B24E11"/>
    <w:rPr>
      <w:rFonts w:ascii="Arial" w:hAnsi="Arial"/>
      <w:b w:val="0"/>
      <w:i w:val="0"/>
      <w:sz w:val="22"/>
      <w:u w:val="none"/>
    </w:rPr>
  </w:style>
  <w:style w:type="character" w:customStyle="1" w:styleId="WW8Num449z0">
    <w:name w:val="WW8Num449z0"/>
    <w:rsid w:val="00B24E11"/>
    <w:rPr>
      <w:rFonts w:ascii="Symbol" w:hAnsi="Symbol"/>
    </w:rPr>
  </w:style>
  <w:style w:type="character" w:customStyle="1" w:styleId="WW8Num450z0">
    <w:name w:val="WW8Num450z0"/>
    <w:rsid w:val="00B24E11"/>
    <w:rPr>
      <w:rFonts w:ascii="Times New Roman" w:hAnsi="Times New Roman"/>
    </w:rPr>
  </w:style>
  <w:style w:type="character" w:customStyle="1" w:styleId="WW8Num451z0">
    <w:name w:val="WW8Num451z0"/>
    <w:rsid w:val="00B24E11"/>
    <w:rPr>
      <w:rFonts w:ascii="Times New Roman" w:hAnsi="Times New Roman"/>
      <w:b/>
      <w:i w:val="0"/>
      <w:sz w:val="28"/>
      <w:u w:val="none"/>
    </w:rPr>
  </w:style>
  <w:style w:type="character" w:customStyle="1" w:styleId="WW8Num452z0">
    <w:name w:val="WW8Num452z0"/>
    <w:rsid w:val="00B24E11"/>
    <w:rPr>
      <w:rFonts w:ascii="Times New Roman" w:hAnsi="Times New Roman"/>
      <w:b w:val="0"/>
      <w:i w:val="0"/>
      <w:sz w:val="24"/>
      <w:u w:val="none"/>
    </w:rPr>
  </w:style>
  <w:style w:type="character" w:customStyle="1" w:styleId="WW8Num454z0">
    <w:name w:val="WW8Num454z0"/>
    <w:rsid w:val="00B24E11"/>
    <w:rPr>
      <w:rFonts w:ascii="Symbol" w:hAnsi="Symbol"/>
    </w:rPr>
  </w:style>
  <w:style w:type="character" w:customStyle="1" w:styleId="WW8Num454z1">
    <w:name w:val="WW8Num454z1"/>
    <w:rsid w:val="00B24E11"/>
    <w:rPr>
      <w:rFonts w:ascii="Courier New" w:hAnsi="Courier New"/>
    </w:rPr>
  </w:style>
  <w:style w:type="character" w:customStyle="1" w:styleId="WW8Num454z2">
    <w:name w:val="WW8Num454z2"/>
    <w:rsid w:val="00B24E11"/>
    <w:rPr>
      <w:rFonts w:ascii="Wingdings" w:hAnsi="Wingdings"/>
    </w:rPr>
  </w:style>
  <w:style w:type="character" w:customStyle="1" w:styleId="WW8Num455z0">
    <w:name w:val="WW8Num455z0"/>
    <w:rsid w:val="00B24E11"/>
    <w:rPr>
      <w:rFonts w:ascii="Symbol" w:hAnsi="Symbol"/>
    </w:rPr>
  </w:style>
  <w:style w:type="character" w:customStyle="1" w:styleId="WW8Num457z0">
    <w:name w:val="WW8Num457z0"/>
    <w:rsid w:val="00B24E11"/>
    <w:rPr>
      <w:rFonts w:ascii="Symbol" w:hAnsi="Symbol"/>
    </w:rPr>
  </w:style>
  <w:style w:type="character" w:customStyle="1" w:styleId="WW8Num458z0">
    <w:name w:val="WW8Num458z0"/>
    <w:rsid w:val="00B24E11"/>
    <w:rPr>
      <w:rFonts w:ascii="Times New Roman" w:hAnsi="Times New Roman"/>
      <w:color w:val="auto"/>
    </w:rPr>
  </w:style>
  <w:style w:type="character" w:customStyle="1" w:styleId="WW8Num459z0">
    <w:name w:val="WW8Num459z0"/>
    <w:rsid w:val="00B24E11"/>
    <w:rPr>
      <w:rFonts w:ascii="Symbol" w:hAnsi="Symbol"/>
    </w:rPr>
  </w:style>
  <w:style w:type="character" w:customStyle="1" w:styleId="WW8Num460z0">
    <w:name w:val="WW8Num460z0"/>
    <w:rsid w:val="00B24E11"/>
    <w:rPr>
      <w:u w:val="none"/>
    </w:rPr>
  </w:style>
  <w:style w:type="character" w:customStyle="1" w:styleId="WW8Num461z0">
    <w:name w:val="WW8Num461z0"/>
    <w:rsid w:val="00B24E11"/>
    <w:rPr>
      <w:rFonts w:ascii="Wingdings" w:hAnsi="Wingdings"/>
      <w:sz w:val="16"/>
    </w:rPr>
  </w:style>
  <w:style w:type="character" w:customStyle="1" w:styleId="WW8Num464z0">
    <w:name w:val="WW8Num464z0"/>
    <w:rsid w:val="00B24E11"/>
    <w:rPr>
      <w:rFonts w:ascii="Symbol" w:hAnsi="Symbol"/>
      <w:color w:val="auto"/>
      <w:sz w:val="16"/>
    </w:rPr>
  </w:style>
  <w:style w:type="character" w:customStyle="1" w:styleId="WW8Num464z1">
    <w:name w:val="WW8Num464z1"/>
    <w:rsid w:val="00B24E11"/>
    <w:rPr>
      <w:rFonts w:ascii="Courier New" w:hAnsi="Courier New"/>
    </w:rPr>
  </w:style>
  <w:style w:type="character" w:customStyle="1" w:styleId="WW8Num464z2">
    <w:name w:val="WW8Num464z2"/>
    <w:rsid w:val="00B24E11"/>
    <w:rPr>
      <w:rFonts w:ascii="Wingdings" w:hAnsi="Wingdings"/>
    </w:rPr>
  </w:style>
  <w:style w:type="character" w:customStyle="1" w:styleId="WW8Num464z3">
    <w:name w:val="WW8Num464z3"/>
    <w:rsid w:val="00B24E11"/>
    <w:rPr>
      <w:rFonts w:ascii="Symbol" w:hAnsi="Symbol"/>
    </w:rPr>
  </w:style>
  <w:style w:type="character" w:customStyle="1" w:styleId="WW8Num465z0">
    <w:name w:val="WW8Num465z0"/>
    <w:rsid w:val="00B24E11"/>
    <w:rPr>
      <w:rFonts w:ascii="Times New Roman" w:hAnsi="Times New Roman"/>
    </w:rPr>
  </w:style>
  <w:style w:type="character" w:customStyle="1" w:styleId="WW8Num466z0">
    <w:name w:val="WW8Num466z0"/>
    <w:rsid w:val="00B24E11"/>
    <w:rPr>
      <w:rFonts w:ascii="Symbol" w:hAnsi="Symbol"/>
      <w:color w:val="auto"/>
    </w:rPr>
  </w:style>
  <w:style w:type="character" w:customStyle="1" w:styleId="WW8Num467z0">
    <w:name w:val="WW8Num467z0"/>
    <w:rsid w:val="00B24E11"/>
    <w:rPr>
      <w:rFonts w:ascii="Times New Roman" w:hAnsi="Times New Roman"/>
      <w:b w:val="0"/>
      <w:i w:val="0"/>
      <w:sz w:val="24"/>
      <w:u w:val="none"/>
    </w:rPr>
  </w:style>
  <w:style w:type="character" w:customStyle="1" w:styleId="WW8Num470z0">
    <w:name w:val="WW8Num470z0"/>
    <w:rsid w:val="00B24E11"/>
    <w:rPr>
      <w:rFonts w:ascii="Symbol" w:hAnsi="Symbol"/>
    </w:rPr>
  </w:style>
  <w:style w:type="character" w:customStyle="1" w:styleId="WW8Num471z0">
    <w:name w:val="WW8Num471z0"/>
    <w:rsid w:val="00B24E11"/>
    <w:rPr>
      <w:rFonts w:ascii="Times New Roman" w:hAnsi="Times New Roman"/>
      <w:color w:val="auto"/>
    </w:rPr>
  </w:style>
  <w:style w:type="character" w:customStyle="1" w:styleId="WW8Num472z0">
    <w:name w:val="WW8Num472z0"/>
    <w:rsid w:val="00B24E11"/>
    <w:rPr>
      <w:rFonts w:ascii="Symbol" w:hAnsi="Symbol"/>
      <w:color w:val="auto"/>
      <w:sz w:val="16"/>
    </w:rPr>
  </w:style>
  <w:style w:type="character" w:customStyle="1" w:styleId="WW8Num472z1">
    <w:name w:val="WW8Num472z1"/>
    <w:rsid w:val="00B24E11"/>
    <w:rPr>
      <w:rFonts w:ascii="Courier New" w:hAnsi="Courier New"/>
    </w:rPr>
  </w:style>
  <w:style w:type="character" w:customStyle="1" w:styleId="WW8Num472z2">
    <w:name w:val="WW8Num472z2"/>
    <w:rsid w:val="00B24E11"/>
    <w:rPr>
      <w:rFonts w:ascii="Wingdings" w:hAnsi="Wingdings"/>
    </w:rPr>
  </w:style>
  <w:style w:type="character" w:customStyle="1" w:styleId="WW8Num472z3">
    <w:name w:val="WW8Num472z3"/>
    <w:rsid w:val="00B24E11"/>
    <w:rPr>
      <w:rFonts w:ascii="Symbol" w:hAnsi="Symbol"/>
    </w:rPr>
  </w:style>
  <w:style w:type="character" w:customStyle="1" w:styleId="WW8Num475z0">
    <w:name w:val="WW8Num475z0"/>
    <w:rsid w:val="00B24E11"/>
    <w:rPr>
      <w:rFonts w:ascii="Symbol" w:hAnsi="Symbol"/>
    </w:rPr>
  </w:style>
  <w:style w:type="character" w:customStyle="1" w:styleId="WW8Num477z0">
    <w:name w:val="WW8Num477z0"/>
    <w:rsid w:val="00B24E11"/>
    <w:rPr>
      <w:rFonts w:ascii="Symbol" w:hAnsi="Symbol"/>
      <w:sz w:val="20"/>
    </w:rPr>
  </w:style>
  <w:style w:type="character" w:customStyle="1" w:styleId="WW8Num477z1">
    <w:name w:val="WW8Num477z1"/>
    <w:rsid w:val="00B24E11"/>
    <w:rPr>
      <w:rFonts w:ascii="Courier New" w:hAnsi="Courier New"/>
    </w:rPr>
  </w:style>
  <w:style w:type="character" w:customStyle="1" w:styleId="WW8Num477z2">
    <w:name w:val="WW8Num477z2"/>
    <w:rsid w:val="00B24E11"/>
    <w:rPr>
      <w:rFonts w:ascii="Wingdings" w:hAnsi="Wingdings"/>
    </w:rPr>
  </w:style>
  <w:style w:type="character" w:customStyle="1" w:styleId="WW8Num477z3">
    <w:name w:val="WW8Num477z3"/>
    <w:rsid w:val="00B24E11"/>
    <w:rPr>
      <w:rFonts w:ascii="Symbol" w:hAnsi="Symbol"/>
    </w:rPr>
  </w:style>
  <w:style w:type="character" w:customStyle="1" w:styleId="WW8Num480z0">
    <w:name w:val="WW8Num480z0"/>
    <w:rsid w:val="00B24E11"/>
    <w:rPr>
      <w:rFonts w:ascii="Symbol" w:hAnsi="Symbol"/>
      <w:color w:val="auto"/>
      <w:sz w:val="16"/>
    </w:rPr>
  </w:style>
  <w:style w:type="character" w:customStyle="1" w:styleId="WW8Num480z1">
    <w:name w:val="WW8Num480z1"/>
    <w:rsid w:val="00B24E11"/>
    <w:rPr>
      <w:rFonts w:ascii="Courier New" w:hAnsi="Courier New"/>
    </w:rPr>
  </w:style>
  <w:style w:type="character" w:customStyle="1" w:styleId="WW8Num480z2">
    <w:name w:val="WW8Num480z2"/>
    <w:rsid w:val="00B24E11"/>
    <w:rPr>
      <w:rFonts w:ascii="Wingdings" w:hAnsi="Wingdings"/>
    </w:rPr>
  </w:style>
  <w:style w:type="character" w:customStyle="1" w:styleId="WW8Num480z3">
    <w:name w:val="WW8Num480z3"/>
    <w:rsid w:val="00B24E11"/>
    <w:rPr>
      <w:rFonts w:ascii="Symbol" w:hAnsi="Symbol"/>
    </w:rPr>
  </w:style>
  <w:style w:type="character" w:customStyle="1" w:styleId="WW8Num481z0">
    <w:name w:val="WW8Num481z0"/>
    <w:rsid w:val="00B24E11"/>
    <w:rPr>
      <w:rFonts w:ascii="Symbol" w:hAnsi="Symbol"/>
      <w:color w:val="auto"/>
    </w:rPr>
  </w:style>
  <w:style w:type="character" w:customStyle="1" w:styleId="WW8Num482z0">
    <w:name w:val="WW8Num482z0"/>
    <w:rsid w:val="00B24E11"/>
    <w:rPr>
      <w:sz w:val="24"/>
    </w:rPr>
  </w:style>
  <w:style w:type="character" w:customStyle="1" w:styleId="WW8Num483z0">
    <w:name w:val="WW8Num483z0"/>
    <w:rsid w:val="00B24E11"/>
    <w:rPr>
      <w:rFonts w:ascii="Symbol" w:hAnsi="Symbol"/>
    </w:rPr>
  </w:style>
  <w:style w:type="character" w:customStyle="1" w:styleId="WW8Num484z0">
    <w:name w:val="WW8Num484z0"/>
    <w:rsid w:val="00B24E11"/>
    <w:rPr>
      <w:rFonts w:ascii="Symbol" w:hAnsi="Symbol"/>
    </w:rPr>
  </w:style>
  <w:style w:type="character" w:customStyle="1" w:styleId="WW8Num485z0">
    <w:name w:val="WW8Num485z0"/>
    <w:rsid w:val="00B24E11"/>
    <w:rPr>
      <w:rFonts w:ascii="Wingdings" w:hAnsi="Wingdings"/>
      <w:sz w:val="16"/>
    </w:rPr>
  </w:style>
  <w:style w:type="character" w:customStyle="1" w:styleId="WW8Num486z0">
    <w:name w:val="WW8Num486z0"/>
    <w:rsid w:val="00B24E11"/>
    <w:rPr>
      <w:rFonts w:ascii="Symbol" w:hAnsi="Symbol"/>
    </w:rPr>
  </w:style>
  <w:style w:type="character" w:customStyle="1" w:styleId="WW8Num487z0">
    <w:name w:val="WW8Num487z0"/>
    <w:rsid w:val="00B24E11"/>
    <w:rPr>
      <w:rFonts w:ascii="Symbol" w:hAnsi="Symbol"/>
    </w:rPr>
  </w:style>
  <w:style w:type="character" w:customStyle="1" w:styleId="WW8Num488z0">
    <w:name w:val="WW8Num488z0"/>
    <w:rsid w:val="00B24E11"/>
    <w:rPr>
      <w:rFonts w:ascii="Times New Roman" w:hAnsi="Times New Roman"/>
      <w:color w:val="auto"/>
    </w:rPr>
  </w:style>
  <w:style w:type="character" w:customStyle="1" w:styleId="WW8Num490z0">
    <w:name w:val="WW8Num490z0"/>
    <w:rsid w:val="00B24E11"/>
    <w:rPr>
      <w:rFonts w:ascii="Wingdings" w:hAnsi="Wingdings"/>
    </w:rPr>
  </w:style>
  <w:style w:type="character" w:customStyle="1" w:styleId="WW8Num492z0">
    <w:name w:val="WW8Num492z0"/>
    <w:rsid w:val="00B24E11"/>
    <w:rPr>
      <w:rFonts w:ascii="Symbol" w:hAnsi="Symbol"/>
      <w:color w:val="auto"/>
      <w:sz w:val="16"/>
    </w:rPr>
  </w:style>
  <w:style w:type="character" w:customStyle="1" w:styleId="WW8Num492z1">
    <w:name w:val="WW8Num492z1"/>
    <w:rsid w:val="00B24E11"/>
    <w:rPr>
      <w:rFonts w:ascii="Courier New" w:hAnsi="Courier New"/>
    </w:rPr>
  </w:style>
  <w:style w:type="character" w:customStyle="1" w:styleId="WW8Num492z2">
    <w:name w:val="WW8Num492z2"/>
    <w:rsid w:val="00B24E11"/>
    <w:rPr>
      <w:rFonts w:ascii="Wingdings" w:hAnsi="Wingdings"/>
    </w:rPr>
  </w:style>
  <w:style w:type="character" w:customStyle="1" w:styleId="WW8Num492z3">
    <w:name w:val="WW8Num492z3"/>
    <w:rsid w:val="00B24E11"/>
    <w:rPr>
      <w:rFonts w:ascii="Symbol" w:hAnsi="Symbol"/>
    </w:rPr>
  </w:style>
  <w:style w:type="character" w:customStyle="1" w:styleId="WW8Num493z0">
    <w:name w:val="WW8Num493z0"/>
    <w:rsid w:val="00B24E11"/>
    <w:rPr>
      <w:rFonts w:ascii="Times New Roman" w:hAnsi="Times New Roman"/>
      <w:color w:val="auto"/>
    </w:rPr>
  </w:style>
  <w:style w:type="character" w:customStyle="1" w:styleId="WW8Num494z0">
    <w:name w:val="WW8Num494z0"/>
    <w:rsid w:val="00B24E11"/>
    <w:rPr>
      <w:u w:val="none"/>
    </w:rPr>
  </w:style>
  <w:style w:type="character" w:customStyle="1" w:styleId="WW8Num496z1">
    <w:name w:val="WW8Num496z1"/>
    <w:rsid w:val="00B24E11"/>
    <w:rPr>
      <w:rFonts w:ascii="Arial" w:eastAsia="Times New Roman" w:hAnsi="Arial" w:cs="Arial"/>
    </w:rPr>
  </w:style>
  <w:style w:type="character" w:customStyle="1" w:styleId="WW8Num497z0">
    <w:name w:val="WW8Num497z0"/>
    <w:rsid w:val="00B24E11"/>
    <w:rPr>
      <w:rFonts w:ascii="Wingdings" w:hAnsi="Wingdings"/>
    </w:rPr>
  </w:style>
  <w:style w:type="character" w:customStyle="1" w:styleId="WW8Num498z0">
    <w:name w:val="WW8Num498z0"/>
    <w:rsid w:val="00B24E11"/>
    <w:rPr>
      <w:rFonts w:ascii="Wingdings" w:hAnsi="Wingdings"/>
    </w:rPr>
  </w:style>
  <w:style w:type="character" w:customStyle="1" w:styleId="WW8Num500z0">
    <w:name w:val="WW8Num500z0"/>
    <w:rsid w:val="00B24E11"/>
    <w:rPr>
      <w:rFonts w:ascii="Symbol" w:hAnsi="Symbol"/>
      <w:color w:val="auto"/>
      <w:sz w:val="16"/>
    </w:rPr>
  </w:style>
  <w:style w:type="character" w:customStyle="1" w:styleId="WW8Num500z1">
    <w:name w:val="WW8Num500z1"/>
    <w:rsid w:val="00B24E11"/>
    <w:rPr>
      <w:rFonts w:ascii="Courier New" w:hAnsi="Courier New"/>
    </w:rPr>
  </w:style>
  <w:style w:type="character" w:customStyle="1" w:styleId="WW8Num500z2">
    <w:name w:val="WW8Num500z2"/>
    <w:rsid w:val="00B24E11"/>
    <w:rPr>
      <w:rFonts w:ascii="Wingdings" w:hAnsi="Wingdings"/>
    </w:rPr>
  </w:style>
  <w:style w:type="character" w:customStyle="1" w:styleId="WW8Num500z3">
    <w:name w:val="WW8Num500z3"/>
    <w:rsid w:val="00B24E11"/>
    <w:rPr>
      <w:rFonts w:ascii="Symbol" w:hAnsi="Symbol"/>
    </w:rPr>
  </w:style>
  <w:style w:type="character" w:customStyle="1" w:styleId="WW8Num501z0">
    <w:name w:val="WW8Num501z0"/>
    <w:rsid w:val="00B24E11"/>
    <w:rPr>
      <w:rFonts w:ascii="Arial" w:hAnsi="Arial"/>
      <w:b/>
      <w:i w:val="0"/>
      <w:sz w:val="20"/>
      <w:u w:val="none"/>
    </w:rPr>
  </w:style>
  <w:style w:type="character" w:customStyle="1" w:styleId="WW8Num502z0">
    <w:name w:val="WW8Num502z0"/>
    <w:rsid w:val="00B24E11"/>
    <w:rPr>
      <w:rFonts w:ascii="Wingdings" w:hAnsi="Wingdings"/>
    </w:rPr>
  </w:style>
  <w:style w:type="character" w:customStyle="1" w:styleId="WW8Num504z0">
    <w:name w:val="WW8Num504z0"/>
    <w:rsid w:val="00B24E11"/>
    <w:rPr>
      <w:rFonts w:ascii="Symbol" w:hAnsi="Symbol"/>
    </w:rPr>
  </w:style>
  <w:style w:type="character" w:customStyle="1" w:styleId="WW8Num505z0">
    <w:name w:val="WW8Num505z0"/>
    <w:rsid w:val="00B24E11"/>
    <w:rPr>
      <w:rFonts w:ascii="Symbol" w:hAnsi="Symbol"/>
    </w:rPr>
  </w:style>
  <w:style w:type="character" w:customStyle="1" w:styleId="WW8Num506z0">
    <w:name w:val="WW8Num506z0"/>
    <w:rsid w:val="00B24E11"/>
    <w:rPr>
      <w:rFonts w:ascii="Wingdings" w:hAnsi="Wingdings"/>
    </w:rPr>
  </w:style>
  <w:style w:type="character" w:customStyle="1" w:styleId="WW8Num508z0">
    <w:name w:val="WW8Num508z0"/>
    <w:rsid w:val="00B24E11"/>
    <w:rPr>
      <w:rFonts w:ascii="Wingdings" w:hAnsi="Wingdings"/>
    </w:rPr>
  </w:style>
  <w:style w:type="character" w:customStyle="1" w:styleId="WW8Num509z0">
    <w:name w:val="WW8Num509z0"/>
    <w:rsid w:val="00B24E11"/>
    <w:rPr>
      <w:rFonts w:ascii="Symbol" w:hAnsi="Symbol"/>
    </w:rPr>
  </w:style>
  <w:style w:type="character" w:customStyle="1" w:styleId="WW8Num511z0">
    <w:name w:val="WW8Num511z0"/>
    <w:rsid w:val="00B24E11"/>
    <w:rPr>
      <w:rFonts w:ascii="Times New Roman" w:eastAsia="Times New Roman" w:hAnsi="Times New Roman" w:cs="Times New Roman"/>
    </w:rPr>
  </w:style>
  <w:style w:type="character" w:customStyle="1" w:styleId="WW8Num511z1">
    <w:name w:val="WW8Num511z1"/>
    <w:rsid w:val="00B24E11"/>
    <w:rPr>
      <w:rFonts w:ascii="Courier New" w:hAnsi="Courier New"/>
    </w:rPr>
  </w:style>
  <w:style w:type="character" w:customStyle="1" w:styleId="WW8Num511z2">
    <w:name w:val="WW8Num511z2"/>
    <w:rsid w:val="00B24E11"/>
    <w:rPr>
      <w:rFonts w:ascii="Wingdings" w:hAnsi="Wingdings"/>
    </w:rPr>
  </w:style>
  <w:style w:type="character" w:customStyle="1" w:styleId="WW8Num511z3">
    <w:name w:val="WW8Num511z3"/>
    <w:rsid w:val="00B24E11"/>
    <w:rPr>
      <w:rFonts w:ascii="Symbol" w:hAnsi="Symbol"/>
    </w:rPr>
  </w:style>
  <w:style w:type="character" w:customStyle="1" w:styleId="WW8Num512z0">
    <w:name w:val="WW8Num512z0"/>
    <w:rsid w:val="00B24E11"/>
    <w:rPr>
      <w:rFonts w:ascii="Symbol" w:hAnsi="Symbol"/>
    </w:rPr>
  </w:style>
  <w:style w:type="character" w:customStyle="1" w:styleId="WW8Num513z0">
    <w:name w:val="WW8Num513z0"/>
    <w:rsid w:val="00B24E11"/>
    <w:rPr>
      <w:rFonts w:ascii="Symbol" w:hAnsi="Symbol"/>
    </w:rPr>
  </w:style>
  <w:style w:type="character" w:customStyle="1" w:styleId="WW8Num514z0">
    <w:name w:val="WW8Num514z0"/>
    <w:rsid w:val="00B24E11"/>
    <w:rPr>
      <w:rFonts w:ascii="Symbol" w:hAnsi="Symbol"/>
      <w:color w:val="auto"/>
      <w:sz w:val="16"/>
    </w:rPr>
  </w:style>
  <w:style w:type="character" w:customStyle="1" w:styleId="WW8Num514z1">
    <w:name w:val="WW8Num514z1"/>
    <w:rsid w:val="00B24E11"/>
    <w:rPr>
      <w:rFonts w:ascii="Courier New" w:hAnsi="Courier New"/>
    </w:rPr>
  </w:style>
  <w:style w:type="character" w:customStyle="1" w:styleId="WW8Num514z2">
    <w:name w:val="WW8Num514z2"/>
    <w:rsid w:val="00B24E11"/>
    <w:rPr>
      <w:rFonts w:ascii="Wingdings" w:hAnsi="Wingdings"/>
    </w:rPr>
  </w:style>
  <w:style w:type="character" w:customStyle="1" w:styleId="WW8Num514z3">
    <w:name w:val="WW8Num514z3"/>
    <w:rsid w:val="00B24E11"/>
    <w:rPr>
      <w:rFonts w:ascii="Symbol" w:hAnsi="Symbol"/>
    </w:rPr>
  </w:style>
  <w:style w:type="character" w:customStyle="1" w:styleId="WW8Num515z0">
    <w:name w:val="WW8Num515z0"/>
    <w:rsid w:val="00B24E11"/>
    <w:rPr>
      <w:rFonts w:ascii="Times New Roman" w:hAnsi="Times New Roman"/>
    </w:rPr>
  </w:style>
  <w:style w:type="character" w:customStyle="1" w:styleId="WW8Num517z0">
    <w:name w:val="WW8Num517z0"/>
    <w:rsid w:val="00B24E11"/>
    <w:rPr>
      <w:rFonts w:ascii="Symbol" w:hAnsi="Symbol"/>
      <w:color w:val="auto"/>
      <w:sz w:val="16"/>
    </w:rPr>
  </w:style>
  <w:style w:type="character" w:customStyle="1" w:styleId="WW8Num517z1">
    <w:name w:val="WW8Num517z1"/>
    <w:rsid w:val="00B24E11"/>
    <w:rPr>
      <w:rFonts w:ascii="Arial" w:eastAsia="Times New Roman" w:hAnsi="Arial" w:cs="Arial"/>
    </w:rPr>
  </w:style>
  <w:style w:type="character" w:customStyle="1" w:styleId="WW8Num521z0">
    <w:name w:val="WW8Num521z0"/>
    <w:rsid w:val="00B24E11"/>
    <w:rPr>
      <w:rFonts w:ascii="Wingdings" w:hAnsi="Wingdings"/>
    </w:rPr>
  </w:style>
  <w:style w:type="character" w:customStyle="1" w:styleId="WW8Num522z0">
    <w:name w:val="WW8Num522z0"/>
    <w:rsid w:val="00B24E11"/>
    <w:rPr>
      <w:rFonts w:ascii="Wingdings" w:hAnsi="Wingdings"/>
    </w:rPr>
  </w:style>
  <w:style w:type="character" w:customStyle="1" w:styleId="WW8Num522z1">
    <w:name w:val="WW8Num522z1"/>
    <w:rsid w:val="00B24E11"/>
    <w:rPr>
      <w:rFonts w:ascii="Courier New" w:hAnsi="Courier New"/>
    </w:rPr>
  </w:style>
  <w:style w:type="character" w:customStyle="1" w:styleId="WW8Num522z3">
    <w:name w:val="WW8Num522z3"/>
    <w:rsid w:val="00B24E11"/>
    <w:rPr>
      <w:rFonts w:ascii="Symbol" w:hAnsi="Symbol"/>
    </w:rPr>
  </w:style>
  <w:style w:type="character" w:customStyle="1" w:styleId="WW8Num524z0">
    <w:name w:val="WW8Num524z0"/>
    <w:rsid w:val="00B24E11"/>
    <w:rPr>
      <w:rFonts w:ascii="Wingdings" w:hAnsi="Wingdings"/>
    </w:rPr>
  </w:style>
  <w:style w:type="character" w:customStyle="1" w:styleId="WW8Num525z0">
    <w:name w:val="WW8Num525z0"/>
    <w:rsid w:val="00B24E11"/>
    <w:rPr>
      <w:rFonts w:ascii="Symbol" w:hAnsi="Symbol"/>
    </w:rPr>
  </w:style>
  <w:style w:type="character" w:customStyle="1" w:styleId="WW8Num526z0">
    <w:name w:val="WW8Num526z0"/>
    <w:rsid w:val="00B24E11"/>
    <w:rPr>
      <w:rFonts w:ascii="Symbol" w:hAnsi="Symbol"/>
    </w:rPr>
  </w:style>
  <w:style w:type="character" w:customStyle="1" w:styleId="WW8Num527z0">
    <w:name w:val="WW8Num527z0"/>
    <w:rsid w:val="00B24E11"/>
    <w:rPr>
      <w:rFonts w:ascii="Symbol" w:hAnsi="Symbol"/>
      <w:color w:val="auto"/>
      <w:sz w:val="16"/>
    </w:rPr>
  </w:style>
  <w:style w:type="character" w:customStyle="1" w:styleId="WW8Num527z1">
    <w:name w:val="WW8Num527z1"/>
    <w:rsid w:val="00B24E11"/>
    <w:rPr>
      <w:rFonts w:ascii="Arial" w:eastAsia="Times New Roman" w:hAnsi="Arial" w:cs="Arial"/>
    </w:rPr>
  </w:style>
  <w:style w:type="character" w:customStyle="1" w:styleId="WW8Num530z0">
    <w:name w:val="WW8Num530z0"/>
    <w:rsid w:val="00B24E11"/>
    <w:rPr>
      <w:rFonts w:ascii="Wingdings" w:hAnsi="Wingdings"/>
    </w:rPr>
  </w:style>
  <w:style w:type="character" w:customStyle="1" w:styleId="WW8Num531z0">
    <w:name w:val="WW8Num531z0"/>
    <w:rsid w:val="00B24E11"/>
    <w:rPr>
      <w:rFonts w:ascii="Times New Roman" w:hAnsi="Times New Roman"/>
      <w:color w:val="auto"/>
    </w:rPr>
  </w:style>
  <w:style w:type="character" w:customStyle="1" w:styleId="WW8Num532z0">
    <w:name w:val="WW8Num532z0"/>
    <w:rsid w:val="00B24E11"/>
    <w:rPr>
      <w:rFonts w:ascii="Wingdings" w:hAnsi="Wingdings"/>
    </w:rPr>
  </w:style>
  <w:style w:type="character" w:customStyle="1" w:styleId="WW8Num532z1">
    <w:name w:val="WW8Num532z1"/>
    <w:rsid w:val="00B24E11"/>
    <w:rPr>
      <w:rFonts w:ascii="Symbol" w:eastAsia="Times New Roman" w:hAnsi="Symbol" w:cs="Times New Roman"/>
    </w:rPr>
  </w:style>
  <w:style w:type="character" w:customStyle="1" w:styleId="WW8Num532z3">
    <w:name w:val="WW8Num532z3"/>
    <w:rsid w:val="00B24E11"/>
    <w:rPr>
      <w:rFonts w:ascii="Symbol" w:hAnsi="Symbol"/>
    </w:rPr>
  </w:style>
  <w:style w:type="character" w:customStyle="1" w:styleId="WW8Num532z4">
    <w:name w:val="WW8Num532z4"/>
    <w:rsid w:val="00B24E11"/>
    <w:rPr>
      <w:rFonts w:ascii="Courier New" w:hAnsi="Courier New"/>
    </w:rPr>
  </w:style>
  <w:style w:type="character" w:customStyle="1" w:styleId="WW8Num533z0">
    <w:name w:val="WW8Num533z0"/>
    <w:rsid w:val="00B24E11"/>
    <w:rPr>
      <w:rFonts w:ascii="Symbol" w:hAnsi="Symbol"/>
    </w:rPr>
  </w:style>
  <w:style w:type="character" w:customStyle="1" w:styleId="WW8Num535z0">
    <w:name w:val="WW8Num535z0"/>
    <w:rsid w:val="00B24E11"/>
    <w:rPr>
      <w:rFonts w:ascii="Symbol" w:hAnsi="Symbol"/>
    </w:rPr>
  </w:style>
  <w:style w:type="character" w:customStyle="1" w:styleId="WW8Num537z0">
    <w:name w:val="WW8Num537z0"/>
    <w:rsid w:val="00B24E11"/>
    <w:rPr>
      <w:rFonts w:ascii="Symbol" w:hAnsi="Symbol"/>
      <w:color w:val="auto"/>
    </w:rPr>
  </w:style>
  <w:style w:type="character" w:customStyle="1" w:styleId="WW8Num538z0">
    <w:name w:val="WW8Num538z0"/>
    <w:rsid w:val="00B24E11"/>
    <w:rPr>
      <w:rFonts w:ascii="Symbol" w:hAnsi="Symbol"/>
    </w:rPr>
  </w:style>
  <w:style w:type="character" w:customStyle="1" w:styleId="WW8Num538z1">
    <w:name w:val="WW8Num538z1"/>
    <w:rsid w:val="00B24E11"/>
    <w:rPr>
      <w:rFonts w:ascii="Courier New" w:hAnsi="Courier New"/>
    </w:rPr>
  </w:style>
  <w:style w:type="character" w:customStyle="1" w:styleId="WW8Num538z2">
    <w:name w:val="WW8Num538z2"/>
    <w:rsid w:val="00B24E11"/>
    <w:rPr>
      <w:rFonts w:ascii="Wingdings" w:hAnsi="Wingdings"/>
    </w:rPr>
  </w:style>
  <w:style w:type="character" w:customStyle="1" w:styleId="WW8Num541z0">
    <w:name w:val="WW8Num541z0"/>
    <w:rsid w:val="00B24E11"/>
    <w:rPr>
      <w:rFonts w:ascii="Symbol" w:hAnsi="Symbol"/>
    </w:rPr>
  </w:style>
  <w:style w:type="character" w:customStyle="1" w:styleId="WW8Num542z0">
    <w:name w:val="WW8Num542z0"/>
    <w:rsid w:val="00B24E11"/>
    <w:rPr>
      <w:rFonts w:ascii="Symbol" w:hAnsi="Symbol"/>
      <w:color w:val="auto"/>
      <w:sz w:val="16"/>
    </w:rPr>
  </w:style>
  <w:style w:type="character" w:customStyle="1" w:styleId="WW8Num542z1">
    <w:name w:val="WW8Num542z1"/>
    <w:rsid w:val="00B24E11"/>
    <w:rPr>
      <w:rFonts w:ascii="Courier New" w:hAnsi="Courier New"/>
    </w:rPr>
  </w:style>
  <w:style w:type="character" w:customStyle="1" w:styleId="WW8Num542z2">
    <w:name w:val="WW8Num542z2"/>
    <w:rsid w:val="00B24E11"/>
    <w:rPr>
      <w:rFonts w:ascii="Wingdings" w:hAnsi="Wingdings"/>
    </w:rPr>
  </w:style>
  <w:style w:type="character" w:customStyle="1" w:styleId="WW8Num542z3">
    <w:name w:val="WW8Num542z3"/>
    <w:rsid w:val="00B24E11"/>
    <w:rPr>
      <w:rFonts w:ascii="Symbol" w:hAnsi="Symbol"/>
    </w:rPr>
  </w:style>
  <w:style w:type="character" w:customStyle="1" w:styleId="WW8Num545z0">
    <w:name w:val="WW8Num545z0"/>
    <w:rsid w:val="00B24E11"/>
    <w:rPr>
      <w:rFonts w:ascii="Times New Roman" w:hAnsi="Times New Roman"/>
      <w:color w:val="auto"/>
    </w:rPr>
  </w:style>
  <w:style w:type="character" w:customStyle="1" w:styleId="WW8Num546z0">
    <w:name w:val="WW8Num546z0"/>
    <w:rsid w:val="00B24E11"/>
    <w:rPr>
      <w:rFonts w:ascii="Symbol" w:hAnsi="Symbol"/>
    </w:rPr>
  </w:style>
  <w:style w:type="character" w:customStyle="1" w:styleId="WW8Num547z0">
    <w:name w:val="WW8Num547z0"/>
    <w:rsid w:val="00B24E11"/>
    <w:rPr>
      <w:rFonts w:ascii="Arial" w:hAnsi="Arial"/>
      <w:b/>
      <w:i w:val="0"/>
      <w:sz w:val="20"/>
      <w:u w:val="none"/>
    </w:rPr>
  </w:style>
  <w:style w:type="character" w:customStyle="1" w:styleId="WW8Num548z0">
    <w:name w:val="WW8Num548z0"/>
    <w:rsid w:val="00B24E11"/>
    <w:rPr>
      <w:rFonts w:ascii="Courier New" w:hAnsi="Courier New"/>
    </w:rPr>
  </w:style>
  <w:style w:type="character" w:customStyle="1" w:styleId="WW8Num548z2">
    <w:name w:val="WW8Num548z2"/>
    <w:rsid w:val="00B24E11"/>
    <w:rPr>
      <w:rFonts w:ascii="Wingdings" w:hAnsi="Wingdings"/>
    </w:rPr>
  </w:style>
  <w:style w:type="character" w:customStyle="1" w:styleId="WW8Num548z3">
    <w:name w:val="WW8Num548z3"/>
    <w:rsid w:val="00B24E11"/>
    <w:rPr>
      <w:rFonts w:ascii="Symbol" w:hAnsi="Symbol"/>
    </w:rPr>
  </w:style>
  <w:style w:type="character" w:customStyle="1" w:styleId="WW8Num550z0">
    <w:name w:val="WW8Num550z0"/>
    <w:rsid w:val="00B24E11"/>
    <w:rPr>
      <w:rFonts w:ascii="Symbol" w:hAnsi="Symbol"/>
      <w:color w:val="auto"/>
      <w:sz w:val="16"/>
    </w:rPr>
  </w:style>
  <w:style w:type="character" w:customStyle="1" w:styleId="WW8Num550z1">
    <w:name w:val="WW8Num550z1"/>
    <w:rsid w:val="00B24E11"/>
    <w:rPr>
      <w:rFonts w:ascii="Times New Roman" w:eastAsia="Times New Roman" w:hAnsi="Times New Roman" w:cs="Times New Roman"/>
    </w:rPr>
  </w:style>
  <w:style w:type="character" w:customStyle="1" w:styleId="WW8Num550z2">
    <w:name w:val="WW8Num550z2"/>
    <w:rsid w:val="00B24E11"/>
    <w:rPr>
      <w:rFonts w:ascii="Wingdings" w:hAnsi="Wingdings"/>
    </w:rPr>
  </w:style>
  <w:style w:type="character" w:customStyle="1" w:styleId="WW8Num550z3">
    <w:name w:val="WW8Num550z3"/>
    <w:rsid w:val="00B24E11"/>
    <w:rPr>
      <w:rFonts w:ascii="Symbol" w:hAnsi="Symbol"/>
    </w:rPr>
  </w:style>
  <w:style w:type="character" w:customStyle="1" w:styleId="WW8Num550z4">
    <w:name w:val="WW8Num550z4"/>
    <w:rsid w:val="00B24E11"/>
    <w:rPr>
      <w:rFonts w:ascii="Courier New" w:hAnsi="Courier New"/>
    </w:rPr>
  </w:style>
  <w:style w:type="character" w:customStyle="1" w:styleId="WW8Num553z0">
    <w:name w:val="WW8Num553z0"/>
    <w:rsid w:val="00B24E11"/>
    <w:rPr>
      <w:rFonts w:ascii="Symbol" w:hAnsi="Symbol"/>
    </w:rPr>
  </w:style>
  <w:style w:type="character" w:customStyle="1" w:styleId="WW8Num556z0">
    <w:name w:val="WW8Num556z0"/>
    <w:rsid w:val="00B24E11"/>
    <w:rPr>
      <w:rFonts w:ascii="Symbol" w:hAnsi="Symbol"/>
    </w:rPr>
  </w:style>
  <w:style w:type="character" w:customStyle="1" w:styleId="WW8Num557z0">
    <w:name w:val="WW8Num557z0"/>
    <w:rsid w:val="00B24E11"/>
    <w:rPr>
      <w:rFonts w:ascii="Symbol" w:hAnsi="Symbol"/>
    </w:rPr>
  </w:style>
  <w:style w:type="character" w:customStyle="1" w:styleId="WW8Num559z0">
    <w:name w:val="WW8Num559z0"/>
    <w:rsid w:val="00B24E11"/>
    <w:rPr>
      <w:rFonts w:ascii="Times New Roman" w:hAnsi="Times New Roman"/>
      <w:b/>
      <w:i w:val="0"/>
      <w:sz w:val="28"/>
      <w:u w:val="none"/>
    </w:rPr>
  </w:style>
  <w:style w:type="character" w:customStyle="1" w:styleId="WW8Num560z0">
    <w:name w:val="WW8Num560z0"/>
    <w:rsid w:val="00B24E11"/>
    <w:rPr>
      <w:rFonts w:ascii="Symbol" w:hAnsi="Symbol"/>
    </w:rPr>
  </w:style>
  <w:style w:type="character" w:customStyle="1" w:styleId="WW8Num563z0">
    <w:name w:val="WW8Num563z0"/>
    <w:rsid w:val="00B24E11"/>
    <w:rPr>
      <w:rFonts w:ascii="Symbol" w:hAnsi="Symbol"/>
    </w:rPr>
  </w:style>
  <w:style w:type="character" w:customStyle="1" w:styleId="WW8Num564z0">
    <w:name w:val="WW8Num564z0"/>
    <w:rsid w:val="00B24E11"/>
    <w:rPr>
      <w:rFonts w:ascii="Times New Roman" w:hAnsi="Times New Roman"/>
    </w:rPr>
  </w:style>
  <w:style w:type="character" w:customStyle="1" w:styleId="WW8Num565z0">
    <w:name w:val="WW8Num565z0"/>
    <w:rsid w:val="00B24E11"/>
    <w:rPr>
      <w:rFonts w:ascii="Times New Roman" w:hAnsi="Times New Roman"/>
      <w:color w:val="auto"/>
    </w:rPr>
  </w:style>
  <w:style w:type="character" w:customStyle="1" w:styleId="WW8Num566z0">
    <w:name w:val="WW8Num566z0"/>
    <w:rsid w:val="00B24E11"/>
    <w:rPr>
      <w:rFonts w:ascii="Symbol" w:hAnsi="Symbol"/>
      <w:color w:val="auto"/>
      <w:sz w:val="16"/>
    </w:rPr>
  </w:style>
  <w:style w:type="character" w:customStyle="1" w:styleId="WW8Num566z1">
    <w:name w:val="WW8Num566z1"/>
    <w:rsid w:val="00B24E11"/>
    <w:rPr>
      <w:rFonts w:ascii="Courier New" w:hAnsi="Courier New"/>
    </w:rPr>
  </w:style>
  <w:style w:type="character" w:customStyle="1" w:styleId="WW8Num566z2">
    <w:name w:val="WW8Num566z2"/>
    <w:rsid w:val="00B24E11"/>
    <w:rPr>
      <w:rFonts w:ascii="Wingdings" w:hAnsi="Wingdings"/>
    </w:rPr>
  </w:style>
  <w:style w:type="character" w:customStyle="1" w:styleId="WW8Num566z3">
    <w:name w:val="WW8Num566z3"/>
    <w:rsid w:val="00B24E11"/>
    <w:rPr>
      <w:rFonts w:ascii="Symbol" w:hAnsi="Symbol"/>
    </w:rPr>
  </w:style>
  <w:style w:type="character" w:customStyle="1" w:styleId="WW8Num567z0">
    <w:name w:val="WW8Num567z0"/>
    <w:rsid w:val="00B24E11"/>
    <w:rPr>
      <w:rFonts w:ascii="Arial" w:hAnsi="Arial"/>
      <w:b/>
      <w:i w:val="0"/>
      <w:sz w:val="24"/>
      <w:u w:val="none"/>
    </w:rPr>
  </w:style>
  <w:style w:type="character" w:customStyle="1" w:styleId="WW8Num569z0">
    <w:name w:val="WW8Num569z0"/>
    <w:rsid w:val="00B24E11"/>
    <w:rPr>
      <w:rFonts w:ascii="Symbol" w:hAnsi="Symbol"/>
    </w:rPr>
  </w:style>
  <w:style w:type="character" w:customStyle="1" w:styleId="WW8Num571z0">
    <w:name w:val="WW8Num571z0"/>
    <w:rsid w:val="00B24E11"/>
    <w:rPr>
      <w:rFonts w:ascii="Symbol" w:hAnsi="Symbol"/>
    </w:rPr>
  </w:style>
  <w:style w:type="character" w:customStyle="1" w:styleId="WW8Num572z0">
    <w:name w:val="WW8Num572z0"/>
    <w:rsid w:val="00B24E11"/>
    <w:rPr>
      <w:rFonts w:ascii="Symbol" w:hAnsi="Symbol"/>
    </w:rPr>
  </w:style>
  <w:style w:type="character" w:customStyle="1" w:styleId="WW8Num574z0">
    <w:name w:val="WW8Num574z0"/>
    <w:rsid w:val="00B24E11"/>
    <w:rPr>
      <w:rFonts w:ascii="Symbol" w:hAnsi="Symbol"/>
      <w:color w:val="auto"/>
      <w:sz w:val="16"/>
    </w:rPr>
  </w:style>
  <w:style w:type="character" w:customStyle="1" w:styleId="WW8Num574z1">
    <w:name w:val="WW8Num574z1"/>
    <w:rsid w:val="00B24E11"/>
    <w:rPr>
      <w:rFonts w:ascii="Courier New" w:hAnsi="Courier New"/>
    </w:rPr>
  </w:style>
  <w:style w:type="character" w:customStyle="1" w:styleId="WW8Num574z2">
    <w:name w:val="WW8Num574z2"/>
    <w:rsid w:val="00B24E11"/>
    <w:rPr>
      <w:rFonts w:ascii="Wingdings" w:hAnsi="Wingdings"/>
    </w:rPr>
  </w:style>
  <w:style w:type="character" w:customStyle="1" w:styleId="WW8Num574z3">
    <w:name w:val="WW8Num574z3"/>
    <w:rsid w:val="00B24E11"/>
    <w:rPr>
      <w:rFonts w:ascii="Symbol" w:hAnsi="Symbol"/>
    </w:rPr>
  </w:style>
  <w:style w:type="character" w:customStyle="1" w:styleId="WW8Num575z0">
    <w:name w:val="WW8Num575z0"/>
    <w:rsid w:val="00B24E11"/>
    <w:rPr>
      <w:rFonts w:ascii="Times New Roman" w:eastAsia="Times New Roman" w:hAnsi="Times New Roman" w:cs="Times New Roman"/>
    </w:rPr>
  </w:style>
  <w:style w:type="character" w:customStyle="1" w:styleId="WW8Num575z1">
    <w:name w:val="WW8Num575z1"/>
    <w:rsid w:val="00B24E11"/>
    <w:rPr>
      <w:rFonts w:ascii="Courier New" w:hAnsi="Courier New"/>
    </w:rPr>
  </w:style>
  <w:style w:type="character" w:customStyle="1" w:styleId="WW8Num575z2">
    <w:name w:val="WW8Num575z2"/>
    <w:rsid w:val="00B24E11"/>
    <w:rPr>
      <w:rFonts w:ascii="Wingdings" w:hAnsi="Wingdings"/>
    </w:rPr>
  </w:style>
  <w:style w:type="character" w:customStyle="1" w:styleId="WW8Num575z3">
    <w:name w:val="WW8Num575z3"/>
    <w:rsid w:val="00B24E11"/>
    <w:rPr>
      <w:rFonts w:ascii="Symbol" w:hAnsi="Symbol"/>
    </w:rPr>
  </w:style>
  <w:style w:type="character" w:customStyle="1" w:styleId="WW8Num576z0">
    <w:name w:val="WW8Num576z0"/>
    <w:rsid w:val="00B24E11"/>
    <w:rPr>
      <w:rFonts w:ascii="Wingdings" w:hAnsi="Wingdings"/>
    </w:rPr>
  </w:style>
  <w:style w:type="character" w:customStyle="1" w:styleId="WW8Num577z0">
    <w:name w:val="WW8Num577z0"/>
    <w:rsid w:val="00B24E11"/>
    <w:rPr>
      <w:rFonts w:ascii="Times New Roman" w:hAnsi="Times New Roman"/>
    </w:rPr>
  </w:style>
  <w:style w:type="character" w:customStyle="1" w:styleId="WW8Num578z0">
    <w:name w:val="WW8Num578z0"/>
    <w:rsid w:val="00B24E11"/>
    <w:rPr>
      <w:rFonts w:ascii="Wingdings" w:hAnsi="Wingdings"/>
    </w:rPr>
  </w:style>
  <w:style w:type="character" w:customStyle="1" w:styleId="WW8Num580z0">
    <w:name w:val="WW8Num580z0"/>
    <w:rsid w:val="00B24E11"/>
    <w:rPr>
      <w:rFonts w:ascii="Times New Roman" w:hAnsi="Times New Roman"/>
      <w:b w:val="0"/>
      <w:i w:val="0"/>
      <w:sz w:val="24"/>
      <w:u w:val="none"/>
    </w:rPr>
  </w:style>
  <w:style w:type="character" w:customStyle="1" w:styleId="WW8Num583z0">
    <w:name w:val="WW8Num583z0"/>
    <w:rsid w:val="00B24E11"/>
    <w:rPr>
      <w:rFonts w:ascii="Symbol" w:hAnsi="Symbol"/>
    </w:rPr>
  </w:style>
  <w:style w:type="character" w:customStyle="1" w:styleId="WW8Num585z0">
    <w:name w:val="WW8Num585z0"/>
    <w:rsid w:val="00B24E11"/>
    <w:rPr>
      <w:rFonts w:ascii="Symbol" w:hAnsi="Symbol"/>
    </w:rPr>
  </w:style>
  <w:style w:type="character" w:customStyle="1" w:styleId="WW8Num586z0">
    <w:name w:val="WW8Num586z0"/>
    <w:rsid w:val="00B24E11"/>
    <w:rPr>
      <w:rFonts w:ascii="Wingdings" w:hAnsi="Wingdings"/>
    </w:rPr>
  </w:style>
  <w:style w:type="character" w:customStyle="1" w:styleId="WW8Num587z0">
    <w:name w:val="WW8Num587z0"/>
    <w:rsid w:val="00B24E11"/>
    <w:rPr>
      <w:rFonts w:ascii="Symbol" w:hAnsi="Symbol"/>
    </w:rPr>
  </w:style>
  <w:style w:type="character" w:customStyle="1" w:styleId="WW8Num587z1">
    <w:name w:val="WW8Num587z1"/>
    <w:rsid w:val="00B24E11"/>
    <w:rPr>
      <w:rFonts w:ascii="Courier New" w:hAnsi="Courier New"/>
    </w:rPr>
  </w:style>
  <w:style w:type="character" w:customStyle="1" w:styleId="WW8Num587z2">
    <w:name w:val="WW8Num587z2"/>
    <w:rsid w:val="00B24E11"/>
    <w:rPr>
      <w:rFonts w:ascii="Wingdings" w:hAnsi="Wingdings"/>
    </w:rPr>
  </w:style>
  <w:style w:type="character" w:customStyle="1" w:styleId="WW8Num588z0">
    <w:name w:val="WW8Num588z0"/>
    <w:rsid w:val="00B24E11"/>
    <w:rPr>
      <w:rFonts w:ascii="Symbol" w:hAnsi="Symbol"/>
    </w:rPr>
  </w:style>
  <w:style w:type="character" w:customStyle="1" w:styleId="WW8Num588z1">
    <w:name w:val="WW8Num588z1"/>
    <w:rsid w:val="00B24E11"/>
    <w:rPr>
      <w:rFonts w:ascii="Times New Roman" w:eastAsia="Times New Roman" w:hAnsi="Times New Roman" w:cs="Times New Roman"/>
    </w:rPr>
  </w:style>
  <w:style w:type="character" w:customStyle="1" w:styleId="WW8Num588z2">
    <w:name w:val="WW8Num588z2"/>
    <w:rsid w:val="00B24E11"/>
    <w:rPr>
      <w:rFonts w:ascii="Wingdings" w:hAnsi="Wingdings"/>
    </w:rPr>
  </w:style>
  <w:style w:type="character" w:customStyle="1" w:styleId="WW8Num588z4">
    <w:name w:val="WW8Num588z4"/>
    <w:rsid w:val="00B24E11"/>
    <w:rPr>
      <w:rFonts w:ascii="Courier New" w:hAnsi="Courier New"/>
    </w:rPr>
  </w:style>
  <w:style w:type="character" w:customStyle="1" w:styleId="WW8Num589z0">
    <w:name w:val="WW8Num589z0"/>
    <w:rsid w:val="00B24E11"/>
    <w:rPr>
      <w:rFonts w:ascii="Times New Roman" w:hAnsi="Times New Roman"/>
      <w:color w:val="auto"/>
    </w:rPr>
  </w:style>
  <w:style w:type="character" w:customStyle="1" w:styleId="WW8Num590z0">
    <w:name w:val="WW8Num590z0"/>
    <w:rsid w:val="00B24E11"/>
    <w:rPr>
      <w:rFonts w:ascii="Symbol" w:hAnsi="Symbol"/>
    </w:rPr>
  </w:style>
  <w:style w:type="character" w:customStyle="1" w:styleId="WW8Num590z1">
    <w:name w:val="WW8Num590z1"/>
    <w:rsid w:val="00B24E11"/>
    <w:rPr>
      <w:rFonts w:ascii="Courier New" w:hAnsi="Courier New"/>
    </w:rPr>
  </w:style>
  <w:style w:type="character" w:customStyle="1" w:styleId="WW8Num590z2">
    <w:name w:val="WW8Num590z2"/>
    <w:rsid w:val="00B24E11"/>
    <w:rPr>
      <w:rFonts w:ascii="Wingdings" w:hAnsi="Wingdings"/>
    </w:rPr>
  </w:style>
  <w:style w:type="character" w:customStyle="1" w:styleId="WW8Num591z0">
    <w:name w:val="WW8Num591z0"/>
    <w:rsid w:val="00B24E11"/>
    <w:rPr>
      <w:rFonts w:ascii="Symbol" w:hAnsi="Symbol"/>
    </w:rPr>
  </w:style>
  <w:style w:type="character" w:customStyle="1" w:styleId="WW8Num593z0">
    <w:name w:val="WW8Num593z0"/>
    <w:rsid w:val="00B24E11"/>
    <w:rPr>
      <w:rFonts w:ascii="Symbol" w:hAnsi="Symbol"/>
    </w:rPr>
  </w:style>
  <w:style w:type="character" w:customStyle="1" w:styleId="WW8Num594z0">
    <w:name w:val="WW8Num594z0"/>
    <w:rsid w:val="00B24E11"/>
    <w:rPr>
      <w:rFonts w:ascii="Symbol" w:hAnsi="Symbol"/>
    </w:rPr>
  </w:style>
  <w:style w:type="character" w:customStyle="1" w:styleId="WW8Num595z0">
    <w:name w:val="WW8Num595z0"/>
    <w:rsid w:val="00B24E11"/>
    <w:rPr>
      <w:rFonts w:ascii="Symbol" w:hAnsi="Symbol"/>
      <w:color w:val="auto"/>
      <w:sz w:val="16"/>
    </w:rPr>
  </w:style>
  <w:style w:type="character" w:customStyle="1" w:styleId="WW8Num595z1">
    <w:name w:val="WW8Num595z1"/>
    <w:rsid w:val="00B24E11"/>
    <w:rPr>
      <w:rFonts w:ascii="Courier New" w:hAnsi="Courier New"/>
    </w:rPr>
  </w:style>
  <w:style w:type="character" w:customStyle="1" w:styleId="WW8Num595z2">
    <w:name w:val="WW8Num595z2"/>
    <w:rsid w:val="00B24E11"/>
    <w:rPr>
      <w:rFonts w:ascii="Wingdings" w:hAnsi="Wingdings"/>
    </w:rPr>
  </w:style>
  <w:style w:type="character" w:customStyle="1" w:styleId="WW8Num595z3">
    <w:name w:val="WW8Num595z3"/>
    <w:rsid w:val="00B24E11"/>
    <w:rPr>
      <w:rFonts w:ascii="Symbol" w:hAnsi="Symbol"/>
    </w:rPr>
  </w:style>
  <w:style w:type="character" w:customStyle="1" w:styleId="WW8Num596z0">
    <w:name w:val="WW8Num596z0"/>
    <w:rsid w:val="00B24E11"/>
    <w:rPr>
      <w:rFonts w:ascii="Wingdings" w:hAnsi="Wingdings"/>
    </w:rPr>
  </w:style>
  <w:style w:type="character" w:customStyle="1" w:styleId="WW8Num596z1">
    <w:name w:val="WW8Num596z1"/>
    <w:rsid w:val="00B24E11"/>
    <w:rPr>
      <w:rFonts w:ascii="Courier New" w:hAnsi="Courier New"/>
    </w:rPr>
  </w:style>
  <w:style w:type="character" w:customStyle="1" w:styleId="WW8Num596z3">
    <w:name w:val="WW8Num596z3"/>
    <w:rsid w:val="00B24E11"/>
    <w:rPr>
      <w:rFonts w:ascii="Symbol" w:hAnsi="Symbol"/>
    </w:rPr>
  </w:style>
  <w:style w:type="character" w:customStyle="1" w:styleId="WW8Num597z0">
    <w:name w:val="WW8Num597z0"/>
    <w:rsid w:val="00B24E11"/>
    <w:rPr>
      <w:rFonts w:ascii="Symbol" w:hAnsi="Symbol"/>
    </w:rPr>
  </w:style>
  <w:style w:type="character" w:customStyle="1" w:styleId="WW8Num598z0">
    <w:name w:val="WW8Num598z0"/>
    <w:rsid w:val="00B24E11"/>
    <w:rPr>
      <w:rFonts w:ascii="Symbol" w:hAnsi="Symbol"/>
      <w:color w:val="auto"/>
      <w:sz w:val="16"/>
    </w:rPr>
  </w:style>
  <w:style w:type="character" w:customStyle="1" w:styleId="WW8Num598z1">
    <w:name w:val="WW8Num598z1"/>
    <w:rsid w:val="00B24E11"/>
    <w:rPr>
      <w:rFonts w:ascii="Courier New" w:hAnsi="Courier New"/>
    </w:rPr>
  </w:style>
  <w:style w:type="character" w:customStyle="1" w:styleId="WW8Num598z2">
    <w:name w:val="WW8Num598z2"/>
    <w:rsid w:val="00B24E11"/>
    <w:rPr>
      <w:rFonts w:ascii="Wingdings" w:hAnsi="Wingdings"/>
    </w:rPr>
  </w:style>
  <w:style w:type="character" w:customStyle="1" w:styleId="WW8Num598z3">
    <w:name w:val="WW8Num598z3"/>
    <w:rsid w:val="00B24E11"/>
    <w:rPr>
      <w:rFonts w:ascii="Symbol" w:hAnsi="Symbol"/>
    </w:rPr>
  </w:style>
  <w:style w:type="character" w:customStyle="1" w:styleId="WW8Num600z0">
    <w:name w:val="WW8Num600z0"/>
    <w:rsid w:val="00B24E11"/>
    <w:rPr>
      <w:rFonts w:ascii="Times New Roman" w:hAnsi="Times New Roman"/>
      <w:color w:val="auto"/>
    </w:rPr>
  </w:style>
  <w:style w:type="character" w:customStyle="1" w:styleId="WW8Num601z0">
    <w:name w:val="WW8Num601z0"/>
    <w:rsid w:val="00B24E11"/>
    <w:rPr>
      <w:rFonts w:ascii="Symbol" w:hAnsi="Symbol"/>
    </w:rPr>
  </w:style>
  <w:style w:type="character" w:customStyle="1" w:styleId="WW8Num602z0">
    <w:name w:val="WW8Num602z0"/>
    <w:rsid w:val="00B24E11"/>
    <w:rPr>
      <w:rFonts w:ascii="Times New Roman" w:hAnsi="Times New Roman"/>
    </w:rPr>
  </w:style>
  <w:style w:type="character" w:customStyle="1" w:styleId="WW8Num603z0">
    <w:name w:val="WW8Num603z0"/>
    <w:rsid w:val="00B24E11"/>
    <w:rPr>
      <w:rFonts w:ascii="Symbol" w:hAnsi="Symbol"/>
    </w:rPr>
  </w:style>
  <w:style w:type="character" w:customStyle="1" w:styleId="WW8Num604z0">
    <w:name w:val="WW8Num604z0"/>
    <w:rsid w:val="00B24E11"/>
    <w:rPr>
      <w:rFonts w:ascii="Wingdings" w:hAnsi="Wingdings"/>
    </w:rPr>
  </w:style>
  <w:style w:type="character" w:customStyle="1" w:styleId="WW8Num604z3">
    <w:name w:val="WW8Num604z3"/>
    <w:rsid w:val="00B24E11"/>
    <w:rPr>
      <w:rFonts w:ascii="Symbol" w:hAnsi="Symbol"/>
    </w:rPr>
  </w:style>
  <w:style w:type="character" w:customStyle="1" w:styleId="WW8Num604z4">
    <w:name w:val="WW8Num604z4"/>
    <w:rsid w:val="00B24E11"/>
    <w:rPr>
      <w:rFonts w:ascii="Courier New" w:hAnsi="Courier New"/>
    </w:rPr>
  </w:style>
  <w:style w:type="character" w:customStyle="1" w:styleId="WW8Num605z0">
    <w:name w:val="WW8Num605z0"/>
    <w:rsid w:val="00B24E11"/>
    <w:rPr>
      <w:rFonts w:ascii="Wingdings" w:hAnsi="Wingdings"/>
    </w:rPr>
  </w:style>
  <w:style w:type="character" w:customStyle="1" w:styleId="WW8Num606z0">
    <w:name w:val="WW8Num606z0"/>
    <w:rsid w:val="00B24E11"/>
    <w:rPr>
      <w:rFonts w:ascii="Symbol" w:hAnsi="Symbol"/>
      <w:color w:val="auto"/>
      <w:sz w:val="16"/>
    </w:rPr>
  </w:style>
  <w:style w:type="character" w:customStyle="1" w:styleId="WW8Num606z1">
    <w:name w:val="WW8Num606z1"/>
    <w:rsid w:val="00B24E11"/>
    <w:rPr>
      <w:rFonts w:ascii="Courier New" w:hAnsi="Courier New"/>
    </w:rPr>
  </w:style>
  <w:style w:type="character" w:customStyle="1" w:styleId="WW8Num606z2">
    <w:name w:val="WW8Num606z2"/>
    <w:rsid w:val="00B24E11"/>
    <w:rPr>
      <w:rFonts w:ascii="Wingdings" w:hAnsi="Wingdings"/>
    </w:rPr>
  </w:style>
  <w:style w:type="character" w:customStyle="1" w:styleId="WW8Num606z3">
    <w:name w:val="WW8Num606z3"/>
    <w:rsid w:val="00B24E11"/>
    <w:rPr>
      <w:rFonts w:ascii="Symbol" w:hAnsi="Symbol"/>
    </w:rPr>
  </w:style>
  <w:style w:type="character" w:customStyle="1" w:styleId="WW8Num607z0">
    <w:name w:val="WW8Num607z0"/>
    <w:rsid w:val="00B24E11"/>
    <w:rPr>
      <w:rFonts w:ascii="Wingdings" w:hAnsi="Wingdings"/>
    </w:rPr>
  </w:style>
  <w:style w:type="character" w:customStyle="1" w:styleId="WW8Num608z0">
    <w:name w:val="WW8Num608z0"/>
    <w:rsid w:val="00B24E11"/>
    <w:rPr>
      <w:b/>
    </w:rPr>
  </w:style>
  <w:style w:type="character" w:customStyle="1" w:styleId="WW8Num609z0">
    <w:name w:val="WW8Num609z0"/>
    <w:rsid w:val="00B24E11"/>
    <w:rPr>
      <w:rFonts w:ascii="Wingdings" w:hAnsi="Wingdings"/>
    </w:rPr>
  </w:style>
  <w:style w:type="character" w:customStyle="1" w:styleId="WW8Num610z0">
    <w:name w:val="WW8Num610z0"/>
    <w:rsid w:val="00B24E11"/>
    <w:rPr>
      <w:rFonts w:ascii="Symbol" w:hAnsi="Symbol"/>
    </w:rPr>
  </w:style>
  <w:style w:type="character" w:customStyle="1" w:styleId="WW8Num611z0">
    <w:name w:val="WW8Num611z0"/>
    <w:rsid w:val="00B24E11"/>
    <w:rPr>
      <w:rFonts w:ascii="Wingdings" w:hAnsi="Wingdings"/>
    </w:rPr>
  </w:style>
  <w:style w:type="character" w:customStyle="1" w:styleId="WW8Num612z0">
    <w:name w:val="WW8Num612z0"/>
    <w:rsid w:val="00B24E11"/>
    <w:rPr>
      <w:rFonts w:ascii="Symbol" w:hAnsi="Symbol"/>
    </w:rPr>
  </w:style>
  <w:style w:type="character" w:customStyle="1" w:styleId="WW8Num613z0">
    <w:name w:val="WW8Num613z0"/>
    <w:rsid w:val="00B24E11"/>
    <w:rPr>
      <w:rFonts w:ascii="Arial" w:hAnsi="Arial"/>
      <w:b/>
      <w:i w:val="0"/>
      <w:sz w:val="24"/>
      <w:u w:val="none"/>
    </w:rPr>
  </w:style>
  <w:style w:type="character" w:customStyle="1" w:styleId="WW8Num614z0">
    <w:name w:val="WW8Num614z0"/>
    <w:rsid w:val="00B24E11"/>
    <w:rPr>
      <w:rFonts w:ascii="Symbol" w:hAnsi="Symbol"/>
      <w:color w:val="auto"/>
      <w:sz w:val="16"/>
    </w:rPr>
  </w:style>
  <w:style w:type="character" w:customStyle="1" w:styleId="WW8Num614z1">
    <w:name w:val="WW8Num614z1"/>
    <w:rsid w:val="00B24E11"/>
    <w:rPr>
      <w:rFonts w:ascii="Symbol" w:eastAsia="Times New Roman" w:hAnsi="Symbol" w:cs="Times New Roman"/>
    </w:rPr>
  </w:style>
  <w:style w:type="character" w:customStyle="1" w:styleId="WW8Num614z2">
    <w:name w:val="WW8Num614z2"/>
    <w:rsid w:val="00B24E11"/>
    <w:rPr>
      <w:rFonts w:ascii="Wingdings" w:hAnsi="Wingdings"/>
    </w:rPr>
  </w:style>
  <w:style w:type="character" w:customStyle="1" w:styleId="WW8Num614z3">
    <w:name w:val="WW8Num614z3"/>
    <w:rsid w:val="00B24E11"/>
    <w:rPr>
      <w:rFonts w:ascii="Symbol" w:hAnsi="Symbol"/>
    </w:rPr>
  </w:style>
  <w:style w:type="character" w:customStyle="1" w:styleId="WW8Num614z4">
    <w:name w:val="WW8Num614z4"/>
    <w:rsid w:val="00B24E11"/>
    <w:rPr>
      <w:rFonts w:ascii="Courier New" w:hAnsi="Courier New"/>
    </w:rPr>
  </w:style>
  <w:style w:type="character" w:customStyle="1" w:styleId="WW8Num616z0">
    <w:name w:val="WW8Num616z0"/>
    <w:rsid w:val="00B24E11"/>
    <w:rPr>
      <w:rFonts w:ascii="Symbol" w:hAnsi="Symbol"/>
      <w:color w:val="auto"/>
      <w:sz w:val="16"/>
    </w:rPr>
  </w:style>
  <w:style w:type="character" w:customStyle="1" w:styleId="WW8Num616z1">
    <w:name w:val="WW8Num616z1"/>
    <w:rsid w:val="00B24E11"/>
    <w:rPr>
      <w:rFonts w:ascii="Arial" w:eastAsia="Times New Roman" w:hAnsi="Arial" w:cs="Arial"/>
    </w:rPr>
  </w:style>
  <w:style w:type="character" w:customStyle="1" w:styleId="WW8Num619z1">
    <w:name w:val="WW8Num619z1"/>
    <w:rsid w:val="00B24E11"/>
    <w:rPr>
      <w:rFonts w:ascii="Courier New" w:hAnsi="Courier New"/>
    </w:rPr>
  </w:style>
  <w:style w:type="character" w:customStyle="1" w:styleId="WW8Num619z2">
    <w:name w:val="WW8Num619z2"/>
    <w:rsid w:val="00B24E11"/>
    <w:rPr>
      <w:rFonts w:ascii="Wingdings" w:hAnsi="Wingdings"/>
    </w:rPr>
  </w:style>
  <w:style w:type="character" w:customStyle="1" w:styleId="WW8Num619z3">
    <w:name w:val="WW8Num619z3"/>
    <w:rsid w:val="00B24E11"/>
    <w:rPr>
      <w:rFonts w:ascii="Symbol" w:hAnsi="Symbol"/>
    </w:rPr>
  </w:style>
  <w:style w:type="character" w:customStyle="1" w:styleId="WW8Num620z0">
    <w:name w:val="WW8Num620z0"/>
    <w:rsid w:val="00B24E11"/>
    <w:rPr>
      <w:rFonts w:ascii="Symbol" w:hAnsi="Symbol"/>
    </w:rPr>
  </w:style>
  <w:style w:type="character" w:customStyle="1" w:styleId="WW8Num622z0">
    <w:name w:val="WW8Num622z0"/>
    <w:rsid w:val="00B24E11"/>
    <w:rPr>
      <w:rFonts w:ascii="Wingdings" w:hAnsi="Wingdings"/>
    </w:rPr>
  </w:style>
  <w:style w:type="character" w:customStyle="1" w:styleId="WW8Num622z1">
    <w:name w:val="WW8Num622z1"/>
    <w:rsid w:val="00B24E11"/>
    <w:rPr>
      <w:rFonts w:ascii="Courier New" w:hAnsi="Courier New"/>
    </w:rPr>
  </w:style>
  <w:style w:type="character" w:customStyle="1" w:styleId="WW8Num622z3">
    <w:name w:val="WW8Num622z3"/>
    <w:rsid w:val="00B24E11"/>
    <w:rPr>
      <w:rFonts w:ascii="Symbol" w:hAnsi="Symbol"/>
    </w:rPr>
  </w:style>
  <w:style w:type="character" w:customStyle="1" w:styleId="WW8Num624z0">
    <w:name w:val="WW8Num624z0"/>
    <w:rsid w:val="00B24E11"/>
    <w:rPr>
      <w:rFonts w:ascii="Symbol" w:hAnsi="Symbol"/>
      <w:color w:val="auto"/>
      <w:sz w:val="16"/>
    </w:rPr>
  </w:style>
  <w:style w:type="character" w:customStyle="1" w:styleId="WW8Num624z1">
    <w:name w:val="WW8Num624z1"/>
    <w:rsid w:val="00B24E11"/>
    <w:rPr>
      <w:rFonts w:ascii="Courier New" w:hAnsi="Courier New"/>
    </w:rPr>
  </w:style>
  <w:style w:type="character" w:customStyle="1" w:styleId="WW8Num624z2">
    <w:name w:val="WW8Num624z2"/>
    <w:rsid w:val="00B24E11"/>
    <w:rPr>
      <w:rFonts w:ascii="Wingdings" w:hAnsi="Wingdings"/>
    </w:rPr>
  </w:style>
  <w:style w:type="character" w:customStyle="1" w:styleId="WW8Num624z3">
    <w:name w:val="WW8Num624z3"/>
    <w:rsid w:val="00B24E11"/>
    <w:rPr>
      <w:rFonts w:ascii="Symbol" w:hAnsi="Symbol"/>
    </w:rPr>
  </w:style>
  <w:style w:type="character" w:customStyle="1" w:styleId="WW8Num625z0">
    <w:name w:val="WW8Num625z0"/>
    <w:rsid w:val="00B24E11"/>
    <w:rPr>
      <w:rFonts w:ascii="Symbol" w:hAnsi="Symbol"/>
      <w:color w:val="auto"/>
      <w:sz w:val="16"/>
    </w:rPr>
  </w:style>
  <w:style w:type="character" w:customStyle="1" w:styleId="WW8Num625z1">
    <w:name w:val="WW8Num625z1"/>
    <w:rsid w:val="00B24E11"/>
    <w:rPr>
      <w:rFonts w:ascii="Courier New" w:hAnsi="Courier New"/>
    </w:rPr>
  </w:style>
  <w:style w:type="character" w:customStyle="1" w:styleId="WW8Num625z2">
    <w:name w:val="WW8Num625z2"/>
    <w:rsid w:val="00B24E11"/>
    <w:rPr>
      <w:rFonts w:ascii="Wingdings" w:hAnsi="Wingdings"/>
    </w:rPr>
  </w:style>
  <w:style w:type="character" w:customStyle="1" w:styleId="WW8Num625z3">
    <w:name w:val="WW8Num625z3"/>
    <w:rsid w:val="00B24E11"/>
    <w:rPr>
      <w:rFonts w:ascii="Symbol" w:hAnsi="Symbol"/>
    </w:rPr>
  </w:style>
  <w:style w:type="character" w:customStyle="1" w:styleId="WW8Num627z0">
    <w:name w:val="WW8Num627z0"/>
    <w:rsid w:val="00B24E11"/>
    <w:rPr>
      <w:rFonts w:ascii="Symbol" w:hAnsi="Symbol"/>
    </w:rPr>
  </w:style>
  <w:style w:type="character" w:customStyle="1" w:styleId="WW8Num629z0">
    <w:name w:val="WW8Num629z0"/>
    <w:rsid w:val="00B24E11"/>
    <w:rPr>
      <w:rFonts w:ascii="Symbol" w:hAnsi="Symbol"/>
      <w:color w:val="auto"/>
      <w:sz w:val="16"/>
    </w:rPr>
  </w:style>
  <w:style w:type="character" w:customStyle="1" w:styleId="WW8Num629z1">
    <w:name w:val="WW8Num629z1"/>
    <w:rsid w:val="00B24E11"/>
    <w:rPr>
      <w:rFonts w:ascii="Symbol" w:eastAsia="Times New Roman" w:hAnsi="Symbol" w:cs="Times New Roman"/>
    </w:rPr>
  </w:style>
  <w:style w:type="character" w:customStyle="1" w:styleId="WW8Num629z2">
    <w:name w:val="WW8Num629z2"/>
    <w:rsid w:val="00B24E11"/>
    <w:rPr>
      <w:rFonts w:ascii="Wingdings" w:hAnsi="Wingdings"/>
    </w:rPr>
  </w:style>
  <w:style w:type="character" w:customStyle="1" w:styleId="WW8Num629z3">
    <w:name w:val="WW8Num629z3"/>
    <w:rsid w:val="00B24E11"/>
    <w:rPr>
      <w:rFonts w:ascii="Symbol" w:hAnsi="Symbol"/>
    </w:rPr>
  </w:style>
  <w:style w:type="character" w:customStyle="1" w:styleId="WW8Num629z4">
    <w:name w:val="WW8Num629z4"/>
    <w:rsid w:val="00B24E11"/>
    <w:rPr>
      <w:rFonts w:ascii="Courier New" w:hAnsi="Courier New"/>
    </w:rPr>
  </w:style>
  <w:style w:type="character" w:customStyle="1" w:styleId="WW8Num630z0">
    <w:name w:val="WW8Num630z0"/>
    <w:rsid w:val="00B24E11"/>
    <w:rPr>
      <w:rFonts w:ascii="Wingdings" w:hAnsi="Wingdings"/>
    </w:rPr>
  </w:style>
  <w:style w:type="character" w:customStyle="1" w:styleId="WW8Num634z0">
    <w:name w:val="WW8Num634z0"/>
    <w:rsid w:val="00B24E11"/>
    <w:rPr>
      <w:rFonts w:ascii="Wingdings" w:hAnsi="Wingdings"/>
      <w:sz w:val="16"/>
    </w:rPr>
  </w:style>
  <w:style w:type="character" w:customStyle="1" w:styleId="WW8Num634z1">
    <w:name w:val="WW8Num634z1"/>
    <w:rsid w:val="00B24E11"/>
    <w:rPr>
      <w:rFonts w:ascii="Courier New" w:hAnsi="Courier New"/>
    </w:rPr>
  </w:style>
  <w:style w:type="character" w:customStyle="1" w:styleId="WW8Num634z2">
    <w:name w:val="WW8Num634z2"/>
    <w:rsid w:val="00B24E11"/>
    <w:rPr>
      <w:rFonts w:ascii="Wingdings" w:hAnsi="Wingdings"/>
    </w:rPr>
  </w:style>
  <w:style w:type="character" w:customStyle="1" w:styleId="WW8Num634z3">
    <w:name w:val="WW8Num634z3"/>
    <w:rsid w:val="00B24E11"/>
    <w:rPr>
      <w:rFonts w:ascii="Symbol" w:hAnsi="Symbol"/>
    </w:rPr>
  </w:style>
  <w:style w:type="character" w:customStyle="1" w:styleId="WW8Num636z0">
    <w:name w:val="WW8Num636z0"/>
    <w:rsid w:val="00B24E11"/>
    <w:rPr>
      <w:rFonts w:ascii="Times New Roman" w:hAnsi="Times New Roman"/>
    </w:rPr>
  </w:style>
  <w:style w:type="character" w:customStyle="1" w:styleId="WW8Num637z0">
    <w:name w:val="WW8Num637z0"/>
    <w:rsid w:val="00B24E11"/>
    <w:rPr>
      <w:rFonts w:ascii="Wingdings" w:hAnsi="Wingdings"/>
    </w:rPr>
  </w:style>
  <w:style w:type="character" w:customStyle="1" w:styleId="WW8Num638z0">
    <w:name w:val="WW8Num638z0"/>
    <w:rsid w:val="00B24E11"/>
    <w:rPr>
      <w:rFonts w:ascii="Symbol" w:hAnsi="Symbol"/>
      <w:color w:val="auto"/>
      <w:sz w:val="16"/>
    </w:rPr>
  </w:style>
  <w:style w:type="character" w:customStyle="1" w:styleId="WW8Num638z1">
    <w:name w:val="WW8Num638z1"/>
    <w:rsid w:val="00B24E11"/>
    <w:rPr>
      <w:rFonts w:ascii="Courier New" w:hAnsi="Courier New"/>
    </w:rPr>
  </w:style>
  <w:style w:type="character" w:customStyle="1" w:styleId="WW8Num638z2">
    <w:name w:val="WW8Num638z2"/>
    <w:rsid w:val="00B24E11"/>
    <w:rPr>
      <w:rFonts w:ascii="Wingdings" w:hAnsi="Wingdings"/>
    </w:rPr>
  </w:style>
  <w:style w:type="character" w:customStyle="1" w:styleId="WW8Num638z3">
    <w:name w:val="WW8Num638z3"/>
    <w:rsid w:val="00B24E11"/>
    <w:rPr>
      <w:rFonts w:ascii="Symbol" w:hAnsi="Symbol"/>
    </w:rPr>
  </w:style>
  <w:style w:type="character" w:customStyle="1" w:styleId="WW8Num639z0">
    <w:name w:val="WW8Num639z0"/>
    <w:rsid w:val="00B24E11"/>
    <w:rPr>
      <w:rFonts w:ascii="Symbol" w:hAnsi="Symbol"/>
    </w:rPr>
  </w:style>
  <w:style w:type="character" w:customStyle="1" w:styleId="WW8Num640z0">
    <w:name w:val="WW8Num640z0"/>
    <w:rsid w:val="00B24E11"/>
    <w:rPr>
      <w:rFonts w:ascii="Symbol" w:hAnsi="Symbol"/>
    </w:rPr>
  </w:style>
  <w:style w:type="character" w:customStyle="1" w:styleId="WW8Num641z1">
    <w:name w:val="WW8Num641z1"/>
    <w:rsid w:val="00B24E11"/>
    <w:rPr>
      <w:rFonts w:ascii="Courier New" w:hAnsi="Courier New"/>
    </w:rPr>
  </w:style>
  <w:style w:type="character" w:customStyle="1" w:styleId="WW8Num641z2">
    <w:name w:val="WW8Num641z2"/>
    <w:rsid w:val="00B24E11"/>
    <w:rPr>
      <w:rFonts w:ascii="Wingdings" w:hAnsi="Wingdings"/>
    </w:rPr>
  </w:style>
  <w:style w:type="character" w:customStyle="1" w:styleId="WW8Num641z3">
    <w:name w:val="WW8Num641z3"/>
    <w:rsid w:val="00B24E11"/>
    <w:rPr>
      <w:rFonts w:ascii="Symbol" w:hAnsi="Symbol"/>
    </w:rPr>
  </w:style>
  <w:style w:type="character" w:customStyle="1" w:styleId="WW8Num642z0">
    <w:name w:val="WW8Num642z0"/>
    <w:rsid w:val="00B24E11"/>
    <w:rPr>
      <w:rFonts w:ascii="Wingdings" w:hAnsi="Wingdings"/>
    </w:rPr>
  </w:style>
  <w:style w:type="character" w:customStyle="1" w:styleId="WW8Num644z0">
    <w:name w:val="WW8Num644z0"/>
    <w:rsid w:val="00B24E11"/>
    <w:rPr>
      <w:rFonts w:ascii="Wingdings" w:hAnsi="Wingdings"/>
    </w:rPr>
  </w:style>
  <w:style w:type="character" w:customStyle="1" w:styleId="WW8Num646z0">
    <w:name w:val="WW8Num646z0"/>
    <w:rsid w:val="00B24E11"/>
    <w:rPr>
      <w:rFonts w:ascii="Symbol" w:hAnsi="Symbol"/>
      <w:color w:val="auto"/>
      <w:sz w:val="16"/>
    </w:rPr>
  </w:style>
  <w:style w:type="character" w:customStyle="1" w:styleId="WW8Num646z1">
    <w:name w:val="WW8Num646z1"/>
    <w:rsid w:val="00B24E11"/>
    <w:rPr>
      <w:rFonts w:ascii="Courier New" w:hAnsi="Courier New"/>
    </w:rPr>
  </w:style>
  <w:style w:type="character" w:customStyle="1" w:styleId="WW8Num646z2">
    <w:name w:val="WW8Num646z2"/>
    <w:rsid w:val="00B24E11"/>
    <w:rPr>
      <w:rFonts w:ascii="Wingdings" w:hAnsi="Wingdings"/>
    </w:rPr>
  </w:style>
  <w:style w:type="character" w:customStyle="1" w:styleId="WW8Num646z3">
    <w:name w:val="WW8Num646z3"/>
    <w:rsid w:val="00B24E11"/>
    <w:rPr>
      <w:rFonts w:ascii="Symbol" w:hAnsi="Symbol"/>
    </w:rPr>
  </w:style>
  <w:style w:type="character" w:customStyle="1" w:styleId="WW8Num647z0">
    <w:name w:val="WW8Num647z0"/>
    <w:rsid w:val="00B24E11"/>
    <w:rPr>
      <w:rFonts w:ascii="Wingdings" w:hAnsi="Wingdings"/>
    </w:rPr>
  </w:style>
  <w:style w:type="character" w:customStyle="1" w:styleId="WW8Num647z1">
    <w:name w:val="WW8Num647z1"/>
    <w:rsid w:val="00B24E11"/>
    <w:rPr>
      <w:rFonts w:ascii="Courier New" w:hAnsi="Courier New"/>
    </w:rPr>
  </w:style>
  <w:style w:type="character" w:customStyle="1" w:styleId="WW8Num647z3">
    <w:name w:val="WW8Num647z3"/>
    <w:rsid w:val="00B24E11"/>
    <w:rPr>
      <w:rFonts w:ascii="Symbol" w:hAnsi="Symbol"/>
    </w:rPr>
  </w:style>
  <w:style w:type="character" w:customStyle="1" w:styleId="WW8Num649z0">
    <w:name w:val="WW8Num649z0"/>
    <w:rsid w:val="00B24E11"/>
    <w:rPr>
      <w:rFonts w:ascii="Wingdings" w:hAnsi="Wingdings"/>
    </w:rPr>
  </w:style>
  <w:style w:type="character" w:customStyle="1" w:styleId="WW8Num650z0">
    <w:name w:val="WW8Num650z0"/>
    <w:rsid w:val="00B24E11"/>
    <w:rPr>
      <w:rFonts w:ascii="Symbol" w:hAnsi="Symbol"/>
    </w:rPr>
  </w:style>
  <w:style w:type="character" w:customStyle="1" w:styleId="WW8Num652z0">
    <w:name w:val="WW8Num652z0"/>
    <w:rsid w:val="00B24E11"/>
    <w:rPr>
      <w:rFonts w:ascii="Courier New" w:hAnsi="Courier New"/>
    </w:rPr>
  </w:style>
  <w:style w:type="character" w:customStyle="1" w:styleId="WW8Num652z2">
    <w:name w:val="WW8Num652z2"/>
    <w:rsid w:val="00B24E11"/>
    <w:rPr>
      <w:rFonts w:ascii="Wingdings" w:hAnsi="Wingdings"/>
    </w:rPr>
  </w:style>
  <w:style w:type="character" w:customStyle="1" w:styleId="WW8Num652z3">
    <w:name w:val="WW8Num652z3"/>
    <w:rsid w:val="00B24E11"/>
    <w:rPr>
      <w:rFonts w:ascii="Symbol" w:hAnsi="Symbol"/>
    </w:rPr>
  </w:style>
  <w:style w:type="character" w:customStyle="1" w:styleId="WW8Num654z0">
    <w:name w:val="WW8Num654z0"/>
    <w:rsid w:val="00B24E11"/>
    <w:rPr>
      <w:rFonts w:ascii="Symbol" w:hAnsi="Symbol"/>
    </w:rPr>
  </w:style>
  <w:style w:type="character" w:customStyle="1" w:styleId="WW8Num655z0">
    <w:name w:val="WW8Num655z0"/>
    <w:rsid w:val="00B24E11"/>
    <w:rPr>
      <w:u w:val="none"/>
    </w:rPr>
  </w:style>
  <w:style w:type="character" w:customStyle="1" w:styleId="WW8Num656z0">
    <w:name w:val="WW8Num656z0"/>
    <w:rsid w:val="00B24E11"/>
    <w:rPr>
      <w:rFonts w:ascii="Symbol" w:hAnsi="Symbol"/>
    </w:rPr>
  </w:style>
  <w:style w:type="character" w:customStyle="1" w:styleId="WW8Num659z0">
    <w:name w:val="WW8Num659z0"/>
    <w:rsid w:val="00B24E11"/>
    <w:rPr>
      <w:rFonts w:ascii="Wingdings" w:hAnsi="Wingdings"/>
    </w:rPr>
  </w:style>
  <w:style w:type="character" w:customStyle="1" w:styleId="WW8Num659z1">
    <w:name w:val="WW8Num659z1"/>
    <w:rsid w:val="00B24E11"/>
    <w:rPr>
      <w:rFonts w:ascii="Courier New" w:hAnsi="Courier New"/>
    </w:rPr>
  </w:style>
  <w:style w:type="character" w:customStyle="1" w:styleId="WW8Num659z3">
    <w:name w:val="WW8Num659z3"/>
    <w:rsid w:val="00B24E11"/>
    <w:rPr>
      <w:rFonts w:ascii="Symbol" w:hAnsi="Symbol"/>
    </w:rPr>
  </w:style>
  <w:style w:type="character" w:customStyle="1" w:styleId="WW8Num660z0">
    <w:name w:val="WW8Num660z0"/>
    <w:rsid w:val="00B24E11"/>
    <w:rPr>
      <w:rFonts w:ascii="Symbol" w:hAnsi="Symbol"/>
    </w:rPr>
  </w:style>
  <w:style w:type="character" w:customStyle="1" w:styleId="WW8Num661z0">
    <w:name w:val="WW8Num661z0"/>
    <w:rsid w:val="00B24E11"/>
    <w:rPr>
      <w:rFonts w:ascii="Symbol" w:hAnsi="Symbol"/>
      <w:color w:val="auto"/>
      <w:sz w:val="16"/>
    </w:rPr>
  </w:style>
  <w:style w:type="character" w:customStyle="1" w:styleId="WW8Num661z1">
    <w:name w:val="WW8Num661z1"/>
    <w:rsid w:val="00B24E11"/>
    <w:rPr>
      <w:rFonts w:ascii="Courier New" w:hAnsi="Courier New"/>
    </w:rPr>
  </w:style>
  <w:style w:type="character" w:customStyle="1" w:styleId="WW8Num661z2">
    <w:name w:val="WW8Num661z2"/>
    <w:rsid w:val="00B24E11"/>
    <w:rPr>
      <w:rFonts w:ascii="Wingdings" w:hAnsi="Wingdings"/>
    </w:rPr>
  </w:style>
  <w:style w:type="character" w:customStyle="1" w:styleId="WW8Num661z3">
    <w:name w:val="WW8Num661z3"/>
    <w:rsid w:val="00B24E11"/>
    <w:rPr>
      <w:rFonts w:ascii="Symbol" w:hAnsi="Symbol"/>
    </w:rPr>
  </w:style>
  <w:style w:type="character" w:customStyle="1" w:styleId="WW8Num662z0">
    <w:name w:val="WW8Num662z0"/>
    <w:rsid w:val="00B24E11"/>
    <w:rPr>
      <w:rFonts w:ascii="Symbol" w:hAnsi="Symbol"/>
    </w:rPr>
  </w:style>
  <w:style w:type="character" w:customStyle="1" w:styleId="WW8Num663z0">
    <w:name w:val="WW8Num663z0"/>
    <w:rsid w:val="00B24E11"/>
    <w:rPr>
      <w:rFonts w:ascii="Times New Roman" w:hAnsi="Times New Roman"/>
      <w:color w:val="auto"/>
    </w:rPr>
  </w:style>
  <w:style w:type="character" w:customStyle="1" w:styleId="WW8Num665z0">
    <w:name w:val="WW8Num665z0"/>
    <w:rsid w:val="00B24E11"/>
    <w:rPr>
      <w:rFonts w:ascii="Symbol" w:hAnsi="Symbol"/>
    </w:rPr>
  </w:style>
  <w:style w:type="character" w:customStyle="1" w:styleId="WW8Num666z0">
    <w:name w:val="WW8Num666z0"/>
    <w:rsid w:val="00B24E11"/>
    <w:rPr>
      <w:rFonts w:ascii="Symbol" w:hAnsi="Symbol"/>
    </w:rPr>
  </w:style>
  <w:style w:type="character" w:customStyle="1" w:styleId="WW8NumSt6z0">
    <w:name w:val="WW8NumSt6z0"/>
    <w:rsid w:val="00B24E11"/>
    <w:rPr>
      <w:rFonts w:ascii="Symbol" w:hAnsi="Symbol"/>
    </w:rPr>
  </w:style>
  <w:style w:type="character" w:customStyle="1" w:styleId="WW8NumSt67z0">
    <w:name w:val="WW8NumSt67z0"/>
    <w:rsid w:val="00B24E11"/>
    <w:rPr>
      <w:rFonts w:ascii="Symbol" w:hAnsi="Symbol"/>
    </w:rPr>
  </w:style>
  <w:style w:type="character" w:customStyle="1" w:styleId="WW8NumSt149z0">
    <w:name w:val="WW8NumSt149z0"/>
    <w:rsid w:val="00B24E11"/>
    <w:rPr>
      <w:rFonts w:ascii="Symbol" w:hAnsi="Symbol"/>
    </w:rPr>
  </w:style>
  <w:style w:type="character" w:customStyle="1" w:styleId="WW8NumSt152z0">
    <w:name w:val="WW8NumSt152z0"/>
    <w:rsid w:val="00B24E11"/>
    <w:rPr>
      <w:rFonts w:ascii="Times New Roman" w:hAnsi="Times New Roman"/>
      <w:b/>
      <w:i w:val="0"/>
      <w:sz w:val="28"/>
      <w:u w:val="none"/>
    </w:rPr>
  </w:style>
  <w:style w:type="character" w:customStyle="1" w:styleId="WW8NumSt159z0">
    <w:name w:val="WW8NumSt159z0"/>
    <w:rsid w:val="00B24E11"/>
    <w:rPr>
      <w:rFonts w:ascii="Times New Roman" w:hAnsi="Times New Roman"/>
      <w:b w:val="0"/>
      <w:i w:val="0"/>
      <w:sz w:val="24"/>
      <w:u w:val="none"/>
    </w:rPr>
  </w:style>
  <w:style w:type="character" w:customStyle="1" w:styleId="WW8NumSt166z0">
    <w:name w:val="WW8NumSt166z0"/>
    <w:rsid w:val="00B24E11"/>
    <w:rPr>
      <w:rFonts w:ascii="Symbol" w:hAnsi="Symbol"/>
      <w:b w:val="0"/>
      <w:i w:val="0"/>
      <w:sz w:val="24"/>
      <w:u w:val="none"/>
    </w:rPr>
  </w:style>
  <w:style w:type="character" w:customStyle="1" w:styleId="WW8NumSt190z0">
    <w:name w:val="WW8NumSt190z0"/>
    <w:rsid w:val="00B24E11"/>
    <w:rPr>
      <w:rFonts w:ascii="Wingdings" w:hAnsi="Wingdings"/>
      <w:b w:val="0"/>
      <w:i w:val="0"/>
      <w:sz w:val="20"/>
      <w:u w:val="none"/>
    </w:rPr>
  </w:style>
  <w:style w:type="character" w:customStyle="1" w:styleId="WW8NumSt284z0">
    <w:name w:val="WW8NumSt284z0"/>
    <w:rsid w:val="00B24E11"/>
    <w:rPr>
      <w:rFonts w:ascii="Wingdings" w:hAnsi="Wingdings"/>
      <w:b w:val="0"/>
      <w:i w:val="0"/>
      <w:sz w:val="24"/>
      <w:u w:val="none"/>
    </w:rPr>
  </w:style>
  <w:style w:type="character" w:customStyle="1" w:styleId="WW8NumSt329z0">
    <w:name w:val="WW8NumSt329z0"/>
    <w:rsid w:val="00B24E11"/>
    <w:rPr>
      <w:rFonts w:ascii="Symbol" w:hAnsi="Symbol"/>
    </w:rPr>
  </w:style>
  <w:style w:type="character" w:customStyle="1" w:styleId="WW8NumSt330z0">
    <w:name w:val="WW8NumSt330z0"/>
    <w:rsid w:val="00B24E11"/>
    <w:rPr>
      <w:rFonts w:ascii="Arial" w:hAnsi="Arial"/>
      <w:sz w:val="22"/>
    </w:rPr>
  </w:style>
  <w:style w:type="character" w:customStyle="1" w:styleId="WW8NumSt333z0">
    <w:name w:val="WW8NumSt333z0"/>
    <w:rsid w:val="00B24E11"/>
    <w:rPr>
      <w:rFonts w:ascii="Symbol" w:hAnsi="Symbol"/>
    </w:rPr>
  </w:style>
  <w:style w:type="character" w:customStyle="1" w:styleId="WW8NumSt336z0">
    <w:name w:val="WW8NumSt336z0"/>
    <w:rsid w:val="00B24E11"/>
    <w:rPr>
      <w:rFonts w:ascii="Arial" w:hAnsi="Arial"/>
      <w:sz w:val="22"/>
    </w:rPr>
  </w:style>
  <w:style w:type="character" w:customStyle="1" w:styleId="WW8NumSt337z0">
    <w:name w:val="WW8NumSt337z0"/>
    <w:rsid w:val="00B24E11"/>
    <w:rPr>
      <w:rFonts w:ascii="Wingdings" w:hAnsi="Wingdings"/>
    </w:rPr>
  </w:style>
  <w:style w:type="character" w:customStyle="1" w:styleId="WW8NumSt338z0">
    <w:name w:val="WW8NumSt338z0"/>
    <w:rsid w:val="00B24E11"/>
    <w:rPr>
      <w:rFonts w:ascii="Symbol" w:hAnsi="Symbol"/>
    </w:rPr>
  </w:style>
  <w:style w:type="character" w:customStyle="1" w:styleId="WW8NumSt339z0">
    <w:name w:val="WW8NumSt339z0"/>
    <w:rsid w:val="00B24E11"/>
    <w:rPr>
      <w:rFonts w:ascii="Symbol" w:hAnsi="Symbol"/>
    </w:rPr>
  </w:style>
  <w:style w:type="character" w:customStyle="1" w:styleId="WW8NumSt340z0">
    <w:name w:val="WW8NumSt340z0"/>
    <w:rsid w:val="00B24E11"/>
    <w:rPr>
      <w:rFonts w:ascii="Wingdings" w:hAnsi="Wingdings"/>
    </w:rPr>
  </w:style>
  <w:style w:type="character" w:customStyle="1" w:styleId="WW8NumSt342z0">
    <w:name w:val="WW8NumSt342z0"/>
    <w:rsid w:val="00B24E11"/>
    <w:rPr>
      <w:rFonts w:ascii="Wingdings" w:hAnsi="Wingdings"/>
    </w:rPr>
  </w:style>
  <w:style w:type="character" w:customStyle="1" w:styleId="WW8NumSt343z0">
    <w:name w:val="WW8NumSt343z0"/>
    <w:rsid w:val="00B24E11"/>
    <w:rPr>
      <w:rFonts w:ascii="Wingdings" w:hAnsi="Wingdings"/>
    </w:rPr>
  </w:style>
  <w:style w:type="character" w:customStyle="1" w:styleId="WW8NumSt344z0">
    <w:name w:val="WW8NumSt344z0"/>
    <w:rsid w:val="00B24E11"/>
    <w:rPr>
      <w:rFonts w:ascii="Symbol" w:hAnsi="Symbol"/>
    </w:rPr>
  </w:style>
  <w:style w:type="character" w:customStyle="1" w:styleId="WW8NumSt345z0">
    <w:name w:val="WW8NumSt345z0"/>
    <w:rsid w:val="00B24E11"/>
    <w:rPr>
      <w:rFonts w:ascii="Monotype Sorts" w:hAnsi="Monotype Sorts"/>
    </w:rPr>
  </w:style>
  <w:style w:type="character" w:customStyle="1" w:styleId="WW8NumSt346z0">
    <w:name w:val="WW8NumSt346z0"/>
    <w:rsid w:val="00B24E11"/>
    <w:rPr>
      <w:rFonts w:ascii="Symbol" w:hAnsi="Symbol"/>
    </w:rPr>
  </w:style>
  <w:style w:type="character" w:customStyle="1" w:styleId="WW8NumSt402z0">
    <w:name w:val="WW8NumSt402z0"/>
    <w:rsid w:val="00B24E11"/>
    <w:rPr>
      <w:rFonts w:ascii="Courier New" w:hAnsi="Courier New"/>
    </w:rPr>
  </w:style>
  <w:style w:type="character" w:customStyle="1" w:styleId="WW8NumSt413z0">
    <w:name w:val="WW8NumSt413z0"/>
    <w:rsid w:val="00B24E11"/>
    <w:rPr>
      <w:rFonts w:ascii="Symbol" w:hAnsi="Symbol"/>
    </w:rPr>
  </w:style>
  <w:style w:type="character" w:customStyle="1" w:styleId="WW8NumSt566z0">
    <w:name w:val="WW8NumSt566z0"/>
    <w:rsid w:val="00B24E11"/>
    <w:rPr>
      <w:rFonts w:ascii="Arial" w:hAnsi="Arial"/>
    </w:rPr>
  </w:style>
  <w:style w:type="character" w:customStyle="1" w:styleId="Standardnpsmoodstavce3">
    <w:name w:val="Standardní písmo odstavce3"/>
    <w:semiHidden/>
    <w:rsid w:val="00B24E11"/>
  </w:style>
  <w:style w:type="character" w:styleId="slostrany">
    <w:name w:val="page number"/>
    <w:basedOn w:val="Standardnpsmoodstavce3"/>
    <w:rsid w:val="00B24E11"/>
  </w:style>
  <w:style w:type="character" w:styleId="PouitHypertextovPrepojenie">
    <w:name w:val="FollowedHyperlink"/>
    <w:uiPriority w:val="99"/>
    <w:semiHidden/>
    <w:rsid w:val="00B24E11"/>
    <w:rPr>
      <w:color w:val="800080"/>
      <w:u w:val="single"/>
    </w:rPr>
  </w:style>
  <w:style w:type="character" w:customStyle="1" w:styleId="vel1">
    <w:name w:val="vel1"/>
    <w:rsid w:val="00B24E11"/>
    <w:rPr>
      <w:b/>
      <w:bCs/>
      <w:sz w:val="27"/>
      <w:szCs w:val="27"/>
    </w:rPr>
  </w:style>
  <w:style w:type="character" w:styleId="Siln">
    <w:name w:val="Strong"/>
    <w:uiPriority w:val="22"/>
    <w:qFormat/>
    <w:rsid w:val="00B24E11"/>
    <w:rPr>
      <w:b/>
      <w:bCs/>
    </w:rPr>
  </w:style>
  <w:style w:type="character" w:customStyle="1" w:styleId="verdana10">
    <w:name w:val="verdana10"/>
    <w:basedOn w:val="Standardnpsmoodstavce3"/>
    <w:rsid w:val="00B24E11"/>
  </w:style>
  <w:style w:type="paragraph" w:customStyle="1" w:styleId="Nadpis">
    <w:name w:val="Nadpis"/>
    <w:basedOn w:val="Normlny"/>
    <w:next w:val="Zkladntext"/>
    <w:qFormat/>
    <w:rsid w:val="00B24E11"/>
    <w:pPr>
      <w:keepNext/>
      <w:suppressAutoHyphens/>
      <w:spacing w:before="240" w:after="120" w:line="288" w:lineRule="auto"/>
    </w:pPr>
    <w:rPr>
      <w:rFonts w:ascii="Arial" w:eastAsia="MS Mincho" w:hAnsi="Arial" w:cs="Tahoma"/>
      <w:sz w:val="28"/>
      <w:szCs w:val="28"/>
      <w:lang w:eastAsia="ar-SA"/>
    </w:rPr>
  </w:style>
  <w:style w:type="paragraph" w:styleId="Zkladntext">
    <w:name w:val="Body Text"/>
    <w:basedOn w:val="Normlny"/>
    <w:link w:val="ZkladntextChar"/>
    <w:rsid w:val="00B24E11"/>
    <w:pPr>
      <w:suppressAutoHyphens/>
      <w:spacing w:before="120" w:line="240" w:lineRule="atLeast"/>
      <w:jc w:val="left"/>
    </w:pPr>
    <w:rPr>
      <w:rFonts w:ascii="Times New Roman" w:eastAsia="Times New Roman" w:hAnsi="Times New Roman" w:cs="Times New Roman"/>
      <w:b/>
      <w:szCs w:val="20"/>
      <w:lang w:val="x-none" w:eastAsia="ar-SA"/>
    </w:rPr>
  </w:style>
  <w:style w:type="character" w:customStyle="1" w:styleId="ZkladntextChar">
    <w:name w:val="Základný text Char"/>
    <w:basedOn w:val="Predvolenpsmoodseku"/>
    <w:link w:val="Zkladntext"/>
    <w:rsid w:val="00B24E11"/>
    <w:rPr>
      <w:rFonts w:ascii="Times New Roman" w:eastAsia="Times New Roman" w:hAnsi="Times New Roman" w:cs="Times New Roman"/>
      <w:b/>
      <w:sz w:val="24"/>
      <w:szCs w:val="20"/>
      <w:lang w:val="x-none" w:eastAsia="ar-SA"/>
    </w:rPr>
  </w:style>
  <w:style w:type="paragraph" w:styleId="Zoznam">
    <w:name w:val="List"/>
    <w:basedOn w:val="Zkladntext"/>
    <w:rsid w:val="00B24E11"/>
    <w:rPr>
      <w:rFonts w:cs="Tahoma"/>
    </w:rPr>
  </w:style>
  <w:style w:type="paragraph" w:customStyle="1" w:styleId="Popisek">
    <w:name w:val="Popisek"/>
    <w:basedOn w:val="Normlny"/>
    <w:uiPriority w:val="99"/>
    <w:rsid w:val="00B24E11"/>
    <w:pPr>
      <w:suppressLineNumbers/>
      <w:suppressAutoHyphens/>
      <w:spacing w:before="120" w:after="120" w:line="288" w:lineRule="auto"/>
    </w:pPr>
    <w:rPr>
      <w:rFonts w:ascii="Calibri" w:eastAsia="Times New Roman" w:hAnsi="Calibri" w:cs="Tahoma"/>
      <w:i/>
      <w:iCs/>
      <w:szCs w:val="24"/>
      <w:lang w:eastAsia="ar-SA"/>
    </w:rPr>
  </w:style>
  <w:style w:type="paragraph" w:customStyle="1" w:styleId="Rejstk">
    <w:name w:val="Rejstřík"/>
    <w:basedOn w:val="Normlny"/>
    <w:uiPriority w:val="99"/>
    <w:rsid w:val="00B24E11"/>
    <w:pPr>
      <w:suppressLineNumbers/>
      <w:suppressAutoHyphens/>
      <w:spacing w:before="120" w:after="120" w:line="288" w:lineRule="auto"/>
    </w:pPr>
    <w:rPr>
      <w:rFonts w:ascii="Calibri" w:eastAsia="Times New Roman" w:hAnsi="Calibri" w:cs="Tahoma"/>
      <w:sz w:val="22"/>
      <w:szCs w:val="24"/>
      <w:lang w:eastAsia="ar-SA"/>
    </w:rPr>
  </w:style>
  <w:style w:type="paragraph" w:customStyle="1" w:styleId="xl24">
    <w:name w:val="xl24"/>
    <w:basedOn w:val="Normlny"/>
    <w:uiPriority w:val="99"/>
    <w:rsid w:val="00B24E11"/>
    <w:pPr>
      <w:suppressAutoHyphens/>
      <w:spacing w:before="280" w:after="280" w:line="288" w:lineRule="auto"/>
    </w:pPr>
    <w:rPr>
      <w:rFonts w:ascii="Arial" w:eastAsia="Times New Roman" w:hAnsi="Arial" w:cs="Times New Roman"/>
      <w:b/>
      <w:bCs/>
      <w:sz w:val="22"/>
      <w:szCs w:val="24"/>
      <w:lang w:eastAsia="ar-SA"/>
    </w:rPr>
  </w:style>
  <w:style w:type="paragraph" w:styleId="Obsah5">
    <w:name w:val="toc 5"/>
    <w:basedOn w:val="Normlny"/>
    <w:next w:val="Normlny"/>
    <w:uiPriority w:val="39"/>
    <w:rsid w:val="00B24E11"/>
    <w:pPr>
      <w:suppressAutoHyphens/>
      <w:spacing w:line="288" w:lineRule="auto"/>
      <w:ind w:left="880"/>
      <w:jc w:val="left"/>
    </w:pPr>
    <w:rPr>
      <w:rFonts w:ascii="Times New Roman" w:eastAsia="Times New Roman" w:hAnsi="Times New Roman" w:cs="Times New Roman"/>
      <w:sz w:val="22"/>
      <w:szCs w:val="21"/>
      <w:lang w:eastAsia="ar-SA"/>
    </w:rPr>
  </w:style>
  <w:style w:type="paragraph" w:styleId="Obsah6">
    <w:name w:val="toc 6"/>
    <w:basedOn w:val="Normlny"/>
    <w:next w:val="Normlny"/>
    <w:uiPriority w:val="39"/>
    <w:rsid w:val="00B24E11"/>
    <w:pPr>
      <w:suppressAutoHyphens/>
      <w:spacing w:line="288" w:lineRule="auto"/>
      <w:ind w:left="1100"/>
      <w:jc w:val="left"/>
    </w:pPr>
    <w:rPr>
      <w:rFonts w:ascii="Times New Roman" w:eastAsia="Times New Roman" w:hAnsi="Times New Roman" w:cs="Times New Roman"/>
      <w:sz w:val="22"/>
      <w:szCs w:val="21"/>
      <w:lang w:eastAsia="ar-SA"/>
    </w:rPr>
  </w:style>
  <w:style w:type="paragraph" w:styleId="Obsah7">
    <w:name w:val="toc 7"/>
    <w:basedOn w:val="Normlny"/>
    <w:next w:val="Normlny"/>
    <w:uiPriority w:val="39"/>
    <w:rsid w:val="00B24E11"/>
    <w:pPr>
      <w:suppressAutoHyphens/>
      <w:spacing w:line="288" w:lineRule="auto"/>
      <w:ind w:left="1320"/>
      <w:jc w:val="left"/>
    </w:pPr>
    <w:rPr>
      <w:rFonts w:ascii="Times New Roman" w:eastAsia="Times New Roman" w:hAnsi="Times New Roman" w:cs="Times New Roman"/>
      <w:sz w:val="22"/>
      <w:szCs w:val="21"/>
      <w:lang w:eastAsia="ar-SA"/>
    </w:rPr>
  </w:style>
  <w:style w:type="paragraph" w:styleId="Obsah8">
    <w:name w:val="toc 8"/>
    <w:basedOn w:val="Normlny"/>
    <w:next w:val="Normlny"/>
    <w:uiPriority w:val="39"/>
    <w:rsid w:val="00B24E11"/>
    <w:pPr>
      <w:suppressAutoHyphens/>
      <w:spacing w:line="288" w:lineRule="auto"/>
      <w:ind w:left="1540"/>
      <w:jc w:val="left"/>
    </w:pPr>
    <w:rPr>
      <w:rFonts w:ascii="Times New Roman" w:eastAsia="Times New Roman" w:hAnsi="Times New Roman" w:cs="Times New Roman"/>
      <w:sz w:val="22"/>
      <w:szCs w:val="21"/>
      <w:lang w:eastAsia="ar-SA"/>
    </w:rPr>
  </w:style>
  <w:style w:type="paragraph" w:styleId="Obsah9">
    <w:name w:val="toc 9"/>
    <w:basedOn w:val="Normlny"/>
    <w:next w:val="Normlny"/>
    <w:uiPriority w:val="39"/>
    <w:rsid w:val="00B24E11"/>
    <w:pPr>
      <w:suppressAutoHyphens/>
      <w:spacing w:line="288" w:lineRule="auto"/>
      <w:ind w:left="1760"/>
      <w:jc w:val="left"/>
    </w:pPr>
    <w:rPr>
      <w:rFonts w:ascii="Times New Roman" w:eastAsia="Times New Roman" w:hAnsi="Times New Roman" w:cs="Times New Roman"/>
      <w:sz w:val="22"/>
      <w:szCs w:val="21"/>
      <w:lang w:eastAsia="ar-SA"/>
    </w:rPr>
  </w:style>
  <w:style w:type="paragraph" w:styleId="Zarkazkladnhotextu2">
    <w:name w:val="Body Text Indent 2"/>
    <w:basedOn w:val="Normlny"/>
    <w:link w:val="Zarkazkladnhotextu2Char"/>
    <w:uiPriority w:val="99"/>
    <w:rsid w:val="00B24E11"/>
    <w:pPr>
      <w:suppressAutoHyphens/>
      <w:spacing w:before="120" w:after="120" w:line="288" w:lineRule="auto"/>
      <w:ind w:firstLine="708"/>
    </w:pPr>
    <w:rPr>
      <w:rFonts w:ascii="Times New Roman" w:eastAsia="Times New Roman" w:hAnsi="Times New Roman" w:cs="Times New Roman"/>
      <w:szCs w:val="20"/>
      <w:lang w:val="x-none" w:eastAsia="ar-SA"/>
    </w:rPr>
  </w:style>
  <w:style w:type="character" w:customStyle="1" w:styleId="Zarkazkladnhotextu2Char">
    <w:name w:val="Zarážka základného textu 2 Char"/>
    <w:basedOn w:val="Predvolenpsmoodseku"/>
    <w:link w:val="Zarkazkladnhotextu2"/>
    <w:uiPriority w:val="99"/>
    <w:rsid w:val="00B24E11"/>
    <w:rPr>
      <w:rFonts w:ascii="Times New Roman" w:eastAsia="Times New Roman" w:hAnsi="Times New Roman" w:cs="Times New Roman"/>
      <w:sz w:val="24"/>
      <w:szCs w:val="20"/>
      <w:lang w:val="x-none" w:eastAsia="ar-SA"/>
    </w:rPr>
  </w:style>
  <w:style w:type="paragraph" w:styleId="Nzov">
    <w:name w:val="Title"/>
    <w:aliases w:val="BA Názov"/>
    <w:basedOn w:val="Normlny"/>
    <w:next w:val="Podtitul"/>
    <w:link w:val="NzovChar"/>
    <w:qFormat/>
    <w:rsid w:val="00B24E11"/>
    <w:pPr>
      <w:suppressAutoHyphens/>
      <w:spacing w:before="120" w:after="120" w:line="288" w:lineRule="auto"/>
      <w:jc w:val="center"/>
    </w:pPr>
    <w:rPr>
      <w:rFonts w:ascii="Arial" w:eastAsia="Times New Roman" w:hAnsi="Arial" w:cs="Times New Roman"/>
      <w:b/>
      <w:sz w:val="28"/>
      <w:szCs w:val="36"/>
      <w:lang w:val="x-none" w:eastAsia="ar-SA"/>
    </w:rPr>
  </w:style>
  <w:style w:type="character" w:customStyle="1" w:styleId="NzovChar">
    <w:name w:val="Názov Char"/>
    <w:aliases w:val="BA Názov Char"/>
    <w:basedOn w:val="Predvolenpsmoodseku"/>
    <w:link w:val="Nzov"/>
    <w:rsid w:val="00B24E11"/>
    <w:rPr>
      <w:rFonts w:ascii="Arial" w:eastAsia="Times New Roman" w:hAnsi="Arial" w:cs="Times New Roman"/>
      <w:b/>
      <w:sz w:val="28"/>
      <w:szCs w:val="36"/>
      <w:lang w:val="x-none" w:eastAsia="ar-SA"/>
    </w:rPr>
  </w:style>
  <w:style w:type="paragraph" w:styleId="Podtitul">
    <w:name w:val="Subtitle"/>
    <w:basedOn w:val="Normlny"/>
    <w:next w:val="Zkladntext"/>
    <w:link w:val="PodtitulChar"/>
    <w:uiPriority w:val="99"/>
    <w:qFormat/>
    <w:rsid w:val="00B24E11"/>
    <w:pPr>
      <w:suppressAutoHyphens/>
      <w:spacing w:line="288" w:lineRule="auto"/>
      <w:jc w:val="left"/>
    </w:pPr>
    <w:rPr>
      <w:rFonts w:ascii="Arial" w:eastAsia="Times New Roman" w:hAnsi="Arial" w:cs="Times New Roman"/>
      <w:b/>
      <w:sz w:val="22"/>
      <w:szCs w:val="28"/>
      <w:lang w:val="x-none" w:eastAsia="ar-SA"/>
    </w:rPr>
  </w:style>
  <w:style w:type="character" w:customStyle="1" w:styleId="PodtitulChar">
    <w:name w:val="Podtitul Char"/>
    <w:basedOn w:val="Predvolenpsmoodseku"/>
    <w:link w:val="Podtitul"/>
    <w:uiPriority w:val="99"/>
    <w:rsid w:val="00B24E11"/>
    <w:rPr>
      <w:rFonts w:ascii="Arial" w:eastAsia="Times New Roman" w:hAnsi="Arial" w:cs="Times New Roman"/>
      <w:b/>
      <w:szCs w:val="28"/>
      <w:lang w:val="x-none" w:eastAsia="ar-SA"/>
    </w:rPr>
  </w:style>
  <w:style w:type="paragraph" w:styleId="Zkladntext2">
    <w:name w:val="Body Text 2"/>
    <w:basedOn w:val="Normlny"/>
    <w:link w:val="Zkladntext2Char"/>
    <w:uiPriority w:val="99"/>
    <w:rsid w:val="00B24E11"/>
    <w:pPr>
      <w:suppressAutoHyphens/>
      <w:spacing w:line="288" w:lineRule="auto"/>
    </w:pPr>
    <w:rPr>
      <w:rFonts w:ascii="Times New Roman" w:eastAsia="Times New Roman" w:hAnsi="Times New Roman" w:cs="Times New Roman"/>
      <w:szCs w:val="24"/>
      <w:lang w:val="x-none" w:eastAsia="ar-SA"/>
    </w:rPr>
  </w:style>
  <w:style w:type="character" w:customStyle="1" w:styleId="Zkladntext2Char">
    <w:name w:val="Základný text 2 Char"/>
    <w:basedOn w:val="Predvolenpsmoodseku"/>
    <w:link w:val="Zkladntext2"/>
    <w:uiPriority w:val="99"/>
    <w:rsid w:val="00B24E11"/>
    <w:rPr>
      <w:rFonts w:ascii="Times New Roman" w:eastAsia="Times New Roman" w:hAnsi="Times New Roman" w:cs="Times New Roman"/>
      <w:sz w:val="24"/>
      <w:szCs w:val="24"/>
      <w:lang w:val="x-none" w:eastAsia="ar-SA"/>
    </w:rPr>
  </w:style>
  <w:style w:type="paragraph" w:customStyle="1" w:styleId="Textdokumentu">
    <w:name w:val="Text dokumentu"/>
    <w:basedOn w:val="Normlny"/>
    <w:uiPriority w:val="99"/>
    <w:rsid w:val="00B24E11"/>
    <w:pPr>
      <w:suppressAutoHyphens/>
      <w:spacing w:line="288" w:lineRule="auto"/>
    </w:pPr>
    <w:rPr>
      <w:rFonts w:ascii="Calibri" w:eastAsia="Times New Roman" w:hAnsi="Calibri" w:cs="Times New Roman"/>
      <w:szCs w:val="20"/>
      <w:lang w:eastAsia="ar-SA"/>
    </w:rPr>
  </w:style>
  <w:style w:type="paragraph" w:customStyle="1" w:styleId="Normlns">
    <w:name w:val="Normální (sí"/>
    <w:basedOn w:val="Normlny"/>
    <w:uiPriority w:val="99"/>
    <w:rsid w:val="00B24E11"/>
    <w:pPr>
      <w:suppressAutoHyphens/>
      <w:spacing w:before="100" w:after="100" w:line="288" w:lineRule="auto"/>
      <w:jc w:val="left"/>
    </w:pPr>
    <w:rPr>
      <w:rFonts w:ascii="Times New Roman" w:eastAsia="Times New Roman" w:hAnsi="Times New Roman" w:cs="Times New Roman"/>
      <w:szCs w:val="20"/>
      <w:lang w:eastAsia="ar-SA"/>
    </w:rPr>
  </w:style>
  <w:style w:type="paragraph" w:styleId="Popis">
    <w:name w:val="caption"/>
    <w:aliases w:val="BA Titulek"/>
    <w:basedOn w:val="Normlny"/>
    <w:next w:val="Normlny"/>
    <w:uiPriority w:val="35"/>
    <w:qFormat/>
    <w:rsid w:val="00B24E11"/>
    <w:pPr>
      <w:suppressAutoHyphens/>
      <w:spacing w:before="120" w:after="120" w:line="288" w:lineRule="auto"/>
      <w:jc w:val="center"/>
    </w:pPr>
    <w:rPr>
      <w:rFonts w:ascii="Calibri" w:eastAsia="Times New Roman" w:hAnsi="Calibri" w:cs="Times New Roman"/>
      <w:i/>
      <w:iCs/>
      <w:sz w:val="22"/>
      <w:szCs w:val="24"/>
      <w:lang w:eastAsia="ar-SA"/>
    </w:rPr>
  </w:style>
  <w:style w:type="paragraph" w:customStyle="1" w:styleId="Normlntun">
    <w:name w:val="Normální tučný"/>
    <w:basedOn w:val="Normlny"/>
    <w:uiPriority w:val="99"/>
    <w:rsid w:val="00B24E11"/>
    <w:pPr>
      <w:suppressAutoHyphens/>
      <w:spacing w:line="288" w:lineRule="auto"/>
      <w:ind w:left="-3"/>
    </w:pPr>
    <w:rPr>
      <w:rFonts w:ascii="Calibri" w:eastAsia="Times New Roman" w:hAnsi="Calibri" w:cs="Times New Roman"/>
      <w:b/>
      <w:sz w:val="22"/>
      <w:szCs w:val="24"/>
      <w:lang w:eastAsia="ar-SA"/>
    </w:rPr>
  </w:style>
  <w:style w:type="paragraph" w:styleId="Zarkazkladnhotextu3">
    <w:name w:val="Body Text Indent 3"/>
    <w:basedOn w:val="Normlny"/>
    <w:link w:val="Zarkazkladnhotextu3Char"/>
    <w:uiPriority w:val="99"/>
    <w:rsid w:val="00B24E11"/>
    <w:pPr>
      <w:suppressAutoHyphens/>
      <w:spacing w:before="120" w:after="120" w:line="288" w:lineRule="auto"/>
      <w:ind w:left="1416"/>
    </w:pPr>
    <w:rPr>
      <w:rFonts w:ascii="Arial" w:eastAsia="Times New Roman" w:hAnsi="Arial" w:cs="Times New Roman"/>
      <w:sz w:val="22"/>
      <w:szCs w:val="24"/>
      <w:lang w:val="x-none" w:eastAsia="ar-SA"/>
    </w:rPr>
  </w:style>
  <w:style w:type="character" w:customStyle="1" w:styleId="Zarkazkladnhotextu3Char">
    <w:name w:val="Zarážka základného textu 3 Char"/>
    <w:basedOn w:val="Predvolenpsmoodseku"/>
    <w:link w:val="Zarkazkladnhotextu3"/>
    <w:uiPriority w:val="99"/>
    <w:rsid w:val="00B24E11"/>
    <w:rPr>
      <w:rFonts w:ascii="Arial" w:eastAsia="Times New Roman" w:hAnsi="Arial" w:cs="Times New Roman"/>
      <w:szCs w:val="24"/>
      <w:lang w:val="x-none" w:eastAsia="ar-SA"/>
    </w:rPr>
  </w:style>
  <w:style w:type="paragraph" w:styleId="Zkladntext3">
    <w:name w:val="Body Text 3"/>
    <w:basedOn w:val="Normlny"/>
    <w:link w:val="Zkladntext3Char"/>
    <w:uiPriority w:val="99"/>
    <w:rsid w:val="00B24E11"/>
    <w:pPr>
      <w:suppressAutoHyphens/>
      <w:spacing w:before="120" w:after="120" w:line="288" w:lineRule="auto"/>
    </w:pPr>
    <w:rPr>
      <w:rFonts w:ascii="Arial" w:eastAsia="Times New Roman" w:hAnsi="Arial" w:cs="Times New Roman"/>
      <w:b/>
      <w:bCs/>
      <w:i/>
      <w:iCs/>
      <w:sz w:val="22"/>
      <w:szCs w:val="24"/>
      <w:lang w:val="x-none" w:eastAsia="ar-SA"/>
    </w:rPr>
  </w:style>
  <w:style w:type="character" w:customStyle="1" w:styleId="Zkladntext3Char">
    <w:name w:val="Základný text 3 Char"/>
    <w:basedOn w:val="Predvolenpsmoodseku"/>
    <w:link w:val="Zkladntext3"/>
    <w:uiPriority w:val="99"/>
    <w:rsid w:val="00B24E11"/>
    <w:rPr>
      <w:rFonts w:ascii="Arial" w:eastAsia="Times New Roman" w:hAnsi="Arial" w:cs="Times New Roman"/>
      <w:b/>
      <w:bCs/>
      <w:i/>
      <w:iCs/>
      <w:szCs w:val="24"/>
      <w:lang w:val="x-none" w:eastAsia="ar-SA"/>
    </w:rPr>
  </w:style>
  <w:style w:type="paragraph" w:customStyle="1" w:styleId="odsazeni">
    <w:name w:val="odsazeni"/>
    <w:basedOn w:val="Normlny"/>
    <w:uiPriority w:val="99"/>
    <w:rsid w:val="00B24E11"/>
    <w:pPr>
      <w:suppressAutoHyphens/>
      <w:spacing w:before="280" w:after="280" w:line="288" w:lineRule="auto"/>
      <w:ind w:left="144" w:right="144" w:firstLine="720"/>
    </w:pPr>
    <w:rPr>
      <w:rFonts w:ascii="Times New Roman" w:eastAsia="Times New Roman" w:hAnsi="Times New Roman" w:cs="Times New Roman"/>
      <w:szCs w:val="24"/>
      <w:lang w:eastAsia="ar-SA"/>
    </w:rPr>
  </w:style>
  <w:style w:type="paragraph" w:styleId="Normlnywebov">
    <w:name w:val="Normal (Web)"/>
    <w:basedOn w:val="Normlny"/>
    <w:uiPriority w:val="99"/>
    <w:rsid w:val="00B24E11"/>
    <w:pPr>
      <w:suppressAutoHyphens/>
      <w:spacing w:before="280" w:after="280" w:line="288" w:lineRule="auto"/>
      <w:jc w:val="left"/>
    </w:pPr>
    <w:rPr>
      <w:rFonts w:ascii="Times New Roman" w:eastAsia="Times New Roman" w:hAnsi="Times New Roman" w:cs="Times New Roman"/>
      <w:szCs w:val="24"/>
      <w:lang w:eastAsia="ar-SA"/>
    </w:rPr>
  </w:style>
  <w:style w:type="paragraph" w:customStyle="1" w:styleId="sezam">
    <w:name w:val="sezam"/>
    <w:basedOn w:val="Normlny"/>
    <w:uiPriority w:val="99"/>
    <w:rsid w:val="00B24E11"/>
    <w:pPr>
      <w:suppressAutoHyphens/>
      <w:spacing w:line="288" w:lineRule="auto"/>
    </w:pPr>
    <w:rPr>
      <w:rFonts w:ascii="Times New Roman" w:eastAsia="Times New Roman" w:hAnsi="Times New Roman" w:cs="Times New Roman"/>
      <w:sz w:val="22"/>
      <w:szCs w:val="20"/>
      <w:lang w:eastAsia="ar-SA"/>
    </w:rPr>
  </w:style>
  <w:style w:type="paragraph" w:styleId="Zoznamsodrkami">
    <w:name w:val="List Bullet"/>
    <w:basedOn w:val="Normlny"/>
    <w:uiPriority w:val="99"/>
    <w:rsid w:val="00B24E11"/>
    <w:pPr>
      <w:tabs>
        <w:tab w:val="left" w:pos="540"/>
      </w:tabs>
      <w:suppressAutoHyphens/>
      <w:spacing w:after="120" w:line="288" w:lineRule="auto"/>
      <w:ind w:left="-360"/>
    </w:pPr>
    <w:rPr>
      <w:rFonts w:ascii="Times New Roman" w:eastAsia="Times New Roman" w:hAnsi="Times New Roman" w:cs="Times New Roman"/>
      <w:sz w:val="22"/>
      <w:szCs w:val="20"/>
      <w:lang w:eastAsia="ar-SA"/>
    </w:rPr>
  </w:style>
  <w:style w:type="paragraph" w:customStyle="1" w:styleId="nadpis0">
    <w:name w:val="nadpis"/>
    <w:basedOn w:val="Normlny"/>
    <w:uiPriority w:val="99"/>
    <w:rsid w:val="00B24E11"/>
    <w:pPr>
      <w:suppressAutoHyphens/>
      <w:spacing w:before="280" w:after="280" w:line="288" w:lineRule="auto"/>
      <w:jc w:val="center"/>
    </w:pPr>
    <w:rPr>
      <w:rFonts w:ascii="Arial Unicode MS" w:eastAsia="Arial Unicode MS" w:hAnsi="Arial Unicode MS" w:cs="Arial Unicode MS"/>
      <w:b/>
      <w:bCs/>
      <w:color w:val="000000"/>
      <w:sz w:val="48"/>
      <w:szCs w:val="48"/>
      <w:lang w:eastAsia="ar-SA"/>
    </w:rPr>
  </w:style>
  <w:style w:type="paragraph" w:customStyle="1" w:styleId="t">
    <w:name w:val="t"/>
    <w:basedOn w:val="Normlny"/>
    <w:uiPriority w:val="99"/>
    <w:rsid w:val="00B24E11"/>
    <w:pPr>
      <w:suppressAutoHyphens/>
      <w:spacing w:before="280" w:after="280" w:line="288" w:lineRule="auto"/>
      <w:jc w:val="left"/>
    </w:pPr>
    <w:rPr>
      <w:rFonts w:ascii="Tahoma" w:eastAsia="Times New Roman" w:hAnsi="Tahoma" w:cs="Tahoma"/>
      <w:sz w:val="20"/>
      <w:szCs w:val="20"/>
      <w:lang w:eastAsia="ar-SA"/>
    </w:rPr>
  </w:style>
  <w:style w:type="paragraph" w:customStyle="1" w:styleId="Zkladntext21">
    <w:name w:val="Základný text 21"/>
    <w:basedOn w:val="Normlny"/>
    <w:rsid w:val="00B24E11"/>
    <w:pPr>
      <w:widowControl w:val="0"/>
      <w:suppressAutoHyphens/>
      <w:spacing w:line="288" w:lineRule="auto"/>
    </w:pPr>
    <w:rPr>
      <w:rFonts w:ascii="Calibri" w:eastAsia="Times New Roman" w:hAnsi="Calibri" w:cs="Times New Roman"/>
      <w:sz w:val="22"/>
      <w:szCs w:val="20"/>
      <w:lang w:eastAsia="ar-SA"/>
    </w:rPr>
  </w:style>
  <w:style w:type="paragraph" w:customStyle="1" w:styleId="Pismo">
    <w:name w:val="Pismo"/>
    <w:basedOn w:val="Zarkazkladnhotextu3"/>
    <w:uiPriority w:val="99"/>
    <w:rsid w:val="00B24E11"/>
    <w:pPr>
      <w:spacing w:before="0" w:after="0"/>
      <w:ind w:left="0" w:firstLine="709"/>
    </w:pPr>
    <w:rPr>
      <w:rFonts w:cs="Arial"/>
      <w:color w:val="FF0000"/>
      <w:szCs w:val="20"/>
    </w:rPr>
  </w:style>
  <w:style w:type="paragraph" w:customStyle="1" w:styleId="xl25">
    <w:name w:val="xl25"/>
    <w:basedOn w:val="Normlny"/>
    <w:uiPriority w:val="99"/>
    <w:rsid w:val="00B24E11"/>
    <w:pPr>
      <w:pBdr>
        <w:top w:val="single" w:sz="8" w:space="0" w:color="000000"/>
        <w:bottom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26">
    <w:name w:val="xl26"/>
    <w:basedOn w:val="Normlny"/>
    <w:uiPriority w:val="99"/>
    <w:rsid w:val="00B24E11"/>
    <w:pPr>
      <w:pBdr>
        <w:top w:val="single" w:sz="8" w:space="0" w:color="000000"/>
        <w:left w:val="single" w:sz="4" w:space="0" w:color="000000"/>
        <w:bottom w:val="single" w:sz="4" w:space="0" w:color="000000"/>
        <w:right w:val="single" w:sz="8"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27">
    <w:name w:val="xl27"/>
    <w:basedOn w:val="Normlny"/>
    <w:uiPriority w:val="99"/>
    <w:rsid w:val="00B24E11"/>
    <w:pPr>
      <w:pBdr>
        <w:top w:val="single" w:sz="8" w:space="0" w:color="000000"/>
        <w:left w:val="single" w:sz="4" w:space="0" w:color="000000"/>
        <w:bottom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28">
    <w:name w:val="xl28"/>
    <w:basedOn w:val="Normlny"/>
    <w:uiPriority w:val="99"/>
    <w:rsid w:val="00B24E11"/>
    <w:pPr>
      <w:pBdr>
        <w:top w:val="single" w:sz="4" w:space="0" w:color="000000"/>
        <w:left w:val="single" w:sz="8" w:space="0" w:color="000000"/>
        <w:bottom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29">
    <w:name w:val="xl29"/>
    <w:basedOn w:val="Normlny"/>
    <w:uiPriority w:val="99"/>
    <w:rsid w:val="00B24E11"/>
    <w:pPr>
      <w:pBdr>
        <w:top w:val="single" w:sz="4" w:space="0" w:color="000000"/>
        <w:left w:val="single" w:sz="4" w:space="0" w:color="000000"/>
        <w:bottom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0">
    <w:name w:val="xl30"/>
    <w:basedOn w:val="Normlny"/>
    <w:uiPriority w:val="99"/>
    <w:rsid w:val="00B24E11"/>
    <w:pPr>
      <w:pBdr>
        <w:top w:val="single" w:sz="4" w:space="0" w:color="000000"/>
        <w:left w:val="single" w:sz="4" w:space="0" w:color="000000"/>
        <w:bottom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1">
    <w:name w:val="xl31"/>
    <w:basedOn w:val="Normlny"/>
    <w:uiPriority w:val="99"/>
    <w:rsid w:val="00B24E11"/>
    <w:pPr>
      <w:pBdr>
        <w:top w:val="single" w:sz="4" w:space="0" w:color="000000"/>
        <w:bottom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2">
    <w:name w:val="xl32"/>
    <w:basedOn w:val="Normlny"/>
    <w:uiPriority w:val="99"/>
    <w:rsid w:val="00B24E11"/>
    <w:pPr>
      <w:pBdr>
        <w:top w:val="single" w:sz="4" w:space="0" w:color="000000"/>
        <w:left w:val="single" w:sz="4" w:space="0" w:color="000000"/>
        <w:bottom w:val="single" w:sz="4" w:space="0" w:color="000000"/>
        <w:right w:val="single" w:sz="8"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3">
    <w:name w:val="xl33"/>
    <w:basedOn w:val="Normlny"/>
    <w:uiPriority w:val="99"/>
    <w:rsid w:val="00B24E11"/>
    <w:pPr>
      <w:pBdr>
        <w:top w:val="single" w:sz="4" w:space="0" w:color="000000"/>
        <w:left w:val="single" w:sz="4" w:space="0" w:color="000000"/>
        <w:bottom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4">
    <w:name w:val="xl34"/>
    <w:basedOn w:val="Normlny"/>
    <w:uiPriority w:val="99"/>
    <w:rsid w:val="00B24E11"/>
    <w:pPr>
      <w:pBdr>
        <w:top w:val="single" w:sz="4" w:space="0" w:color="000000"/>
        <w:left w:val="single" w:sz="8" w:space="0" w:color="000000"/>
        <w:bottom w:val="single" w:sz="8"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5">
    <w:name w:val="xl35"/>
    <w:basedOn w:val="Normlny"/>
    <w:uiPriority w:val="99"/>
    <w:rsid w:val="00B24E11"/>
    <w:pPr>
      <w:pBdr>
        <w:top w:val="single" w:sz="4" w:space="0" w:color="000000"/>
        <w:left w:val="single" w:sz="4" w:space="0" w:color="000000"/>
        <w:bottom w:val="single" w:sz="8"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6">
    <w:name w:val="xl36"/>
    <w:basedOn w:val="Normlny"/>
    <w:uiPriority w:val="99"/>
    <w:rsid w:val="00B24E11"/>
    <w:pPr>
      <w:pBdr>
        <w:top w:val="single" w:sz="4" w:space="0" w:color="000000"/>
        <w:left w:val="single" w:sz="4" w:space="0" w:color="000000"/>
        <w:bottom w:val="single" w:sz="8"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37">
    <w:name w:val="xl37"/>
    <w:basedOn w:val="Normlny"/>
    <w:uiPriority w:val="99"/>
    <w:rsid w:val="00B24E11"/>
    <w:pPr>
      <w:pBdr>
        <w:top w:val="single" w:sz="4" w:space="0" w:color="000000"/>
        <w:left w:val="single" w:sz="8" w:space="0" w:color="000000"/>
        <w:righ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38">
    <w:name w:val="xl38"/>
    <w:basedOn w:val="Normlny"/>
    <w:uiPriority w:val="99"/>
    <w:rsid w:val="00B24E11"/>
    <w:pPr>
      <w:pBdr>
        <w:top w:val="single" w:sz="4" w:space="0" w:color="000000"/>
        <w:left w:val="single" w:sz="4" w:space="0" w:color="000000"/>
        <w:right w:val="single" w:sz="8"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39">
    <w:name w:val="xl39"/>
    <w:basedOn w:val="Normlny"/>
    <w:uiPriority w:val="99"/>
    <w:rsid w:val="00B24E11"/>
    <w:pPr>
      <w:pBdr>
        <w:top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40">
    <w:name w:val="xl40"/>
    <w:basedOn w:val="Normlny"/>
    <w:uiPriority w:val="99"/>
    <w:rsid w:val="00B24E11"/>
    <w:pPr>
      <w:pBdr>
        <w:top w:val="single" w:sz="4" w:space="0" w:color="000000"/>
        <w:left w:val="single" w:sz="4" w:space="0" w:color="000000"/>
        <w:right w:val="single" w:sz="8"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41">
    <w:name w:val="xl41"/>
    <w:basedOn w:val="Normlny"/>
    <w:uiPriority w:val="99"/>
    <w:rsid w:val="00B24E11"/>
    <w:pPr>
      <w:pBdr>
        <w:top w:val="single" w:sz="4" w:space="0" w:color="000000"/>
        <w:left w:val="single" w:sz="8"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42">
    <w:name w:val="xl42"/>
    <w:basedOn w:val="Normlny"/>
    <w:uiPriority w:val="99"/>
    <w:rsid w:val="00B24E11"/>
    <w:pPr>
      <w:pBdr>
        <w:top w:val="single" w:sz="4" w:space="0" w:color="000000"/>
        <w:left w:val="single" w:sz="4"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43">
    <w:name w:val="xl43"/>
    <w:basedOn w:val="Normlny"/>
    <w:uiPriority w:val="99"/>
    <w:rsid w:val="00B24E11"/>
    <w:pPr>
      <w:pBdr>
        <w:top w:val="single" w:sz="8" w:space="0" w:color="000000"/>
        <w:left w:val="single" w:sz="8" w:space="0" w:color="000000"/>
      </w:pBdr>
      <w:shd w:val="clear" w:color="auto" w:fill="C0C0C0"/>
      <w:suppressAutoHyphens/>
      <w:spacing w:before="280" w:after="280"/>
      <w:jc w:val="center"/>
    </w:pPr>
    <w:rPr>
      <w:rFonts w:ascii="Arial" w:eastAsia="Arial Unicode MS" w:hAnsi="Arial" w:cs="Arial"/>
      <w:b/>
      <w:bCs/>
      <w:szCs w:val="24"/>
      <w:lang w:eastAsia="ar-SA"/>
    </w:rPr>
  </w:style>
  <w:style w:type="paragraph" w:customStyle="1" w:styleId="xl44">
    <w:name w:val="xl44"/>
    <w:basedOn w:val="Normlny"/>
    <w:uiPriority w:val="99"/>
    <w:rsid w:val="00B24E11"/>
    <w:pPr>
      <w:pBdr>
        <w:top w:val="single" w:sz="8" w:space="0" w:color="000000"/>
      </w:pBdr>
      <w:shd w:val="clear" w:color="auto" w:fill="C0C0C0"/>
      <w:suppressAutoHyphens/>
      <w:spacing w:before="280" w:after="280"/>
      <w:jc w:val="center"/>
    </w:pPr>
    <w:rPr>
      <w:rFonts w:ascii="Arial" w:eastAsia="Arial Unicode MS" w:hAnsi="Arial" w:cs="Arial"/>
      <w:b/>
      <w:bCs/>
      <w:szCs w:val="24"/>
      <w:lang w:eastAsia="ar-SA"/>
    </w:rPr>
  </w:style>
  <w:style w:type="paragraph" w:customStyle="1" w:styleId="xl45">
    <w:name w:val="xl45"/>
    <w:basedOn w:val="Normlny"/>
    <w:uiPriority w:val="99"/>
    <w:rsid w:val="00B24E11"/>
    <w:pPr>
      <w:pBdr>
        <w:top w:val="single" w:sz="8" w:space="0" w:color="000000"/>
        <w:left w:val="single" w:sz="8" w:space="0" w:color="000000"/>
        <w:right w:val="single" w:sz="4" w:space="0" w:color="000000"/>
      </w:pBdr>
      <w:shd w:val="clear" w:color="auto" w:fill="C0C0C0"/>
      <w:suppressAutoHyphens/>
      <w:spacing w:before="280" w:after="280"/>
      <w:jc w:val="center"/>
    </w:pPr>
    <w:rPr>
      <w:rFonts w:ascii="Arial" w:eastAsia="Arial Unicode MS" w:hAnsi="Arial" w:cs="Arial"/>
      <w:b/>
      <w:bCs/>
      <w:szCs w:val="24"/>
      <w:lang w:eastAsia="ar-SA"/>
    </w:rPr>
  </w:style>
  <w:style w:type="paragraph" w:customStyle="1" w:styleId="xl46">
    <w:name w:val="xl46"/>
    <w:basedOn w:val="Normlny"/>
    <w:uiPriority w:val="99"/>
    <w:rsid w:val="00B24E11"/>
    <w:pPr>
      <w:pBdr>
        <w:top w:val="single" w:sz="8" w:space="0" w:color="000000"/>
        <w:left w:val="single" w:sz="4" w:space="0" w:color="000000"/>
        <w:right w:val="single" w:sz="4" w:space="0" w:color="000000"/>
      </w:pBdr>
      <w:shd w:val="clear" w:color="auto" w:fill="C0C0C0"/>
      <w:suppressAutoHyphens/>
      <w:spacing w:before="280" w:after="280"/>
      <w:jc w:val="center"/>
    </w:pPr>
    <w:rPr>
      <w:rFonts w:ascii="Arial" w:eastAsia="Arial Unicode MS" w:hAnsi="Arial" w:cs="Arial"/>
      <w:b/>
      <w:bCs/>
      <w:szCs w:val="24"/>
      <w:lang w:eastAsia="ar-SA"/>
    </w:rPr>
  </w:style>
  <w:style w:type="paragraph" w:customStyle="1" w:styleId="xl47">
    <w:name w:val="xl47"/>
    <w:basedOn w:val="Normlny"/>
    <w:uiPriority w:val="99"/>
    <w:rsid w:val="00B24E11"/>
    <w:pPr>
      <w:pBdr>
        <w:top w:val="single" w:sz="8" w:space="0" w:color="000000"/>
        <w:left w:val="single" w:sz="4" w:space="0" w:color="000000"/>
        <w:right w:val="single" w:sz="8" w:space="0" w:color="000000"/>
      </w:pBdr>
      <w:shd w:val="clear" w:color="auto" w:fill="C0C0C0"/>
      <w:suppressAutoHyphens/>
      <w:spacing w:before="280" w:after="280"/>
      <w:jc w:val="center"/>
    </w:pPr>
    <w:rPr>
      <w:rFonts w:ascii="Arial" w:eastAsia="Arial Unicode MS" w:hAnsi="Arial" w:cs="Arial"/>
      <w:b/>
      <w:bCs/>
      <w:szCs w:val="24"/>
      <w:lang w:eastAsia="ar-SA"/>
    </w:rPr>
  </w:style>
  <w:style w:type="paragraph" w:customStyle="1" w:styleId="xl48">
    <w:name w:val="xl48"/>
    <w:basedOn w:val="Normlny"/>
    <w:uiPriority w:val="99"/>
    <w:rsid w:val="00B24E11"/>
    <w:pPr>
      <w:pBdr>
        <w:left w:val="single" w:sz="8" w:space="0" w:color="000000"/>
        <w:bottom w:val="single" w:sz="4" w:space="0" w:color="000000"/>
      </w:pBdr>
      <w:shd w:val="clear" w:color="auto" w:fill="C0C0C0"/>
      <w:suppressAutoHyphens/>
      <w:spacing w:before="280" w:after="280"/>
      <w:jc w:val="center"/>
    </w:pPr>
    <w:rPr>
      <w:rFonts w:ascii="Arial" w:eastAsia="Arial Unicode MS" w:hAnsi="Arial" w:cs="Arial"/>
      <w:b/>
      <w:bCs/>
      <w:szCs w:val="24"/>
      <w:lang w:eastAsia="ar-SA"/>
    </w:rPr>
  </w:style>
  <w:style w:type="paragraph" w:customStyle="1" w:styleId="xl49">
    <w:name w:val="xl49"/>
    <w:basedOn w:val="Normlny"/>
    <w:uiPriority w:val="99"/>
    <w:rsid w:val="00B24E11"/>
    <w:pPr>
      <w:pBdr>
        <w:bottom w:val="single" w:sz="4" w:space="0" w:color="000000"/>
      </w:pBdr>
      <w:shd w:val="clear" w:color="auto" w:fill="C0C0C0"/>
      <w:suppressAutoHyphens/>
      <w:spacing w:before="280" w:after="280"/>
      <w:jc w:val="center"/>
    </w:pPr>
    <w:rPr>
      <w:rFonts w:ascii="Arial" w:eastAsia="Arial Unicode MS" w:hAnsi="Arial" w:cs="Arial"/>
      <w:b/>
      <w:bCs/>
      <w:szCs w:val="24"/>
      <w:lang w:eastAsia="ar-SA"/>
    </w:rPr>
  </w:style>
  <w:style w:type="paragraph" w:customStyle="1" w:styleId="xl50">
    <w:name w:val="xl50"/>
    <w:basedOn w:val="Normlny"/>
    <w:uiPriority w:val="99"/>
    <w:rsid w:val="00B24E11"/>
    <w:pPr>
      <w:pBdr>
        <w:top w:val="single" w:sz="8" w:space="0" w:color="000000"/>
        <w:left w:val="single" w:sz="8" w:space="0" w:color="000000"/>
        <w:righ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1">
    <w:name w:val="xl51"/>
    <w:basedOn w:val="Normlny"/>
    <w:uiPriority w:val="99"/>
    <w:rsid w:val="00B24E11"/>
    <w:pPr>
      <w:pBdr>
        <w:top w:val="single" w:sz="8" w:space="0" w:color="000000"/>
        <w:left w:val="single" w:sz="4" w:space="0" w:color="000000"/>
        <w:righ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2">
    <w:name w:val="xl52"/>
    <w:basedOn w:val="Normlny"/>
    <w:uiPriority w:val="99"/>
    <w:rsid w:val="00B24E11"/>
    <w:pPr>
      <w:pBdr>
        <w:top w:val="single" w:sz="8" w:space="0" w:color="000000"/>
        <w:left w:val="single" w:sz="4" w:space="0" w:color="000000"/>
        <w:bottom w:val="single" w:sz="4" w:space="0" w:color="000000"/>
        <w:righ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3">
    <w:name w:val="xl53"/>
    <w:basedOn w:val="Normlny"/>
    <w:uiPriority w:val="99"/>
    <w:rsid w:val="00B24E11"/>
    <w:pPr>
      <w:pBdr>
        <w:top w:val="single" w:sz="8" w:space="0" w:color="000000"/>
        <w:left w:val="single" w:sz="4" w:space="0" w:color="000000"/>
        <w:bottom w:val="single" w:sz="4" w:space="0" w:color="000000"/>
        <w:right w:val="single" w:sz="8"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4">
    <w:name w:val="xl54"/>
    <w:basedOn w:val="Normlny"/>
    <w:uiPriority w:val="99"/>
    <w:rsid w:val="00B24E11"/>
    <w:pPr>
      <w:pBdr>
        <w:top w:val="single" w:sz="8" w:space="0" w:color="000000"/>
        <w:left w:val="single" w:sz="8" w:space="0" w:color="000000"/>
        <w:bottom w:val="single" w:sz="4" w:space="0" w:color="000000"/>
        <w:righ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5">
    <w:name w:val="xl55"/>
    <w:basedOn w:val="Normlny"/>
    <w:uiPriority w:val="99"/>
    <w:rsid w:val="00B24E11"/>
    <w:pPr>
      <w:pBdr>
        <w:top w:val="single" w:sz="4" w:space="0" w:color="000000"/>
        <w:left w:val="single" w:sz="4" w:space="0" w:color="000000"/>
        <w:righ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6">
    <w:name w:val="xl56"/>
    <w:basedOn w:val="Normlny"/>
    <w:uiPriority w:val="99"/>
    <w:rsid w:val="00B24E11"/>
    <w:pPr>
      <w:pBdr>
        <w:top w:val="single" w:sz="4" w:space="0" w:color="000000"/>
        <w:lef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7">
    <w:name w:val="xl57"/>
    <w:basedOn w:val="Normlny"/>
    <w:uiPriority w:val="99"/>
    <w:rsid w:val="00B24E11"/>
    <w:pPr>
      <w:pBdr>
        <w:top w:val="single" w:sz="4" w:space="0" w:color="000000"/>
        <w:bottom w:val="single" w:sz="4" w:space="0" w:color="000000"/>
        <w:right w:val="single" w:sz="4"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xl58">
    <w:name w:val="xl58"/>
    <w:basedOn w:val="Normlny"/>
    <w:uiPriority w:val="99"/>
    <w:rsid w:val="00B24E11"/>
    <w:pPr>
      <w:pBdr>
        <w:top w:val="single" w:sz="4" w:space="0" w:color="000000"/>
        <w:left w:val="single" w:sz="4" w:space="0" w:color="000000"/>
        <w:bottom w:val="single" w:sz="4" w:space="0" w:color="000000"/>
        <w:right w:val="single" w:sz="8" w:space="0" w:color="000000"/>
      </w:pBdr>
      <w:shd w:val="clear" w:color="auto" w:fill="C0C0C0"/>
      <w:suppressAutoHyphens/>
      <w:spacing w:before="280" w:after="280"/>
      <w:jc w:val="center"/>
    </w:pPr>
    <w:rPr>
      <w:rFonts w:ascii="Arial Unicode MS" w:eastAsia="Arial Unicode MS" w:hAnsi="Arial Unicode MS" w:cs="Arial Unicode MS"/>
      <w:szCs w:val="24"/>
      <w:lang w:eastAsia="ar-SA"/>
    </w:rPr>
  </w:style>
  <w:style w:type="paragraph" w:customStyle="1" w:styleId="font5">
    <w:name w:val="font5"/>
    <w:basedOn w:val="Normlny"/>
    <w:uiPriority w:val="99"/>
    <w:rsid w:val="00B24E11"/>
    <w:pPr>
      <w:suppressAutoHyphens/>
      <w:spacing w:before="280" w:after="280"/>
      <w:jc w:val="left"/>
    </w:pPr>
    <w:rPr>
      <w:rFonts w:ascii="Tahoma" w:eastAsia="Arial Unicode MS" w:hAnsi="Tahoma" w:cs="Tahoma"/>
      <w:b/>
      <w:bCs/>
      <w:color w:val="000000"/>
      <w:sz w:val="16"/>
      <w:szCs w:val="16"/>
      <w:lang w:eastAsia="ar-SA"/>
    </w:rPr>
  </w:style>
  <w:style w:type="paragraph" w:customStyle="1" w:styleId="font6">
    <w:name w:val="font6"/>
    <w:basedOn w:val="Normlny"/>
    <w:uiPriority w:val="99"/>
    <w:rsid w:val="00B24E11"/>
    <w:pPr>
      <w:suppressAutoHyphens/>
      <w:spacing w:before="280" w:after="280"/>
      <w:jc w:val="left"/>
    </w:pPr>
    <w:rPr>
      <w:rFonts w:ascii="Tahoma" w:eastAsia="Arial Unicode MS" w:hAnsi="Tahoma" w:cs="Tahoma"/>
      <w:color w:val="000000"/>
      <w:sz w:val="16"/>
      <w:szCs w:val="16"/>
      <w:lang w:eastAsia="ar-SA"/>
    </w:rPr>
  </w:style>
  <w:style w:type="paragraph" w:customStyle="1" w:styleId="xl59">
    <w:name w:val="xl59"/>
    <w:basedOn w:val="Normlny"/>
    <w:uiPriority w:val="99"/>
    <w:rsid w:val="00B24E11"/>
    <w:pPr>
      <w:pBdr>
        <w:left w:val="single" w:sz="4" w:space="0" w:color="000000"/>
        <w:bottom w:val="single" w:sz="4" w:space="0" w:color="000000"/>
      </w:pBdr>
      <w:suppressAutoHyphens/>
      <w:spacing w:before="280" w:after="280"/>
      <w:jc w:val="center"/>
    </w:pPr>
    <w:rPr>
      <w:rFonts w:ascii="Arial" w:eastAsia="Arial Unicode MS" w:hAnsi="Arial" w:cs="Arial"/>
      <w:i/>
      <w:iCs/>
      <w:color w:val="0000FF"/>
      <w:szCs w:val="24"/>
      <w:lang w:eastAsia="ar-SA"/>
    </w:rPr>
  </w:style>
  <w:style w:type="paragraph" w:customStyle="1" w:styleId="xl60">
    <w:name w:val="xl60"/>
    <w:basedOn w:val="Normlny"/>
    <w:uiPriority w:val="99"/>
    <w:rsid w:val="00B24E11"/>
    <w:pPr>
      <w:pBdr>
        <w:left w:val="single" w:sz="8" w:space="0" w:color="000000"/>
        <w:bottom w:val="single" w:sz="4" w:space="0" w:color="000000"/>
        <w:right w:val="single" w:sz="4"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61">
    <w:name w:val="xl61"/>
    <w:basedOn w:val="Normlny"/>
    <w:uiPriority w:val="99"/>
    <w:rsid w:val="00B24E11"/>
    <w:pPr>
      <w:pBdr>
        <w:left w:val="single" w:sz="4" w:space="0" w:color="000000"/>
        <w:bottom w:val="single" w:sz="4" w:space="0" w:color="000000"/>
        <w:right w:val="single" w:sz="4"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62">
    <w:name w:val="xl62"/>
    <w:basedOn w:val="Normlny"/>
    <w:uiPriority w:val="99"/>
    <w:rsid w:val="00B24E11"/>
    <w:pPr>
      <w:pBdr>
        <w:top w:val="single" w:sz="8" w:space="0" w:color="000000"/>
        <w:left w:val="single" w:sz="8" w:space="0" w:color="000000"/>
        <w:bottom w:val="single" w:sz="4" w:space="0" w:color="000000"/>
        <w:right w:val="single" w:sz="8"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63">
    <w:name w:val="xl63"/>
    <w:basedOn w:val="Normlny"/>
    <w:uiPriority w:val="99"/>
    <w:rsid w:val="00B24E11"/>
    <w:pPr>
      <w:pBdr>
        <w:top w:val="single" w:sz="4" w:space="0" w:color="000000"/>
        <w:left w:val="single" w:sz="8" w:space="0" w:color="000000"/>
        <w:bottom w:val="single" w:sz="4" w:space="0" w:color="000000"/>
        <w:right w:val="single" w:sz="4" w:space="0" w:color="000000"/>
      </w:pBdr>
      <w:suppressAutoHyphens/>
      <w:spacing w:before="280" w:after="280"/>
      <w:jc w:val="center"/>
    </w:pPr>
    <w:rPr>
      <w:rFonts w:ascii="Arial" w:eastAsia="Arial Unicode MS" w:hAnsi="Arial" w:cs="Arial"/>
      <w:i/>
      <w:iCs/>
      <w:szCs w:val="24"/>
      <w:lang w:eastAsia="ar-SA"/>
    </w:rPr>
  </w:style>
  <w:style w:type="paragraph" w:customStyle="1" w:styleId="xl64">
    <w:name w:val="xl64"/>
    <w:basedOn w:val="Normlny"/>
    <w:uiPriority w:val="99"/>
    <w:rsid w:val="00B24E11"/>
    <w:pPr>
      <w:pBdr>
        <w:top w:val="single" w:sz="4" w:space="0" w:color="000000"/>
        <w:left w:val="single" w:sz="4" w:space="0" w:color="000000"/>
        <w:bottom w:val="single" w:sz="4" w:space="0" w:color="000000"/>
        <w:right w:val="single" w:sz="8" w:space="0" w:color="000000"/>
      </w:pBdr>
      <w:suppressAutoHyphens/>
      <w:spacing w:before="280" w:after="280"/>
      <w:jc w:val="center"/>
    </w:pPr>
    <w:rPr>
      <w:rFonts w:ascii="Arial" w:eastAsia="Arial Unicode MS" w:hAnsi="Arial" w:cs="Arial"/>
      <w:i/>
      <w:iCs/>
      <w:szCs w:val="24"/>
      <w:lang w:eastAsia="ar-SA"/>
    </w:rPr>
  </w:style>
  <w:style w:type="paragraph" w:customStyle="1" w:styleId="xl65">
    <w:name w:val="xl65"/>
    <w:basedOn w:val="Normlny"/>
    <w:uiPriority w:val="99"/>
    <w:rsid w:val="00B24E11"/>
    <w:pPr>
      <w:pBdr>
        <w:top w:val="single" w:sz="4" w:space="0" w:color="000000"/>
        <w:bottom w:val="single" w:sz="4" w:space="0" w:color="000000"/>
        <w:right w:val="single" w:sz="4" w:space="0" w:color="000000"/>
      </w:pBdr>
      <w:suppressAutoHyphens/>
      <w:spacing w:before="280" w:after="280"/>
      <w:jc w:val="center"/>
    </w:pPr>
    <w:rPr>
      <w:rFonts w:ascii="Arial" w:eastAsia="Arial Unicode MS" w:hAnsi="Arial" w:cs="Arial"/>
      <w:i/>
      <w:iCs/>
      <w:szCs w:val="24"/>
      <w:lang w:eastAsia="ar-SA"/>
    </w:rPr>
  </w:style>
  <w:style w:type="paragraph" w:customStyle="1" w:styleId="xl66">
    <w:name w:val="xl66"/>
    <w:basedOn w:val="Normlny"/>
    <w:uiPriority w:val="99"/>
    <w:rsid w:val="00B24E11"/>
    <w:pPr>
      <w:pBdr>
        <w:top w:val="single" w:sz="4" w:space="0" w:color="000000"/>
        <w:left w:val="single" w:sz="4" w:space="0" w:color="000000"/>
        <w:bottom w:val="single" w:sz="4" w:space="0" w:color="000000"/>
        <w:right w:val="single" w:sz="4" w:space="0" w:color="000000"/>
      </w:pBdr>
      <w:suppressAutoHyphens/>
      <w:spacing w:before="280" w:after="280"/>
      <w:jc w:val="center"/>
    </w:pPr>
    <w:rPr>
      <w:rFonts w:ascii="Arial" w:eastAsia="Arial Unicode MS" w:hAnsi="Arial" w:cs="Arial"/>
      <w:i/>
      <w:iCs/>
      <w:color w:val="0000FF"/>
      <w:szCs w:val="24"/>
      <w:lang w:eastAsia="ar-SA"/>
    </w:rPr>
  </w:style>
  <w:style w:type="paragraph" w:customStyle="1" w:styleId="xl67">
    <w:name w:val="xl67"/>
    <w:basedOn w:val="Normlny"/>
    <w:uiPriority w:val="99"/>
    <w:rsid w:val="00B24E11"/>
    <w:pPr>
      <w:pBdr>
        <w:top w:val="single" w:sz="4" w:space="0" w:color="000000"/>
        <w:left w:val="single" w:sz="4" w:space="0" w:color="000000"/>
        <w:bottom w:val="single" w:sz="4" w:space="0" w:color="000000"/>
        <w:right w:val="single" w:sz="4" w:space="0" w:color="000000"/>
      </w:pBdr>
      <w:suppressAutoHyphens/>
      <w:spacing w:before="280" w:after="280"/>
      <w:jc w:val="center"/>
    </w:pPr>
    <w:rPr>
      <w:rFonts w:ascii="Arial" w:eastAsia="Arial Unicode MS" w:hAnsi="Arial" w:cs="Arial"/>
      <w:i/>
      <w:iCs/>
      <w:szCs w:val="24"/>
      <w:lang w:eastAsia="ar-SA"/>
    </w:rPr>
  </w:style>
  <w:style w:type="paragraph" w:customStyle="1" w:styleId="xl68">
    <w:name w:val="xl68"/>
    <w:basedOn w:val="Normlny"/>
    <w:uiPriority w:val="99"/>
    <w:rsid w:val="00B24E11"/>
    <w:pPr>
      <w:pBdr>
        <w:top w:val="single" w:sz="4" w:space="0" w:color="000000"/>
        <w:left w:val="single" w:sz="4" w:space="0" w:color="000000"/>
        <w:bottom w:val="single" w:sz="4" w:space="0" w:color="000000"/>
      </w:pBdr>
      <w:suppressAutoHyphens/>
      <w:spacing w:before="280" w:after="280"/>
      <w:jc w:val="center"/>
    </w:pPr>
    <w:rPr>
      <w:rFonts w:ascii="Arial" w:eastAsia="Arial Unicode MS" w:hAnsi="Arial" w:cs="Arial"/>
      <w:i/>
      <w:iCs/>
      <w:color w:val="0000FF"/>
      <w:szCs w:val="24"/>
      <w:lang w:eastAsia="ar-SA"/>
    </w:rPr>
  </w:style>
  <w:style w:type="paragraph" w:customStyle="1" w:styleId="xl69">
    <w:name w:val="xl69"/>
    <w:basedOn w:val="Normlny"/>
    <w:uiPriority w:val="99"/>
    <w:rsid w:val="00B24E11"/>
    <w:pPr>
      <w:pBdr>
        <w:top w:val="single" w:sz="4" w:space="0" w:color="000000"/>
        <w:left w:val="single" w:sz="8" w:space="0" w:color="000000"/>
        <w:bottom w:val="single" w:sz="4" w:space="0" w:color="000000"/>
        <w:right w:val="single" w:sz="4"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70">
    <w:name w:val="xl70"/>
    <w:basedOn w:val="Normlny"/>
    <w:uiPriority w:val="99"/>
    <w:rsid w:val="00B24E11"/>
    <w:pPr>
      <w:pBdr>
        <w:top w:val="single" w:sz="4" w:space="0" w:color="000000"/>
        <w:left w:val="single" w:sz="8" w:space="0" w:color="000000"/>
        <w:bottom w:val="single" w:sz="4" w:space="0" w:color="000000"/>
        <w:right w:val="single" w:sz="8"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71">
    <w:name w:val="xl71"/>
    <w:basedOn w:val="Normlny"/>
    <w:uiPriority w:val="99"/>
    <w:rsid w:val="00B24E11"/>
    <w:pPr>
      <w:pBdr>
        <w:top w:val="single" w:sz="4" w:space="0" w:color="000000"/>
        <w:left w:val="single" w:sz="8" w:space="0" w:color="000000"/>
        <w:bottom w:val="single" w:sz="8" w:space="0" w:color="000000"/>
        <w:right w:val="single" w:sz="4" w:space="0" w:color="000000"/>
      </w:pBdr>
      <w:suppressAutoHyphens/>
      <w:spacing w:before="280" w:after="280"/>
      <w:jc w:val="center"/>
    </w:pPr>
    <w:rPr>
      <w:rFonts w:ascii="Arial" w:eastAsia="Arial Unicode MS" w:hAnsi="Arial" w:cs="Arial"/>
      <w:b/>
      <w:bCs/>
      <w:i/>
      <w:iCs/>
      <w:szCs w:val="24"/>
      <w:lang w:eastAsia="ar-SA"/>
    </w:rPr>
  </w:style>
  <w:style w:type="paragraph" w:customStyle="1" w:styleId="xl72">
    <w:name w:val="xl72"/>
    <w:basedOn w:val="Normlny"/>
    <w:uiPriority w:val="99"/>
    <w:rsid w:val="00B24E11"/>
    <w:pPr>
      <w:pBdr>
        <w:top w:val="single" w:sz="4" w:space="0" w:color="000000"/>
        <w:left w:val="single" w:sz="4" w:space="0" w:color="000000"/>
        <w:bottom w:val="single" w:sz="8" w:space="0" w:color="000000"/>
        <w:right w:val="single" w:sz="8" w:space="0" w:color="000000"/>
      </w:pBdr>
      <w:suppressAutoHyphens/>
      <w:spacing w:before="280" w:after="280"/>
      <w:jc w:val="center"/>
    </w:pPr>
    <w:rPr>
      <w:rFonts w:ascii="Arial" w:eastAsia="Arial Unicode MS" w:hAnsi="Arial" w:cs="Arial"/>
      <w:i/>
      <w:iCs/>
      <w:szCs w:val="24"/>
      <w:lang w:eastAsia="ar-SA"/>
    </w:rPr>
  </w:style>
  <w:style w:type="paragraph" w:customStyle="1" w:styleId="xl73">
    <w:name w:val="xl73"/>
    <w:basedOn w:val="Normlny"/>
    <w:uiPriority w:val="99"/>
    <w:rsid w:val="00B24E11"/>
    <w:pPr>
      <w:pBdr>
        <w:top w:val="single" w:sz="4" w:space="0" w:color="000000"/>
        <w:bottom w:val="single" w:sz="8" w:space="0" w:color="000000"/>
        <w:right w:val="single" w:sz="4" w:space="0" w:color="000000"/>
      </w:pBdr>
      <w:suppressAutoHyphens/>
      <w:spacing w:before="280" w:after="280"/>
      <w:jc w:val="center"/>
    </w:pPr>
    <w:rPr>
      <w:rFonts w:ascii="Arial" w:eastAsia="Arial Unicode MS" w:hAnsi="Arial" w:cs="Arial"/>
      <w:i/>
      <w:iCs/>
      <w:color w:val="0000FF"/>
      <w:szCs w:val="24"/>
      <w:lang w:eastAsia="ar-SA"/>
    </w:rPr>
  </w:style>
  <w:style w:type="paragraph" w:customStyle="1" w:styleId="xl74">
    <w:name w:val="xl74"/>
    <w:basedOn w:val="Normlny"/>
    <w:uiPriority w:val="99"/>
    <w:rsid w:val="00B24E11"/>
    <w:pPr>
      <w:pBdr>
        <w:top w:val="single" w:sz="4" w:space="0" w:color="000000"/>
        <w:left w:val="single" w:sz="4" w:space="0" w:color="000000"/>
        <w:bottom w:val="single" w:sz="8" w:space="0" w:color="000000"/>
        <w:right w:val="single" w:sz="4" w:space="0" w:color="000000"/>
      </w:pBdr>
      <w:suppressAutoHyphens/>
      <w:spacing w:before="280" w:after="280"/>
      <w:jc w:val="center"/>
    </w:pPr>
    <w:rPr>
      <w:rFonts w:ascii="Arial" w:eastAsia="Arial Unicode MS" w:hAnsi="Arial" w:cs="Arial"/>
      <w:i/>
      <w:iCs/>
      <w:szCs w:val="24"/>
      <w:lang w:eastAsia="ar-SA"/>
    </w:rPr>
  </w:style>
  <w:style w:type="paragraph" w:customStyle="1" w:styleId="xl75">
    <w:name w:val="xl75"/>
    <w:basedOn w:val="Normlny"/>
    <w:uiPriority w:val="99"/>
    <w:rsid w:val="00B24E11"/>
    <w:pPr>
      <w:pBdr>
        <w:top w:val="single" w:sz="4" w:space="0" w:color="000000"/>
        <w:left w:val="single" w:sz="4" w:space="0" w:color="000000"/>
        <w:bottom w:val="single" w:sz="8" w:space="0" w:color="000000"/>
        <w:right w:val="single" w:sz="4" w:space="0" w:color="000000"/>
      </w:pBdr>
      <w:suppressAutoHyphens/>
      <w:spacing w:before="280" w:after="280"/>
      <w:jc w:val="center"/>
    </w:pPr>
    <w:rPr>
      <w:rFonts w:ascii="Arial" w:eastAsia="Arial Unicode MS" w:hAnsi="Arial" w:cs="Arial"/>
      <w:i/>
      <w:iCs/>
      <w:color w:val="0000FF"/>
      <w:szCs w:val="24"/>
      <w:lang w:eastAsia="ar-SA"/>
    </w:rPr>
  </w:style>
  <w:style w:type="paragraph" w:customStyle="1" w:styleId="xl76">
    <w:name w:val="xl76"/>
    <w:basedOn w:val="Normlny"/>
    <w:uiPriority w:val="99"/>
    <w:rsid w:val="00B24E11"/>
    <w:pPr>
      <w:pBdr>
        <w:top w:val="single" w:sz="4" w:space="0" w:color="000000"/>
        <w:left w:val="single" w:sz="4" w:space="0" w:color="000000"/>
        <w:bottom w:val="single" w:sz="8" w:space="0" w:color="000000"/>
      </w:pBdr>
      <w:suppressAutoHyphens/>
      <w:spacing w:before="280" w:after="280"/>
      <w:jc w:val="center"/>
    </w:pPr>
    <w:rPr>
      <w:rFonts w:ascii="Arial" w:eastAsia="Arial Unicode MS" w:hAnsi="Arial" w:cs="Arial"/>
      <w:i/>
      <w:iCs/>
      <w:szCs w:val="24"/>
      <w:lang w:eastAsia="ar-SA"/>
    </w:rPr>
  </w:style>
  <w:style w:type="paragraph" w:customStyle="1" w:styleId="xl77">
    <w:name w:val="xl77"/>
    <w:basedOn w:val="Normlny"/>
    <w:uiPriority w:val="99"/>
    <w:rsid w:val="00B24E11"/>
    <w:pPr>
      <w:pBdr>
        <w:top w:val="single" w:sz="4" w:space="0" w:color="000000"/>
        <w:left w:val="single" w:sz="8" w:space="0" w:color="000000"/>
        <w:bottom w:val="single" w:sz="8" w:space="0" w:color="000000"/>
        <w:right w:val="single" w:sz="4"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78">
    <w:name w:val="xl78"/>
    <w:basedOn w:val="Normlny"/>
    <w:uiPriority w:val="99"/>
    <w:rsid w:val="00B24E11"/>
    <w:pPr>
      <w:pBdr>
        <w:top w:val="single" w:sz="4" w:space="0" w:color="000000"/>
        <w:left w:val="single" w:sz="8" w:space="0" w:color="000000"/>
        <w:bottom w:val="single" w:sz="8" w:space="0" w:color="000000"/>
        <w:right w:val="single" w:sz="8" w:space="0" w:color="000000"/>
      </w:pBdr>
      <w:shd w:val="clear" w:color="auto" w:fill="CCFFFF"/>
      <w:suppressAutoHyphens/>
      <w:spacing w:before="280" w:after="280"/>
      <w:jc w:val="left"/>
    </w:pPr>
    <w:rPr>
      <w:rFonts w:ascii="Arial Unicode MS" w:eastAsia="Arial Unicode MS" w:hAnsi="Arial Unicode MS" w:cs="Arial Unicode MS"/>
      <w:szCs w:val="24"/>
      <w:lang w:eastAsia="ar-SA"/>
    </w:rPr>
  </w:style>
  <w:style w:type="paragraph" w:customStyle="1" w:styleId="xl79">
    <w:name w:val="xl79"/>
    <w:basedOn w:val="Normlny"/>
    <w:uiPriority w:val="99"/>
    <w:rsid w:val="00B24E11"/>
    <w:pPr>
      <w:pBdr>
        <w:left w:val="single" w:sz="8" w:space="0" w:color="000000"/>
        <w:bottom w:val="single" w:sz="4" w:space="0" w:color="000000"/>
        <w:right w:val="single" w:sz="4" w:space="0" w:color="000000"/>
      </w:pBdr>
      <w:suppressAutoHyphens/>
      <w:spacing w:before="280" w:after="280"/>
      <w:jc w:val="center"/>
    </w:pPr>
    <w:rPr>
      <w:rFonts w:ascii="Arial" w:eastAsia="Arial Unicode MS" w:hAnsi="Arial" w:cs="Arial"/>
      <w:i/>
      <w:iCs/>
      <w:szCs w:val="24"/>
      <w:lang w:eastAsia="ar-SA"/>
    </w:rPr>
  </w:style>
  <w:style w:type="paragraph" w:customStyle="1" w:styleId="xl80">
    <w:name w:val="xl80"/>
    <w:basedOn w:val="Normlny"/>
    <w:uiPriority w:val="99"/>
    <w:rsid w:val="00B24E11"/>
    <w:pPr>
      <w:pBdr>
        <w:left w:val="single" w:sz="4" w:space="0" w:color="000000"/>
        <w:bottom w:val="single" w:sz="4" w:space="0" w:color="000000"/>
        <w:right w:val="single" w:sz="8" w:space="0" w:color="000000"/>
      </w:pBdr>
      <w:suppressAutoHyphens/>
      <w:spacing w:before="280" w:after="280"/>
      <w:jc w:val="center"/>
    </w:pPr>
    <w:rPr>
      <w:rFonts w:ascii="Arial" w:eastAsia="Arial Unicode MS" w:hAnsi="Arial" w:cs="Arial"/>
      <w:i/>
      <w:iCs/>
      <w:szCs w:val="24"/>
      <w:lang w:eastAsia="ar-SA"/>
    </w:rPr>
  </w:style>
  <w:style w:type="paragraph" w:customStyle="1" w:styleId="xl81">
    <w:name w:val="xl81"/>
    <w:basedOn w:val="Normlny"/>
    <w:uiPriority w:val="99"/>
    <w:rsid w:val="00B24E11"/>
    <w:pPr>
      <w:pBdr>
        <w:top w:val="single" w:sz="8" w:space="0" w:color="000000"/>
        <w:left w:val="single" w:sz="8" w:space="0" w:color="000000"/>
        <w:bottom w:val="single" w:sz="4" w:space="0" w:color="000000"/>
        <w:right w:val="single" w:sz="4"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82">
    <w:name w:val="xl82"/>
    <w:basedOn w:val="Normlny"/>
    <w:uiPriority w:val="99"/>
    <w:rsid w:val="00B24E11"/>
    <w:pPr>
      <w:pBdr>
        <w:top w:val="single" w:sz="4" w:space="0" w:color="000000"/>
        <w:left w:val="single" w:sz="8" w:space="0" w:color="000000"/>
        <w:right w:val="single" w:sz="4" w:space="0" w:color="000000"/>
      </w:pBdr>
      <w:suppressAutoHyphens/>
      <w:spacing w:before="280" w:after="280"/>
      <w:jc w:val="center"/>
    </w:pPr>
    <w:rPr>
      <w:rFonts w:ascii="Arial" w:eastAsia="Arial Unicode MS" w:hAnsi="Arial" w:cs="Arial"/>
      <w:b/>
      <w:bCs/>
      <w:i/>
      <w:iCs/>
      <w:szCs w:val="24"/>
      <w:lang w:eastAsia="ar-SA"/>
    </w:rPr>
  </w:style>
  <w:style w:type="paragraph" w:customStyle="1" w:styleId="xl83">
    <w:name w:val="xl83"/>
    <w:basedOn w:val="Normlny"/>
    <w:uiPriority w:val="99"/>
    <w:rsid w:val="00B24E11"/>
    <w:pPr>
      <w:pBdr>
        <w:top w:val="single" w:sz="4" w:space="0" w:color="000000"/>
        <w:right w:val="single" w:sz="4" w:space="0" w:color="000000"/>
      </w:pBdr>
      <w:suppressAutoHyphens/>
      <w:spacing w:before="280" w:after="280"/>
      <w:jc w:val="center"/>
    </w:pPr>
    <w:rPr>
      <w:rFonts w:ascii="Arial" w:eastAsia="Arial Unicode MS" w:hAnsi="Arial" w:cs="Arial"/>
      <w:i/>
      <w:iCs/>
      <w:color w:val="0000FF"/>
      <w:szCs w:val="24"/>
      <w:lang w:eastAsia="ar-SA"/>
    </w:rPr>
  </w:style>
  <w:style w:type="paragraph" w:customStyle="1" w:styleId="xl84">
    <w:name w:val="xl84"/>
    <w:basedOn w:val="Normlny"/>
    <w:uiPriority w:val="99"/>
    <w:rsid w:val="00B24E11"/>
    <w:pPr>
      <w:pBdr>
        <w:top w:val="single" w:sz="4" w:space="0" w:color="000000"/>
        <w:left w:val="single" w:sz="4" w:space="0" w:color="000000"/>
        <w:right w:val="single" w:sz="4" w:space="0" w:color="000000"/>
      </w:pBdr>
      <w:suppressAutoHyphens/>
      <w:spacing w:before="280" w:after="280"/>
      <w:jc w:val="center"/>
    </w:pPr>
    <w:rPr>
      <w:rFonts w:ascii="Arial" w:eastAsia="Arial Unicode MS" w:hAnsi="Arial" w:cs="Arial"/>
      <w:i/>
      <w:iCs/>
      <w:szCs w:val="24"/>
      <w:lang w:eastAsia="ar-SA"/>
    </w:rPr>
  </w:style>
  <w:style w:type="paragraph" w:customStyle="1" w:styleId="xl85">
    <w:name w:val="xl85"/>
    <w:basedOn w:val="Normlny"/>
    <w:uiPriority w:val="99"/>
    <w:rsid w:val="00B24E11"/>
    <w:pPr>
      <w:pBdr>
        <w:top w:val="single" w:sz="4" w:space="0" w:color="000000"/>
        <w:left w:val="single" w:sz="4" w:space="0" w:color="000000"/>
        <w:right w:val="single" w:sz="4" w:space="0" w:color="000000"/>
      </w:pBdr>
      <w:suppressAutoHyphens/>
      <w:spacing w:before="280" w:after="280"/>
      <w:jc w:val="center"/>
    </w:pPr>
    <w:rPr>
      <w:rFonts w:ascii="Arial" w:eastAsia="Arial Unicode MS" w:hAnsi="Arial" w:cs="Arial"/>
      <w:i/>
      <w:iCs/>
      <w:color w:val="0000FF"/>
      <w:szCs w:val="24"/>
      <w:lang w:eastAsia="ar-SA"/>
    </w:rPr>
  </w:style>
  <w:style w:type="paragraph" w:customStyle="1" w:styleId="xl86">
    <w:name w:val="xl86"/>
    <w:basedOn w:val="Normlny"/>
    <w:uiPriority w:val="99"/>
    <w:rsid w:val="00B24E11"/>
    <w:pPr>
      <w:pBdr>
        <w:top w:val="single" w:sz="4" w:space="0" w:color="000000"/>
        <w:left w:val="single" w:sz="4" w:space="0" w:color="000000"/>
      </w:pBdr>
      <w:suppressAutoHyphens/>
      <w:spacing w:before="280" w:after="280"/>
      <w:jc w:val="center"/>
    </w:pPr>
    <w:rPr>
      <w:rFonts w:ascii="Arial" w:eastAsia="Arial Unicode MS" w:hAnsi="Arial" w:cs="Arial"/>
      <w:i/>
      <w:iCs/>
      <w:szCs w:val="24"/>
      <w:lang w:eastAsia="ar-SA"/>
    </w:rPr>
  </w:style>
  <w:style w:type="paragraph" w:customStyle="1" w:styleId="xl87">
    <w:name w:val="xl87"/>
    <w:basedOn w:val="Normlny"/>
    <w:uiPriority w:val="99"/>
    <w:rsid w:val="00B24E11"/>
    <w:pPr>
      <w:pBdr>
        <w:top w:val="single" w:sz="8" w:space="0" w:color="000000"/>
        <w:left w:val="single" w:sz="8" w:space="0" w:color="000000"/>
        <w:bottom w:val="single" w:sz="8"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88">
    <w:name w:val="xl88"/>
    <w:basedOn w:val="Normlny"/>
    <w:uiPriority w:val="99"/>
    <w:rsid w:val="00B24E11"/>
    <w:pPr>
      <w:pBdr>
        <w:top w:val="single" w:sz="8" w:space="0" w:color="000000"/>
        <w:left w:val="single" w:sz="4" w:space="0" w:color="000000"/>
        <w:bottom w:val="single" w:sz="8" w:space="0" w:color="000000"/>
        <w:right w:val="single" w:sz="4"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89">
    <w:name w:val="xl89"/>
    <w:basedOn w:val="Normlny"/>
    <w:uiPriority w:val="99"/>
    <w:rsid w:val="00B24E11"/>
    <w:pPr>
      <w:pBdr>
        <w:top w:val="single" w:sz="8" w:space="0" w:color="000000"/>
        <w:left w:val="single" w:sz="4" w:space="0" w:color="000000"/>
        <w:bottom w:val="single" w:sz="8" w:space="0" w:color="000000"/>
        <w:right w:val="single" w:sz="8" w:space="0" w:color="000000"/>
      </w:pBdr>
      <w:suppressAutoHyphens/>
      <w:spacing w:before="280" w:after="280"/>
      <w:jc w:val="center"/>
    </w:pPr>
    <w:rPr>
      <w:rFonts w:ascii="Arial Unicode MS" w:eastAsia="Arial Unicode MS" w:hAnsi="Arial Unicode MS" w:cs="Arial Unicode MS"/>
      <w:szCs w:val="24"/>
      <w:lang w:eastAsia="ar-SA"/>
    </w:rPr>
  </w:style>
  <w:style w:type="paragraph" w:customStyle="1" w:styleId="xl90">
    <w:name w:val="xl90"/>
    <w:basedOn w:val="Normlny"/>
    <w:uiPriority w:val="99"/>
    <w:rsid w:val="00B24E11"/>
    <w:pPr>
      <w:pBdr>
        <w:top w:val="single" w:sz="8" w:space="0" w:color="000000"/>
        <w:left w:val="single" w:sz="4" w:space="0" w:color="000000"/>
        <w:bottom w:val="single" w:sz="8" w:space="0" w:color="000000"/>
        <w:right w:val="single" w:sz="4"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91">
    <w:name w:val="xl91"/>
    <w:basedOn w:val="Normlny"/>
    <w:uiPriority w:val="99"/>
    <w:rsid w:val="00B24E11"/>
    <w:pPr>
      <w:pBdr>
        <w:top w:val="single" w:sz="8" w:space="0" w:color="000000"/>
        <w:left w:val="single" w:sz="8" w:space="0" w:color="000000"/>
        <w:bottom w:val="single" w:sz="8" w:space="0" w:color="000000"/>
        <w:right w:val="single" w:sz="8"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92">
    <w:name w:val="xl92"/>
    <w:basedOn w:val="Normlny"/>
    <w:uiPriority w:val="99"/>
    <w:rsid w:val="00B24E11"/>
    <w:pPr>
      <w:pBdr>
        <w:left w:val="single" w:sz="4" w:space="0" w:color="000000"/>
        <w:bottom w:val="single" w:sz="4" w:space="0" w:color="000000"/>
        <w:right w:val="single" w:sz="8"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93">
    <w:name w:val="xl93"/>
    <w:basedOn w:val="Normlny"/>
    <w:uiPriority w:val="99"/>
    <w:rsid w:val="00B24E11"/>
    <w:pPr>
      <w:pBdr>
        <w:top w:val="single" w:sz="8" w:space="0" w:color="000000"/>
        <w:left w:val="single" w:sz="8" w:space="0" w:color="000000"/>
        <w:bottom w:val="single" w:sz="8" w:space="0" w:color="000000"/>
        <w:right w:val="single" w:sz="4"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94">
    <w:name w:val="xl94"/>
    <w:basedOn w:val="Normlny"/>
    <w:uiPriority w:val="99"/>
    <w:rsid w:val="00B24E11"/>
    <w:pPr>
      <w:pBdr>
        <w:top w:val="single" w:sz="8" w:space="0" w:color="000000"/>
        <w:left w:val="single" w:sz="4" w:space="0" w:color="000000"/>
        <w:bottom w:val="single" w:sz="8" w:space="0" w:color="000000"/>
        <w:right w:val="single" w:sz="8"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95">
    <w:name w:val="xl95"/>
    <w:basedOn w:val="Normlny"/>
    <w:uiPriority w:val="99"/>
    <w:rsid w:val="00B24E11"/>
    <w:pPr>
      <w:pBdr>
        <w:left w:val="single" w:sz="8" w:space="0" w:color="000000"/>
        <w:bottom w:val="single" w:sz="4" w:space="0" w:color="000000"/>
        <w:right w:val="single" w:sz="8"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96">
    <w:name w:val="xl96"/>
    <w:basedOn w:val="Normlny"/>
    <w:uiPriority w:val="99"/>
    <w:rsid w:val="00B24E11"/>
    <w:pPr>
      <w:pBdr>
        <w:top w:val="single" w:sz="4" w:space="0" w:color="000000"/>
        <w:left w:val="single" w:sz="8" w:space="0" w:color="000000"/>
        <w:right w:val="single" w:sz="8" w:space="0" w:color="000000"/>
      </w:pBdr>
      <w:suppressAutoHyphens/>
      <w:spacing w:before="280" w:after="280"/>
      <w:jc w:val="left"/>
    </w:pPr>
    <w:rPr>
      <w:rFonts w:ascii="Arial Unicode MS" w:eastAsia="Arial Unicode MS" w:hAnsi="Arial Unicode MS" w:cs="Arial Unicode MS"/>
      <w:szCs w:val="24"/>
      <w:lang w:eastAsia="ar-SA"/>
    </w:rPr>
  </w:style>
  <w:style w:type="paragraph" w:customStyle="1" w:styleId="xl97">
    <w:name w:val="xl97"/>
    <w:basedOn w:val="Normlny"/>
    <w:uiPriority w:val="99"/>
    <w:rsid w:val="00B24E11"/>
    <w:pPr>
      <w:pBdr>
        <w:left w:val="single" w:sz="8" w:space="0" w:color="000000"/>
        <w:bottom w:val="single" w:sz="4" w:space="0" w:color="000000"/>
        <w:right w:val="single" w:sz="8" w:space="0" w:color="000000"/>
      </w:pBdr>
      <w:shd w:val="clear" w:color="auto" w:fill="CCFFFF"/>
      <w:suppressAutoHyphens/>
      <w:spacing w:before="280" w:after="280"/>
      <w:jc w:val="left"/>
    </w:pPr>
    <w:rPr>
      <w:rFonts w:ascii="Arial Unicode MS" w:eastAsia="Arial Unicode MS" w:hAnsi="Arial Unicode MS" w:cs="Arial Unicode MS"/>
      <w:szCs w:val="24"/>
      <w:lang w:eastAsia="ar-SA"/>
    </w:rPr>
  </w:style>
  <w:style w:type="paragraph" w:customStyle="1" w:styleId="xl98">
    <w:name w:val="xl98"/>
    <w:basedOn w:val="Normlny"/>
    <w:uiPriority w:val="99"/>
    <w:rsid w:val="00B24E11"/>
    <w:pPr>
      <w:pBdr>
        <w:top w:val="single" w:sz="8" w:space="0" w:color="000000"/>
        <w:left w:val="single" w:sz="8" w:space="0" w:color="000000"/>
      </w:pBdr>
      <w:shd w:val="clear" w:color="auto" w:fill="FFFF99"/>
      <w:suppressAutoHyphens/>
      <w:spacing w:before="280" w:after="280"/>
      <w:jc w:val="center"/>
      <w:textAlignment w:val="center"/>
    </w:pPr>
    <w:rPr>
      <w:rFonts w:ascii="Arial Unicode MS" w:eastAsia="Arial Unicode MS" w:hAnsi="Arial Unicode MS" w:cs="Arial Unicode MS"/>
      <w:szCs w:val="24"/>
      <w:lang w:eastAsia="ar-SA"/>
    </w:rPr>
  </w:style>
  <w:style w:type="paragraph" w:customStyle="1" w:styleId="xl99">
    <w:name w:val="xl99"/>
    <w:basedOn w:val="Normlny"/>
    <w:uiPriority w:val="99"/>
    <w:rsid w:val="00B24E11"/>
    <w:pPr>
      <w:pBdr>
        <w:top w:val="single" w:sz="8" w:space="0" w:color="000000"/>
        <w:right w:val="single" w:sz="8" w:space="0" w:color="000000"/>
      </w:pBdr>
      <w:shd w:val="clear" w:color="auto" w:fill="FFFF99"/>
      <w:suppressAutoHyphens/>
      <w:spacing w:before="280" w:after="280"/>
      <w:jc w:val="center"/>
      <w:textAlignment w:val="center"/>
    </w:pPr>
    <w:rPr>
      <w:rFonts w:ascii="Arial Unicode MS" w:eastAsia="Arial Unicode MS" w:hAnsi="Arial Unicode MS" w:cs="Arial Unicode MS"/>
      <w:szCs w:val="24"/>
      <w:lang w:eastAsia="ar-SA"/>
    </w:rPr>
  </w:style>
  <w:style w:type="paragraph" w:customStyle="1" w:styleId="xl100">
    <w:name w:val="xl100"/>
    <w:basedOn w:val="Normlny"/>
    <w:uiPriority w:val="99"/>
    <w:rsid w:val="00B24E11"/>
    <w:pPr>
      <w:pBdr>
        <w:top w:val="single" w:sz="8" w:space="0" w:color="000000"/>
        <w:left w:val="single" w:sz="8" w:space="0" w:color="000000"/>
        <w:bottom w:val="single" w:sz="4" w:space="0" w:color="000000"/>
        <w:righ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01">
    <w:name w:val="xl101"/>
    <w:basedOn w:val="Normlny"/>
    <w:uiPriority w:val="99"/>
    <w:rsid w:val="00B24E11"/>
    <w:pPr>
      <w:pBdr>
        <w:top w:val="single" w:sz="8" w:space="0" w:color="000000"/>
        <w:left w:val="single" w:sz="4" w:space="0" w:color="000000"/>
        <w:bottom w:val="single" w:sz="4" w:space="0" w:color="000000"/>
        <w:righ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02">
    <w:name w:val="xl102"/>
    <w:basedOn w:val="Normlny"/>
    <w:uiPriority w:val="99"/>
    <w:rsid w:val="00B24E11"/>
    <w:pPr>
      <w:pBdr>
        <w:top w:val="single" w:sz="8" w:space="0" w:color="000000"/>
        <w:left w:val="single" w:sz="4" w:space="0" w:color="000000"/>
        <w:bottom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03">
    <w:name w:val="xl103"/>
    <w:basedOn w:val="Normlny"/>
    <w:uiPriority w:val="99"/>
    <w:rsid w:val="00B24E11"/>
    <w:pPr>
      <w:pBdr>
        <w:top w:val="single" w:sz="8" w:space="0" w:color="000000"/>
        <w:left w:val="single" w:sz="8" w:space="0" w:color="000000"/>
        <w:bottom w:val="single" w:sz="4" w:space="0" w:color="000000"/>
        <w:right w:val="single" w:sz="4"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04">
    <w:name w:val="xl104"/>
    <w:basedOn w:val="Normlny"/>
    <w:uiPriority w:val="99"/>
    <w:rsid w:val="00B24E11"/>
    <w:pPr>
      <w:pBdr>
        <w:top w:val="single" w:sz="8" w:space="0" w:color="000000"/>
        <w:left w:val="single" w:sz="4" w:space="0" w:color="000000"/>
        <w:bottom w:val="single" w:sz="4" w:space="0" w:color="000000"/>
        <w:right w:val="single" w:sz="4"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05">
    <w:name w:val="xl105"/>
    <w:basedOn w:val="Normlny"/>
    <w:uiPriority w:val="99"/>
    <w:rsid w:val="00B24E11"/>
    <w:pPr>
      <w:pBdr>
        <w:top w:val="single" w:sz="8" w:space="0" w:color="000000"/>
        <w:left w:val="single" w:sz="4" w:space="0" w:color="000000"/>
        <w:bottom w:val="single" w:sz="4" w:space="0" w:color="000000"/>
        <w:righ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06">
    <w:name w:val="xl106"/>
    <w:basedOn w:val="Normlny"/>
    <w:uiPriority w:val="99"/>
    <w:rsid w:val="00B24E11"/>
    <w:pPr>
      <w:pBdr>
        <w:top w:val="single" w:sz="8" w:space="0" w:color="000000"/>
        <w:righ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07">
    <w:name w:val="xl107"/>
    <w:basedOn w:val="Normlny"/>
    <w:uiPriority w:val="99"/>
    <w:rsid w:val="00B24E11"/>
    <w:pPr>
      <w:pBdr>
        <w:top w:val="single" w:sz="4" w:space="0" w:color="000000"/>
        <w:left w:val="single" w:sz="8" w:space="0" w:color="000000"/>
        <w:bottom w:val="single" w:sz="4" w:space="0" w:color="000000"/>
        <w:righ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08">
    <w:name w:val="xl108"/>
    <w:basedOn w:val="Normlny"/>
    <w:uiPriority w:val="99"/>
    <w:rsid w:val="00B24E11"/>
    <w:pPr>
      <w:pBdr>
        <w:top w:val="single" w:sz="4" w:space="0" w:color="000000"/>
        <w:left w:val="single" w:sz="4" w:space="0" w:color="000000"/>
        <w:bottom w:val="single" w:sz="4" w:space="0" w:color="000000"/>
        <w:righ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09">
    <w:name w:val="xl109"/>
    <w:basedOn w:val="Normlny"/>
    <w:uiPriority w:val="99"/>
    <w:rsid w:val="00B24E11"/>
    <w:pPr>
      <w:pBdr>
        <w:top w:val="single" w:sz="4" w:space="0" w:color="000000"/>
        <w:left w:val="single" w:sz="4" w:space="0" w:color="000000"/>
        <w:bottom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10">
    <w:name w:val="xl110"/>
    <w:basedOn w:val="Normlny"/>
    <w:uiPriority w:val="99"/>
    <w:rsid w:val="00B24E11"/>
    <w:pPr>
      <w:pBdr>
        <w:top w:val="single" w:sz="4" w:space="0" w:color="000000"/>
        <w:left w:val="single" w:sz="8" w:space="0" w:color="000000"/>
        <w:bottom w:val="single" w:sz="4" w:space="0" w:color="000000"/>
        <w:right w:val="single" w:sz="4"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11">
    <w:name w:val="xl111"/>
    <w:basedOn w:val="Normlny"/>
    <w:uiPriority w:val="99"/>
    <w:rsid w:val="00B24E11"/>
    <w:pPr>
      <w:pBdr>
        <w:top w:val="single" w:sz="4" w:space="0" w:color="000000"/>
        <w:left w:val="single" w:sz="4" w:space="0" w:color="000000"/>
        <w:bottom w:val="single" w:sz="4" w:space="0" w:color="000000"/>
        <w:right w:val="single" w:sz="4"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12">
    <w:name w:val="xl112"/>
    <w:basedOn w:val="Normlny"/>
    <w:uiPriority w:val="99"/>
    <w:rsid w:val="00B24E11"/>
    <w:pPr>
      <w:pBdr>
        <w:top w:val="single" w:sz="4" w:space="0" w:color="000000"/>
        <w:left w:val="single" w:sz="4" w:space="0" w:color="000000"/>
        <w:bottom w:val="single" w:sz="4" w:space="0" w:color="000000"/>
        <w:righ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13">
    <w:name w:val="xl113"/>
    <w:basedOn w:val="Normlny"/>
    <w:uiPriority w:val="99"/>
    <w:rsid w:val="00B24E11"/>
    <w:pPr>
      <w:pBdr>
        <w:righ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14">
    <w:name w:val="xl114"/>
    <w:basedOn w:val="Normlny"/>
    <w:uiPriority w:val="99"/>
    <w:rsid w:val="00B24E11"/>
    <w:pPr>
      <w:pBdr>
        <w:top w:val="single" w:sz="4" w:space="0" w:color="000000"/>
        <w:lef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15">
    <w:name w:val="xl115"/>
    <w:basedOn w:val="Normlny"/>
    <w:uiPriority w:val="99"/>
    <w:rsid w:val="00B24E11"/>
    <w:pPr>
      <w:pBdr>
        <w:top w:val="single" w:sz="4" w:space="0" w:color="000000"/>
        <w:left w:val="single" w:sz="4" w:space="0" w:color="000000"/>
        <w:right w:val="single" w:sz="4"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16">
    <w:name w:val="xl116"/>
    <w:basedOn w:val="Normlny"/>
    <w:uiPriority w:val="99"/>
    <w:rsid w:val="00B24E11"/>
    <w:pPr>
      <w:pBdr>
        <w:top w:val="single" w:sz="4" w:space="0" w:color="000000"/>
        <w:righ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17">
    <w:name w:val="xl117"/>
    <w:basedOn w:val="Normlny"/>
    <w:uiPriority w:val="99"/>
    <w:rsid w:val="00B24E11"/>
    <w:pPr>
      <w:pBdr>
        <w:top w:val="single" w:sz="4" w:space="0" w:color="000000"/>
        <w:righ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18">
    <w:name w:val="xl118"/>
    <w:basedOn w:val="Normlny"/>
    <w:uiPriority w:val="99"/>
    <w:rsid w:val="00B24E11"/>
    <w:pPr>
      <w:pBdr>
        <w:top w:val="single" w:sz="4" w:space="0" w:color="000000"/>
        <w:left w:val="single" w:sz="4" w:space="0" w:color="000000"/>
        <w:righ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19">
    <w:name w:val="xl119"/>
    <w:basedOn w:val="Normlny"/>
    <w:uiPriority w:val="99"/>
    <w:rsid w:val="00B24E11"/>
    <w:pPr>
      <w:pBdr>
        <w:top w:val="single" w:sz="4" w:space="0" w:color="000000"/>
        <w:lef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20">
    <w:name w:val="xl120"/>
    <w:basedOn w:val="Normlny"/>
    <w:uiPriority w:val="99"/>
    <w:rsid w:val="00B24E11"/>
    <w:pPr>
      <w:pBdr>
        <w:left w:val="single" w:sz="8" w:space="0" w:color="000000"/>
        <w:bottom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21">
    <w:name w:val="xl121"/>
    <w:basedOn w:val="Normlny"/>
    <w:uiPriority w:val="99"/>
    <w:rsid w:val="00B24E11"/>
    <w:pPr>
      <w:pBdr>
        <w:left w:val="single" w:sz="4" w:space="0" w:color="000000"/>
        <w:bottom w:val="single" w:sz="8" w:space="0" w:color="000000"/>
        <w:right w:val="single" w:sz="4"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22">
    <w:name w:val="xl122"/>
    <w:basedOn w:val="Normlny"/>
    <w:uiPriority w:val="99"/>
    <w:rsid w:val="00B24E11"/>
    <w:pPr>
      <w:pBdr>
        <w:bottom w:val="single" w:sz="8" w:space="0" w:color="000000"/>
        <w:righ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23">
    <w:name w:val="xl123"/>
    <w:basedOn w:val="Normlny"/>
    <w:uiPriority w:val="99"/>
    <w:rsid w:val="00B24E11"/>
    <w:pPr>
      <w:pBdr>
        <w:bottom w:val="single" w:sz="8" w:space="0" w:color="000000"/>
        <w:right w:val="single" w:sz="8" w:space="0" w:color="000000"/>
      </w:pBdr>
      <w:suppressAutoHyphens/>
      <w:spacing w:before="280" w:after="280"/>
      <w:jc w:val="center"/>
      <w:textAlignment w:val="center"/>
    </w:pPr>
    <w:rPr>
      <w:rFonts w:ascii="Arial" w:eastAsia="Arial Unicode MS" w:hAnsi="Arial" w:cs="Arial"/>
      <w:b/>
      <w:bCs/>
      <w:szCs w:val="24"/>
      <w:lang w:eastAsia="ar-SA"/>
    </w:rPr>
  </w:style>
  <w:style w:type="paragraph" w:customStyle="1" w:styleId="xl124">
    <w:name w:val="xl124"/>
    <w:basedOn w:val="Normlny"/>
    <w:uiPriority w:val="99"/>
    <w:rsid w:val="00B24E11"/>
    <w:pPr>
      <w:pBdr>
        <w:top w:val="single" w:sz="8" w:space="0" w:color="000000"/>
        <w:left w:val="single" w:sz="8" w:space="0" w:color="000000"/>
        <w:bottom w:val="single" w:sz="8" w:space="0" w:color="000000"/>
        <w:right w:val="single" w:sz="4" w:space="0" w:color="000000"/>
      </w:pBdr>
      <w:suppressAutoHyphens/>
      <w:spacing w:before="280" w:after="280"/>
      <w:jc w:val="center"/>
    </w:pPr>
    <w:rPr>
      <w:rFonts w:ascii="Arial" w:eastAsia="Arial Unicode MS" w:hAnsi="Arial" w:cs="Arial"/>
      <w:b/>
      <w:bCs/>
      <w:szCs w:val="24"/>
      <w:lang w:eastAsia="ar-SA"/>
    </w:rPr>
  </w:style>
  <w:style w:type="paragraph" w:customStyle="1" w:styleId="xl125">
    <w:name w:val="xl125"/>
    <w:basedOn w:val="Normlny"/>
    <w:uiPriority w:val="99"/>
    <w:rsid w:val="00B24E11"/>
    <w:pPr>
      <w:pBdr>
        <w:top w:val="single" w:sz="8" w:space="0" w:color="000000"/>
        <w:left w:val="single" w:sz="8" w:space="0" w:color="000000"/>
        <w:bottom w:val="single" w:sz="8" w:space="0" w:color="000000"/>
      </w:pBdr>
      <w:suppressAutoHyphens/>
      <w:spacing w:before="280" w:after="280"/>
      <w:jc w:val="center"/>
    </w:pPr>
    <w:rPr>
      <w:rFonts w:ascii="Arial" w:eastAsia="Arial Unicode MS" w:hAnsi="Arial" w:cs="Arial"/>
      <w:b/>
      <w:bCs/>
      <w:szCs w:val="24"/>
      <w:lang w:eastAsia="ar-SA"/>
    </w:rPr>
  </w:style>
  <w:style w:type="paragraph" w:customStyle="1" w:styleId="xl126">
    <w:name w:val="xl126"/>
    <w:basedOn w:val="Normlny"/>
    <w:uiPriority w:val="99"/>
    <w:rsid w:val="00B24E11"/>
    <w:pPr>
      <w:pBdr>
        <w:top w:val="single" w:sz="8" w:space="0" w:color="000000"/>
        <w:bottom w:val="single" w:sz="8" w:space="0" w:color="000000"/>
        <w:right w:val="single" w:sz="8" w:space="0" w:color="000000"/>
      </w:pBdr>
      <w:suppressAutoHyphens/>
      <w:spacing w:before="280" w:after="280"/>
      <w:jc w:val="center"/>
    </w:pPr>
    <w:rPr>
      <w:rFonts w:ascii="Arial" w:eastAsia="Arial Unicode MS" w:hAnsi="Arial" w:cs="Arial"/>
      <w:b/>
      <w:bCs/>
      <w:szCs w:val="24"/>
      <w:lang w:eastAsia="ar-SA"/>
    </w:rPr>
  </w:style>
  <w:style w:type="paragraph" w:customStyle="1" w:styleId="xl22">
    <w:name w:val="xl22"/>
    <w:basedOn w:val="Normlny"/>
    <w:uiPriority w:val="99"/>
    <w:rsid w:val="00B24E11"/>
    <w:pPr>
      <w:pBdr>
        <w:right w:val="single" w:sz="4" w:space="0" w:color="000000"/>
      </w:pBdr>
      <w:suppressAutoHyphens/>
      <w:spacing w:before="280" w:after="280"/>
      <w:jc w:val="center"/>
      <w:textAlignment w:val="center"/>
    </w:pPr>
    <w:rPr>
      <w:rFonts w:ascii="Arial" w:eastAsia="Arial Unicode MS" w:hAnsi="Arial" w:cs="Arial"/>
      <w:b/>
      <w:bCs/>
      <w:sz w:val="14"/>
      <w:szCs w:val="14"/>
      <w:lang w:eastAsia="ar-SA"/>
    </w:rPr>
  </w:style>
  <w:style w:type="paragraph" w:customStyle="1" w:styleId="xl23">
    <w:name w:val="xl23"/>
    <w:basedOn w:val="Normlny"/>
    <w:uiPriority w:val="99"/>
    <w:rsid w:val="00B24E11"/>
    <w:pPr>
      <w:pBdr>
        <w:left w:val="single" w:sz="4" w:space="0" w:color="000000"/>
        <w:right w:val="single" w:sz="4" w:space="0" w:color="000000"/>
      </w:pBdr>
      <w:suppressAutoHyphens/>
      <w:spacing w:before="280" w:after="280"/>
      <w:jc w:val="center"/>
      <w:textAlignment w:val="center"/>
    </w:pPr>
    <w:rPr>
      <w:rFonts w:ascii="Arial" w:eastAsia="Arial Unicode MS" w:hAnsi="Arial" w:cs="Arial"/>
      <w:b/>
      <w:bCs/>
      <w:sz w:val="14"/>
      <w:szCs w:val="14"/>
      <w:lang w:eastAsia="ar-SA"/>
    </w:rPr>
  </w:style>
  <w:style w:type="paragraph" w:customStyle="1" w:styleId="Obsahtabulky">
    <w:name w:val="Obsah tabulky"/>
    <w:basedOn w:val="Normlny"/>
    <w:uiPriority w:val="99"/>
    <w:rsid w:val="00B24E11"/>
    <w:pPr>
      <w:suppressLineNumbers/>
      <w:suppressAutoHyphens/>
      <w:spacing w:before="120" w:after="120" w:line="288" w:lineRule="auto"/>
    </w:pPr>
    <w:rPr>
      <w:rFonts w:ascii="Calibri" w:eastAsia="Times New Roman" w:hAnsi="Calibri" w:cs="Times New Roman"/>
      <w:sz w:val="22"/>
      <w:szCs w:val="24"/>
      <w:lang w:eastAsia="ar-SA"/>
    </w:rPr>
  </w:style>
  <w:style w:type="paragraph" w:customStyle="1" w:styleId="Nadpistabulky">
    <w:name w:val="Nadpis tabulky"/>
    <w:basedOn w:val="Obsahtabulky"/>
    <w:uiPriority w:val="99"/>
    <w:rsid w:val="00B24E11"/>
    <w:pPr>
      <w:jc w:val="center"/>
    </w:pPr>
    <w:rPr>
      <w:b/>
      <w:bCs/>
      <w:i/>
      <w:iCs/>
    </w:rPr>
  </w:style>
  <w:style w:type="paragraph" w:customStyle="1" w:styleId="Obsah10">
    <w:name w:val="Obsah 10"/>
    <w:basedOn w:val="Rejstk"/>
    <w:uiPriority w:val="99"/>
    <w:rsid w:val="00B24E11"/>
    <w:pPr>
      <w:tabs>
        <w:tab w:val="right" w:leader="dot" w:pos="9637"/>
      </w:tabs>
      <w:ind w:left="2547"/>
    </w:pPr>
  </w:style>
  <w:style w:type="paragraph" w:customStyle="1" w:styleId="Obsahrmce">
    <w:name w:val="Obsah rámce"/>
    <w:basedOn w:val="Zkladntext"/>
    <w:uiPriority w:val="99"/>
    <w:rsid w:val="00B24E11"/>
  </w:style>
  <w:style w:type="character" w:customStyle="1" w:styleId="sml1">
    <w:name w:val="sml1"/>
    <w:rsid w:val="00B24E11"/>
    <w:rPr>
      <w:b w:val="0"/>
      <w:bCs w:val="0"/>
      <w:sz w:val="15"/>
      <w:szCs w:val="15"/>
    </w:rPr>
  </w:style>
  <w:style w:type="paragraph" w:customStyle="1" w:styleId="textodstavce0">
    <w:name w:val="text odstavce"/>
    <w:basedOn w:val="Zkladntext"/>
    <w:uiPriority w:val="99"/>
    <w:rsid w:val="00B24E11"/>
    <w:pPr>
      <w:tabs>
        <w:tab w:val="left" w:pos="426"/>
        <w:tab w:val="left" w:pos="851"/>
      </w:tabs>
      <w:spacing w:before="60" w:after="60" w:line="240" w:lineRule="auto"/>
      <w:ind w:firstLine="567"/>
      <w:jc w:val="both"/>
    </w:pPr>
    <w:rPr>
      <w:rFonts w:cs="Arial"/>
      <w:b w:val="0"/>
      <w:sz w:val="22"/>
      <w:szCs w:val="24"/>
    </w:rPr>
  </w:style>
  <w:style w:type="paragraph" w:styleId="Zoznamobrzkov">
    <w:name w:val="table of figures"/>
    <w:basedOn w:val="Normlny"/>
    <w:next w:val="Normlny"/>
    <w:uiPriority w:val="99"/>
    <w:qFormat/>
    <w:rsid w:val="00B24E11"/>
    <w:pPr>
      <w:suppressAutoHyphens/>
      <w:spacing w:line="288" w:lineRule="auto"/>
      <w:ind w:left="440" w:hanging="440"/>
      <w:jc w:val="left"/>
    </w:pPr>
    <w:rPr>
      <w:rFonts w:ascii="Times New Roman" w:eastAsia="Times New Roman" w:hAnsi="Times New Roman" w:cs="Times New Roman"/>
      <w:smallCaps/>
      <w:sz w:val="22"/>
      <w:szCs w:val="24"/>
      <w:lang w:eastAsia="ar-SA"/>
    </w:rPr>
  </w:style>
  <w:style w:type="paragraph" w:customStyle="1" w:styleId="seznamy">
    <w:name w:val="seznamy"/>
    <w:basedOn w:val="Normlny"/>
    <w:uiPriority w:val="99"/>
    <w:rsid w:val="00B24E11"/>
    <w:pPr>
      <w:suppressAutoHyphens/>
      <w:spacing w:before="120" w:after="120" w:line="288" w:lineRule="auto"/>
    </w:pPr>
    <w:rPr>
      <w:rFonts w:ascii="Calibri" w:eastAsia="Times New Roman" w:hAnsi="Calibri" w:cs="Times New Roman"/>
      <w:b/>
      <w:bCs/>
      <w:sz w:val="28"/>
      <w:szCs w:val="18"/>
      <w:lang w:eastAsia="ar-SA"/>
    </w:rPr>
  </w:style>
  <w:style w:type="paragraph" w:customStyle="1" w:styleId="Rozpiska">
    <w:name w:val="Rozpiska"/>
    <w:basedOn w:val="Normlny"/>
    <w:uiPriority w:val="99"/>
    <w:rsid w:val="00B24E11"/>
    <w:rPr>
      <w:rFonts w:ascii="Times New Roman" w:eastAsia="Times New Roman" w:hAnsi="Times New Roman" w:cs="Times New Roman"/>
      <w:sz w:val="20"/>
      <w:szCs w:val="20"/>
      <w:lang w:eastAsia="cs-CZ"/>
    </w:rPr>
  </w:style>
  <w:style w:type="paragraph" w:customStyle="1" w:styleId="uz">
    <w:name w:val="uz"/>
    <w:basedOn w:val="Nadpis1"/>
    <w:uiPriority w:val="99"/>
    <w:rsid w:val="00B24E11"/>
    <w:pPr>
      <w:keepLines w:val="0"/>
      <w:tabs>
        <w:tab w:val="left" w:pos="902"/>
      </w:tabs>
      <w:suppressAutoHyphens/>
      <w:spacing w:before="120" w:after="120" w:line="288" w:lineRule="auto"/>
      <w:jc w:val="left"/>
    </w:pPr>
    <w:rPr>
      <w:rFonts w:ascii="Calibri" w:eastAsia="Times New Roman" w:hAnsi="Calibri" w:cs="Times New Roman"/>
      <w:color w:val="auto"/>
      <w:sz w:val="30"/>
      <w:szCs w:val="24"/>
      <w:lang w:eastAsia="ar-SA"/>
    </w:rPr>
  </w:style>
  <w:style w:type="paragraph" w:customStyle="1" w:styleId="Odsazenvce">
    <w:name w:val="Odsazený více"/>
    <w:basedOn w:val="Normlny"/>
    <w:uiPriority w:val="99"/>
    <w:rsid w:val="00B24E11"/>
    <w:pPr>
      <w:numPr>
        <w:numId w:val="23"/>
      </w:numPr>
      <w:spacing w:before="60"/>
    </w:pPr>
    <w:rPr>
      <w:rFonts w:ascii="Calibri" w:eastAsia="Times New Roman" w:hAnsi="Calibri" w:cs="Times New Roman"/>
      <w:sz w:val="22"/>
      <w:szCs w:val="20"/>
      <w:lang w:eastAsia="cs-CZ"/>
    </w:rPr>
  </w:style>
  <w:style w:type="paragraph" w:customStyle="1" w:styleId="StyleHeading3ArialLeft0cmFirstline0cm">
    <w:name w:val="Style Heading 3 + Arial Left:  0 cm First line:  0 cm"/>
    <w:basedOn w:val="Nadpis3"/>
    <w:uiPriority w:val="99"/>
    <w:rsid w:val="00B24E11"/>
    <w:pPr>
      <w:keepLines w:val="0"/>
      <w:numPr>
        <w:ilvl w:val="2"/>
        <w:numId w:val="24"/>
      </w:numPr>
      <w:tabs>
        <w:tab w:val="clear" w:pos="1800"/>
        <w:tab w:val="num" w:pos="360"/>
      </w:tabs>
      <w:spacing w:before="240" w:after="120"/>
      <w:ind w:left="360" w:hanging="360"/>
      <w:jc w:val="left"/>
    </w:pPr>
    <w:rPr>
      <w:rFonts w:ascii="Calibri" w:eastAsia="Times New Roman" w:hAnsi="Calibri" w:cs="Times New Roman"/>
      <w:i/>
      <w:color w:val="000000"/>
      <w:sz w:val="22"/>
      <w:lang w:eastAsia="cs-CZ"/>
    </w:rPr>
  </w:style>
  <w:style w:type="paragraph" w:styleId="Oznaitext">
    <w:name w:val="Block Text"/>
    <w:basedOn w:val="Normlny"/>
    <w:uiPriority w:val="99"/>
    <w:semiHidden/>
    <w:rsid w:val="00B24E11"/>
    <w:pPr>
      <w:suppressAutoHyphens/>
      <w:spacing w:before="120" w:after="120" w:line="288" w:lineRule="auto"/>
      <w:ind w:left="113" w:right="113"/>
      <w:jc w:val="center"/>
    </w:pPr>
    <w:rPr>
      <w:rFonts w:ascii="Calibri" w:eastAsia="Times New Roman" w:hAnsi="Calibri" w:cs="Times New Roman"/>
      <w:sz w:val="22"/>
      <w:szCs w:val="24"/>
      <w:lang w:eastAsia="ar-SA"/>
    </w:rPr>
  </w:style>
  <w:style w:type="paragraph" w:customStyle="1" w:styleId="ARIELNEODSAZEN">
    <w:name w:val="ARIEL NEODSAZEN"/>
    <w:basedOn w:val="Normlny"/>
    <w:uiPriority w:val="99"/>
    <w:rsid w:val="00B24E11"/>
    <w:pPr>
      <w:widowControl w:val="0"/>
      <w:spacing w:before="120"/>
    </w:pPr>
    <w:rPr>
      <w:rFonts w:ascii="Calibri" w:eastAsia="Times New Roman" w:hAnsi="Calibri" w:cs="Arial"/>
      <w:sz w:val="22"/>
      <w:lang w:eastAsia="cs-CZ"/>
    </w:rPr>
  </w:style>
  <w:style w:type="paragraph" w:customStyle="1" w:styleId="nadpis50">
    <w:name w:val="nadpis 5"/>
    <w:basedOn w:val="Normlny"/>
    <w:uiPriority w:val="99"/>
    <w:rsid w:val="00B24E11"/>
    <w:pPr>
      <w:widowControl w:val="0"/>
      <w:spacing w:before="160" w:after="40"/>
    </w:pPr>
    <w:rPr>
      <w:rFonts w:ascii="Calibri" w:eastAsia="Times New Roman" w:hAnsi="Calibri" w:cs="Arial"/>
      <w:b/>
      <w:bCs/>
      <w:sz w:val="22"/>
      <w:lang w:eastAsia="cs-CZ"/>
    </w:rPr>
  </w:style>
  <w:style w:type="paragraph" w:customStyle="1" w:styleId="b">
    <w:name w:val="b"/>
    <w:basedOn w:val="Normlny"/>
    <w:uiPriority w:val="99"/>
    <w:rsid w:val="00B24E11"/>
    <w:pPr>
      <w:spacing w:before="100" w:beforeAutospacing="1" w:after="100" w:afterAutospacing="1"/>
      <w:ind w:firstLine="778"/>
    </w:pPr>
    <w:rPr>
      <w:rFonts w:ascii="Verdana" w:eastAsia="Arial Unicode MS" w:hAnsi="Verdana" w:cs="Arial Unicode MS"/>
      <w:color w:val="000000"/>
      <w:sz w:val="21"/>
      <w:szCs w:val="21"/>
      <w:lang w:eastAsia="cs-CZ"/>
    </w:rPr>
  </w:style>
  <w:style w:type="paragraph" w:customStyle="1" w:styleId="E1">
    <w:name w:val="E1"/>
    <w:basedOn w:val="Normlny"/>
    <w:uiPriority w:val="99"/>
    <w:rsid w:val="00B24E11"/>
    <w:pPr>
      <w:spacing w:before="60"/>
      <w:ind w:firstLine="567"/>
    </w:pPr>
    <w:rPr>
      <w:rFonts w:ascii="Humnst777 Lt BT" w:eastAsia="Times New Roman" w:hAnsi="Humnst777 Lt BT" w:cs="Times New Roman"/>
      <w:sz w:val="22"/>
      <w:szCs w:val="20"/>
      <w:lang w:val="de-DE" w:eastAsia="cs-CZ"/>
    </w:rPr>
  </w:style>
  <w:style w:type="paragraph" w:customStyle="1" w:styleId="Styl5">
    <w:name w:val="Styl5"/>
    <w:basedOn w:val="Normlny"/>
    <w:autoRedefine/>
    <w:uiPriority w:val="99"/>
    <w:rsid w:val="00B24E11"/>
    <w:rPr>
      <w:rFonts w:ascii="Calibri" w:eastAsia="Times New Roman" w:hAnsi="Calibri" w:cs="Arial"/>
      <w:b/>
      <w:bCs/>
      <w:sz w:val="22"/>
      <w:szCs w:val="24"/>
      <w:lang w:eastAsia="cs-CZ"/>
    </w:rPr>
  </w:style>
  <w:style w:type="paragraph" w:customStyle="1" w:styleId="odrkynormln">
    <w:name w:val="odrážky normální"/>
    <w:basedOn w:val="Normlny"/>
    <w:next w:val="Normlny"/>
    <w:uiPriority w:val="99"/>
    <w:rsid w:val="00B24E11"/>
    <w:pPr>
      <w:numPr>
        <w:numId w:val="25"/>
      </w:numPr>
      <w:spacing w:before="60" w:after="60"/>
    </w:pPr>
    <w:rPr>
      <w:rFonts w:ascii="Calibri" w:eastAsia="Times New Roman" w:hAnsi="Calibri" w:cs="Times New Roman"/>
      <w:sz w:val="22"/>
      <w:szCs w:val="20"/>
      <w:lang w:eastAsia="cs-CZ"/>
    </w:rPr>
  </w:style>
  <w:style w:type="paragraph" w:customStyle="1" w:styleId="NormOdst">
    <w:name w:val="NormOdst"/>
    <w:basedOn w:val="Normlny"/>
    <w:uiPriority w:val="99"/>
    <w:rsid w:val="00B24E11"/>
    <w:pPr>
      <w:numPr>
        <w:numId w:val="26"/>
      </w:numPr>
    </w:pPr>
    <w:rPr>
      <w:rFonts w:ascii="Calibri" w:eastAsia="Times New Roman" w:hAnsi="Calibri" w:cs="Arial"/>
      <w:szCs w:val="24"/>
      <w:lang w:eastAsia="cs-CZ"/>
    </w:rPr>
  </w:style>
  <w:style w:type="paragraph" w:customStyle="1" w:styleId="Default">
    <w:name w:val="Default"/>
    <w:rsid w:val="00B24E11"/>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val="cs-CZ" w:eastAsia="cs-CZ"/>
    </w:rPr>
  </w:style>
  <w:style w:type="character" w:customStyle="1" w:styleId="Nadpis4Char1">
    <w:name w:val="Nadpis 4 Char1"/>
    <w:aliases w:val="Fourth level Char1,T4 Char Char,T4 Char1,Nadpis 4 Char Char,Fourth level Char Char,Titul2 Char,Titul21 Char,Titul22 Char,Titul23 Char,Titul24 Char,Titul25 Char,Titul26 Char,Titul211 Char,Titul221 Char,Titul231 Char,Titul27 Char"/>
    <w:uiPriority w:val="9"/>
    <w:rsid w:val="00B24E11"/>
    <w:rPr>
      <w:rFonts w:ascii="Arial" w:hAnsi="Arial"/>
      <w:b/>
      <w:bCs/>
      <w:i/>
      <w:sz w:val="22"/>
      <w:szCs w:val="28"/>
      <w:lang w:eastAsia="ar-SA"/>
    </w:rPr>
  </w:style>
  <w:style w:type="paragraph" w:customStyle="1" w:styleId="Titulek-tabulka">
    <w:name w:val="Titulek - tabulka"/>
    <w:basedOn w:val="Normlny"/>
    <w:autoRedefine/>
    <w:uiPriority w:val="99"/>
    <w:qFormat/>
    <w:rsid w:val="00B24E11"/>
    <w:pPr>
      <w:keepNext/>
      <w:spacing w:before="120"/>
      <w:ind w:left="357" w:hanging="357"/>
      <w:jc w:val="center"/>
    </w:pPr>
    <w:rPr>
      <w:rFonts w:ascii="Calibri" w:eastAsia="Calibri" w:hAnsi="Calibri" w:cs="Tahoma"/>
      <w:i/>
      <w:sz w:val="22"/>
      <w:szCs w:val="20"/>
    </w:rPr>
  </w:style>
  <w:style w:type="paragraph" w:customStyle="1" w:styleId="Vchoz">
    <w:name w:val="Výchozí"/>
    <w:uiPriority w:val="99"/>
    <w:rsid w:val="00B24E11"/>
    <w:pPr>
      <w:tabs>
        <w:tab w:val="left" w:pos="708"/>
      </w:tabs>
      <w:suppressAutoHyphens/>
      <w:spacing w:before="160" w:after="160" w:line="288" w:lineRule="auto"/>
      <w:jc w:val="both"/>
    </w:pPr>
    <w:rPr>
      <w:rFonts w:ascii="Tahoma" w:eastAsia="Times New Roman" w:hAnsi="Tahoma" w:cs="Tahoma"/>
      <w:sz w:val="20"/>
      <w:szCs w:val="24"/>
      <w:lang w:val="cs-CZ" w:eastAsia="zh-CN" w:bidi="hi-IN"/>
    </w:rPr>
  </w:style>
  <w:style w:type="character" w:customStyle="1" w:styleId="Standardnpsmoodstavce2">
    <w:name w:val="Standardní písmo odstavce2"/>
    <w:semiHidden/>
    <w:rsid w:val="00B24E11"/>
  </w:style>
  <w:style w:type="paragraph" w:customStyle="1" w:styleId="STZ">
    <w:name w:val="STZ"/>
    <w:basedOn w:val="Normlny"/>
    <w:link w:val="STZChar"/>
    <w:uiPriority w:val="99"/>
    <w:rsid w:val="00B24E11"/>
    <w:pPr>
      <w:spacing w:before="60" w:line="340" w:lineRule="exact"/>
      <w:ind w:firstLine="284"/>
    </w:pPr>
    <w:rPr>
      <w:rFonts w:ascii="Arial" w:eastAsia="Times New Roman" w:hAnsi="Arial" w:cs="Times New Roman"/>
      <w:sz w:val="22"/>
      <w:szCs w:val="20"/>
      <w:lang w:val="x-none" w:eastAsia="x-none"/>
    </w:rPr>
  </w:style>
  <w:style w:type="character" w:customStyle="1" w:styleId="STZChar">
    <w:name w:val="STZ Char"/>
    <w:link w:val="STZ"/>
    <w:uiPriority w:val="99"/>
    <w:locked/>
    <w:rsid w:val="00B24E11"/>
    <w:rPr>
      <w:rFonts w:ascii="Arial" w:eastAsia="Times New Roman" w:hAnsi="Arial" w:cs="Times New Roman"/>
      <w:szCs w:val="20"/>
      <w:lang w:val="x-none" w:eastAsia="x-none"/>
    </w:rPr>
  </w:style>
  <w:style w:type="paragraph" w:customStyle="1" w:styleId="NormlnNormln1">
    <w:name w:val="Normální.Normální1"/>
    <w:link w:val="NormlnNormln1Char"/>
    <w:uiPriority w:val="99"/>
    <w:rsid w:val="00B24E11"/>
    <w:pPr>
      <w:spacing w:before="120" w:after="60" w:line="240" w:lineRule="auto"/>
      <w:jc w:val="both"/>
    </w:pPr>
    <w:rPr>
      <w:rFonts w:ascii="Times New Roman" w:eastAsia="Times New Roman" w:hAnsi="Times New Roman" w:cs="Times New Roman"/>
      <w:sz w:val="24"/>
      <w:szCs w:val="20"/>
      <w:lang w:eastAsia="sk-SK"/>
    </w:rPr>
  </w:style>
  <w:style w:type="paragraph" w:customStyle="1" w:styleId="Paragraf">
    <w:name w:val="Paragraf"/>
    <w:basedOn w:val="Normlny"/>
    <w:next w:val="Normlny"/>
    <w:uiPriority w:val="99"/>
    <w:rsid w:val="00B24E11"/>
    <w:pPr>
      <w:keepNext/>
      <w:keepLines/>
      <w:spacing w:before="240"/>
      <w:jc w:val="center"/>
      <w:outlineLvl w:val="5"/>
    </w:pPr>
    <w:rPr>
      <w:rFonts w:ascii="Times New Roman" w:eastAsia="Times New Roman" w:hAnsi="Times New Roman" w:cs="Times New Roman"/>
      <w:szCs w:val="20"/>
      <w:lang w:eastAsia="cs-CZ"/>
    </w:rPr>
  </w:style>
  <w:style w:type="paragraph" w:customStyle="1" w:styleId="Textodstavce">
    <w:name w:val="Text odstavce"/>
    <w:basedOn w:val="Normlny"/>
    <w:uiPriority w:val="99"/>
    <w:rsid w:val="00B24E11"/>
    <w:pPr>
      <w:numPr>
        <w:numId w:val="27"/>
      </w:numPr>
      <w:tabs>
        <w:tab w:val="left" w:pos="851"/>
      </w:tabs>
      <w:spacing w:before="120" w:after="120"/>
      <w:outlineLvl w:val="6"/>
    </w:pPr>
    <w:rPr>
      <w:rFonts w:ascii="Times New Roman" w:eastAsia="Times New Roman" w:hAnsi="Times New Roman" w:cs="Times New Roman"/>
      <w:szCs w:val="20"/>
      <w:lang w:eastAsia="cs-CZ"/>
    </w:rPr>
  </w:style>
  <w:style w:type="paragraph" w:customStyle="1" w:styleId="Textbodu">
    <w:name w:val="Text bodu"/>
    <w:basedOn w:val="Normlny"/>
    <w:uiPriority w:val="99"/>
    <w:rsid w:val="00B24E11"/>
    <w:pPr>
      <w:numPr>
        <w:ilvl w:val="2"/>
        <w:numId w:val="27"/>
      </w:numPr>
      <w:spacing w:before="60"/>
      <w:outlineLvl w:val="8"/>
    </w:pPr>
    <w:rPr>
      <w:rFonts w:ascii="Times New Roman" w:eastAsia="Times New Roman" w:hAnsi="Times New Roman" w:cs="Times New Roman"/>
      <w:szCs w:val="20"/>
      <w:lang w:eastAsia="cs-CZ"/>
    </w:rPr>
  </w:style>
  <w:style w:type="paragraph" w:customStyle="1" w:styleId="Textpsmene">
    <w:name w:val="Text písmene"/>
    <w:basedOn w:val="Normlny"/>
    <w:uiPriority w:val="99"/>
    <w:rsid w:val="00B24E11"/>
    <w:pPr>
      <w:numPr>
        <w:ilvl w:val="1"/>
        <w:numId w:val="27"/>
      </w:numPr>
      <w:spacing w:before="60"/>
      <w:outlineLvl w:val="7"/>
    </w:pPr>
    <w:rPr>
      <w:rFonts w:ascii="Times New Roman" w:eastAsia="Times New Roman" w:hAnsi="Times New Roman" w:cs="Times New Roman"/>
      <w:szCs w:val="20"/>
      <w:lang w:eastAsia="cs-CZ"/>
    </w:rPr>
  </w:style>
  <w:style w:type="paragraph" w:customStyle="1" w:styleId="Normlnpalkobar">
    <w:name w:val="_Normální palkobar"/>
    <w:basedOn w:val="Zkladntext"/>
    <w:link w:val="NormlnpalkobarChar"/>
    <w:rsid w:val="00B24E11"/>
    <w:pPr>
      <w:suppressAutoHyphens w:val="0"/>
      <w:overflowPunct w:val="0"/>
      <w:autoSpaceDE w:val="0"/>
      <w:autoSpaceDN w:val="0"/>
      <w:adjustRightInd w:val="0"/>
      <w:spacing w:before="60" w:after="120" w:line="240" w:lineRule="auto"/>
      <w:ind w:firstLine="426"/>
      <w:jc w:val="both"/>
      <w:textAlignment w:val="baseline"/>
    </w:pPr>
    <w:rPr>
      <w:rFonts w:ascii="Calibri" w:hAnsi="Calibri"/>
      <w:b w:val="0"/>
      <w:bCs/>
      <w:sz w:val="22"/>
      <w:szCs w:val="22"/>
      <w:lang w:eastAsia="x-none"/>
    </w:rPr>
  </w:style>
  <w:style w:type="character" w:customStyle="1" w:styleId="NormlnpalkobarChar">
    <w:name w:val="_Normální palkobar Char"/>
    <w:link w:val="Normlnpalkobar"/>
    <w:rsid w:val="00B24E11"/>
    <w:rPr>
      <w:rFonts w:ascii="Calibri" w:eastAsia="Times New Roman" w:hAnsi="Calibri" w:cs="Times New Roman"/>
      <w:bCs/>
      <w:lang w:val="x-none" w:eastAsia="x-none"/>
    </w:rPr>
  </w:style>
  <w:style w:type="paragraph" w:customStyle="1" w:styleId="Tabulky">
    <w:name w:val="Tabulky"/>
    <w:basedOn w:val="Normlny"/>
    <w:link w:val="TabulkyChar"/>
    <w:uiPriority w:val="99"/>
    <w:rsid w:val="00B24E11"/>
    <w:pPr>
      <w:numPr>
        <w:numId w:val="28"/>
      </w:numPr>
      <w:spacing w:before="120"/>
    </w:pPr>
    <w:rPr>
      <w:rFonts w:ascii="Times New Roman" w:eastAsia="Times New Roman" w:hAnsi="Times New Roman" w:cs="Times New Roman"/>
      <w:b/>
      <w:szCs w:val="20"/>
      <w:lang w:val="x-none" w:eastAsia="x-none"/>
    </w:rPr>
  </w:style>
  <w:style w:type="character" w:customStyle="1" w:styleId="TabulkyChar">
    <w:name w:val="Tabulky Char"/>
    <w:link w:val="Tabulky"/>
    <w:uiPriority w:val="99"/>
    <w:rsid w:val="00B24E11"/>
    <w:rPr>
      <w:rFonts w:ascii="Times New Roman" w:eastAsia="Times New Roman" w:hAnsi="Times New Roman" w:cs="Times New Roman"/>
      <w:b/>
      <w:sz w:val="24"/>
      <w:szCs w:val="20"/>
      <w:lang w:val="x-none" w:eastAsia="x-none"/>
    </w:rPr>
  </w:style>
  <w:style w:type="character" w:customStyle="1" w:styleId="NormlnNormln1Char">
    <w:name w:val="Normální.Normální1 Char"/>
    <w:link w:val="NormlnNormln1"/>
    <w:uiPriority w:val="99"/>
    <w:locked/>
    <w:rsid w:val="00B24E11"/>
    <w:rPr>
      <w:rFonts w:ascii="Times New Roman" w:eastAsia="Times New Roman" w:hAnsi="Times New Roman" w:cs="Times New Roman"/>
      <w:sz w:val="24"/>
      <w:szCs w:val="20"/>
      <w:lang w:eastAsia="sk-SK"/>
    </w:rPr>
  </w:style>
  <w:style w:type="paragraph" w:customStyle="1" w:styleId="Nzevobrzku">
    <w:name w:val="Název obrázku"/>
    <w:basedOn w:val="Normlny"/>
    <w:next w:val="Normlny"/>
    <w:uiPriority w:val="99"/>
    <w:rsid w:val="00B24E11"/>
    <w:pPr>
      <w:numPr>
        <w:numId w:val="29"/>
      </w:numPr>
      <w:tabs>
        <w:tab w:val="left" w:pos="1474"/>
      </w:tabs>
      <w:spacing w:before="100" w:after="140" w:line="288" w:lineRule="auto"/>
    </w:pPr>
    <w:rPr>
      <w:rFonts w:ascii="Calibri" w:eastAsia="Times New Roman" w:hAnsi="Calibri" w:cs="Times New Roman"/>
      <w:i/>
      <w:sz w:val="22"/>
      <w:lang w:eastAsia="cs-CZ"/>
    </w:rPr>
  </w:style>
  <w:style w:type="character" w:styleId="Odkaznakomentr">
    <w:name w:val="annotation reference"/>
    <w:uiPriority w:val="99"/>
    <w:semiHidden/>
    <w:unhideWhenUsed/>
    <w:qFormat/>
    <w:rsid w:val="00B24E11"/>
    <w:rPr>
      <w:sz w:val="16"/>
      <w:szCs w:val="16"/>
    </w:rPr>
  </w:style>
  <w:style w:type="paragraph" w:styleId="Textkomentra">
    <w:name w:val="annotation text"/>
    <w:basedOn w:val="Normlny"/>
    <w:link w:val="TextkomentraChar"/>
    <w:uiPriority w:val="99"/>
    <w:unhideWhenUsed/>
    <w:qFormat/>
    <w:rsid w:val="00B24E11"/>
    <w:pPr>
      <w:suppressAutoHyphens/>
      <w:spacing w:before="120" w:after="120" w:line="288" w:lineRule="auto"/>
    </w:pPr>
    <w:rPr>
      <w:rFonts w:ascii="Arial" w:eastAsia="Times New Roman" w:hAnsi="Arial" w:cs="Times New Roman"/>
      <w:sz w:val="20"/>
      <w:szCs w:val="20"/>
      <w:lang w:val="x-none" w:eastAsia="ar-SA"/>
    </w:rPr>
  </w:style>
  <w:style w:type="character" w:customStyle="1" w:styleId="TextkomentraChar">
    <w:name w:val="Text komentára Char"/>
    <w:basedOn w:val="Predvolenpsmoodseku"/>
    <w:link w:val="Textkomentra"/>
    <w:uiPriority w:val="99"/>
    <w:qFormat/>
    <w:rsid w:val="00B24E11"/>
    <w:rPr>
      <w:rFonts w:ascii="Arial" w:eastAsia="Times New Roman" w:hAnsi="Arial" w:cs="Times New Roman"/>
      <w:sz w:val="20"/>
      <w:szCs w:val="20"/>
      <w:lang w:val="x-none" w:eastAsia="ar-SA"/>
    </w:rPr>
  </w:style>
  <w:style w:type="paragraph" w:styleId="Predmetkomentra">
    <w:name w:val="annotation subject"/>
    <w:basedOn w:val="Textkomentra"/>
    <w:next w:val="Textkomentra"/>
    <w:link w:val="PredmetkomentraChar"/>
    <w:uiPriority w:val="99"/>
    <w:semiHidden/>
    <w:unhideWhenUsed/>
    <w:qFormat/>
    <w:rsid w:val="00B24E11"/>
    <w:rPr>
      <w:b/>
      <w:bCs/>
    </w:rPr>
  </w:style>
  <w:style w:type="character" w:customStyle="1" w:styleId="PredmetkomentraChar">
    <w:name w:val="Predmet komentára Char"/>
    <w:basedOn w:val="TextkomentraChar"/>
    <w:link w:val="Predmetkomentra"/>
    <w:uiPriority w:val="99"/>
    <w:semiHidden/>
    <w:qFormat/>
    <w:rsid w:val="00B24E11"/>
    <w:rPr>
      <w:rFonts w:ascii="Arial" w:eastAsia="Times New Roman" w:hAnsi="Arial" w:cs="Times New Roman"/>
      <w:b/>
      <w:bCs/>
      <w:sz w:val="20"/>
      <w:szCs w:val="20"/>
      <w:lang w:val="x-none" w:eastAsia="ar-SA"/>
    </w:rPr>
  </w:style>
  <w:style w:type="paragraph" w:styleId="Dtum">
    <w:name w:val="Date"/>
    <w:basedOn w:val="Normlny"/>
    <w:next w:val="Normlny"/>
    <w:link w:val="DtumChar"/>
    <w:uiPriority w:val="99"/>
    <w:rsid w:val="00B24E11"/>
    <w:pPr>
      <w:spacing w:after="160" w:line="200" w:lineRule="atLeast"/>
      <w:jc w:val="left"/>
    </w:pPr>
    <w:rPr>
      <w:rFonts w:ascii="Verdana" w:eastAsia="Georgia" w:hAnsi="Verdana" w:cs="Times New Roman"/>
      <w:sz w:val="12"/>
      <w:szCs w:val="18"/>
      <w:lang w:val="en-GB"/>
    </w:rPr>
  </w:style>
  <w:style w:type="character" w:customStyle="1" w:styleId="DtumChar">
    <w:name w:val="Dátum Char"/>
    <w:basedOn w:val="Predvolenpsmoodseku"/>
    <w:link w:val="Dtum"/>
    <w:uiPriority w:val="99"/>
    <w:rsid w:val="00B24E11"/>
    <w:rPr>
      <w:rFonts w:ascii="Verdana" w:eastAsia="Georgia" w:hAnsi="Verdana" w:cs="Times New Roman"/>
      <w:sz w:val="12"/>
      <w:szCs w:val="18"/>
      <w:lang w:val="en-GB"/>
    </w:rPr>
  </w:style>
  <w:style w:type="paragraph" w:styleId="Zoznamsodrkami2">
    <w:name w:val="List Bullet 2"/>
    <w:basedOn w:val="Normlny"/>
    <w:uiPriority w:val="7"/>
    <w:rsid w:val="00B24E11"/>
    <w:pPr>
      <w:spacing w:after="60" w:line="288" w:lineRule="auto"/>
      <w:ind w:left="1440" w:hanging="363"/>
      <w:jc w:val="left"/>
    </w:pPr>
    <w:rPr>
      <w:rFonts w:ascii="Georgia" w:eastAsia="Georgia" w:hAnsi="Georgia" w:cs="Times New Roman"/>
      <w:sz w:val="18"/>
      <w:szCs w:val="18"/>
      <w:lang w:val="en-GB"/>
    </w:rPr>
  </w:style>
  <w:style w:type="paragraph" w:styleId="Zoznamsodrkami3">
    <w:name w:val="List Bullet 3"/>
    <w:basedOn w:val="Normlny"/>
    <w:uiPriority w:val="7"/>
    <w:rsid w:val="00B24E11"/>
    <w:pPr>
      <w:spacing w:after="40" w:line="288" w:lineRule="auto"/>
      <w:ind w:left="2160" w:hanging="363"/>
      <w:jc w:val="left"/>
    </w:pPr>
    <w:rPr>
      <w:rFonts w:ascii="Georgia" w:eastAsia="Georgia" w:hAnsi="Georgia" w:cs="Times New Roman"/>
      <w:sz w:val="18"/>
      <w:szCs w:val="18"/>
      <w:lang w:val="en-GB"/>
    </w:rPr>
  </w:style>
  <w:style w:type="paragraph" w:styleId="slovanzoznam">
    <w:name w:val="List Number"/>
    <w:basedOn w:val="Normlny"/>
    <w:uiPriority w:val="7"/>
    <w:rsid w:val="00B24E11"/>
    <w:pPr>
      <w:numPr>
        <w:numId w:val="30"/>
      </w:numPr>
      <w:spacing w:after="80" w:line="288" w:lineRule="auto"/>
      <w:jc w:val="left"/>
    </w:pPr>
    <w:rPr>
      <w:rFonts w:ascii="Georgia" w:eastAsia="Georgia" w:hAnsi="Georgia" w:cs="Times New Roman"/>
      <w:sz w:val="18"/>
      <w:szCs w:val="18"/>
      <w:lang w:val="en-GB"/>
    </w:rPr>
  </w:style>
  <w:style w:type="paragraph" w:styleId="slovanzoznam2">
    <w:name w:val="List Number 2"/>
    <w:basedOn w:val="Normlny"/>
    <w:uiPriority w:val="7"/>
    <w:rsid w:val="00B24E11"/>
    <w:pPr>
      <w:numPr>
        <w:ilvl w:val="1"/>
        <w:numId w:val="30"/>
      </w:numPr>
      <w:spacing w:after="60" w:line="288" w:lineRule="auto"/>
      <w:jc w:val="left"/>
    </w:pPr>
    <w:rPr>
      <w:rFonts w:ascii="Georgia" w:eastAsia="Georgia" w:hAnsi="Georgia" w:cs="Times New Roman"/>
      <w:sz w:val="18"/>
      <w:szCs w:val="18"/>
      <w:lang w:val="en-GB"/>
    </w:rPr>
  </w:style>
  <w:style w:type="paragraph" w:styleId="slovanzoznam3">
    <w:name w:val="List Number 3"/>
    <w:basedOn w:val="Normlny"/>
    <w:uiPriority w:val="7"/>
    <w:rsid w:val="00B24E11"/>
    <w:pPr>
      <w:numPr>
        <w:ilvl w:val="2"/>
        <w:numId w:val="30"/>
      </w:numPr>
      <w:spacing w:after="40" w:line="288" w:lineRule="auto"/>
      <w:jc w:val="left"/>
    </w:pPr>
    <w:rPr>
      <w:rFonts w:ascii="Georgia" w:eastAsia="Georgia" w:hAnsi="Georgia" w:cs="Times New Roman"/>
      <w:sz w:val="18"/>
      <w:szCs w:val="18"/>
      <w:lang w:val="en-GB"/>
    </w:rPr>
  </w:style>
  <w:style w:type="paragraph" w:customStyle="1" w:styleId="Subject">
    <w:name w:val="Subject"/>
    <w:basedOn w:val="Normlny"/>
    <w:next w:val="Normlny"/>
    <w:uiPriority w:val="99"/>
    <w:rsid w:val="00B24E11"/>
    <w:pPr>
      <w:spacing w:before="240" w:after="240"/>
      <w:jc w:val="left"/>
    </w:pPr>
    <w:rPr>
      <w:rFonts w:ascii="Verdana" w:eastAsia="Arial" w:hAnsi="Verdana" w:cs="Arial"/>
      <w:sz w:val="32"/>
      <w:szCs w:val="13"/>
      <w:lang w:val="en-GB" w:eastAsia="sv-SE"/>
    </w:rPr>
  </w:style>
  <w:style w:type="paragraph" w:customStyle="1" w:styleId="Title1">
    <w:name w:val="Title 1"/>
    <w:basedOn w:val="Nadpis1"/>
    <w:next w:val="Normlny"/>
    <w:link w:val="Title1Char"/>
    <w:uiPriority w:val="9"/>
    <w:rsid w:val="00B24E11"/>
    <w:pPr>
      <w:spacing w:before="240" w:after="80"/>
      <w:jc w:val="left"/>
    </w:pPr>
    <w:rPr>
      <w:rFonts w:ascii="Verdana" w:eastAsia="Times New Roman" w:hAnsi="Verdana" w:cs="Times New Roman"/>
      <w:b w:val="0"/>
      <w:bCs w:val="0"/>
      <w:caps/>
      <w:color w:val="auto"/>
      <w:szCs w:val="32"/>
      <w:lang w:val="en-GB"/>
    </w:rPr>
  </w:style>
  <w:style w:type="paragraph" w:customStyle="1" w:styleId="Title2">
    <w:name w:val="Title 2"/>
    <w:basedOn w:val="Nadpis2"/>
    <w:next w:val="Normlny"/>
    <w:link w:val="Title2Char"/>
    <w:uiPriority w:val="9"/>
    <w:rsid w:val="00B24E11"/>
    <w:pPr>
      <w:keepNext w:val="0"/>
      <w:spacing w:before="240" w:after="80"/>
      <w:jc w:val="left"/>
    </w:pPr>
    <w:rPr>
      <w:rFonts w:ascii="Verdana" w:eastAsia="Times New Roman" w:hAnsi="Verdana" w:cs="Calibri"/>
      <w:iCs/>
      <w:color w:val="auto"/>
      <w:sz w:val="24"/>
      <w:u w:val="single"/>
      <w:lang w:val="en-GB"/>
    </w:rPr>
  </w:style>
  <w:style w:type="paragraph" w:customStyle="1" w:styleId="Title3">
    <w:name w:val="Title 3"/>
    <w:basedOn w:val="Nadpis3"/>
    <w:next w:val="Normlny"/>
    <w:link w:val="Title3Char"/>
    <w:uiPriority w:val="9"/>
    <w:rsid w:val="00B24E11"/>
    <w:pPr>
      <w:spacing w:before="240" w:after="80"/>
      <w:jc w:val="left"/>
    </w:pPr>
    <w:rPr>
      <w:rFonts w:ascii="Verdana" w:eastAsia="Times New Roman" w:hAnsi="Verdana" w:cs="Times New Roman"/>
      <w:b w:val="0"/>
      <w:bCs w:val="0"/>
      <w:i/>
      <w:color w:val="000000"/>
      <w:sz w:val="20"/>
      <w:szCs w:val="24"/>
      <w:lang w:val="en-GB"/>
    </w:rPr>
  </w:style>
  <w:style w:type="paragraph" w:customStyle="1" w:styleId="DocumentName">
    <w:name w:val="DocumentName"/>
    <w:next w:val="Normlny"/>
    <w:uiPriority w:val="8"/>
    <w:rsid w:val="00B24E11"/>
    <w:pPr>
      <w:spacing w:after="0" w:line="288" w:lineRule="auto"/>
    </w:pPr>
    <w:rPr>
      <w:rFonts w:ascii="Verdana" w:eastAsia="Georgia" w:hAnsi="Verdana" w:cs="Times New Roman"/>
      <w:caps/>
      <w:sz w:val="36"/>
      <w:szCs w:val="40"/>
      <w:lang w:val="en-GB"/>
    </w:rPr>
  </w:style>
  <w:style w:type="paragraph" w:styleId="Hlavikaobsahu">
    <w:name w:val="TOC Heading"/>
    <w:basedOn w:val="Nadpis1"/>
    <w:next w:val="Normlny"/>
    <w:uiPriority w:val="39"/>
    <w:unhideWhenUsed/>
    <w:qFormat/>
    <w:rsid w:val="00B24E11"/>
    <w:pPr>
      <w:keepNext w:val="0"/>
      <w:keepLines w:val="0"/>
      <w:spacing w:before="240" w:after="0" w:line="288" w:lineRule="auto"/>
      <w:jc w:val="left"/>
      <w:outlineLvl w:val="9"/>
    </w:pPr>
    <w:rPr>
      <w:rFonts w:ascii="Verdana" w:eastAsia="Times New Roman" w:hAnsi="Verdana" w:cs="Times New Roman"/>
      <w:b w:val="0"/>
      <w:bCs w:val="0"/>
      <w:caps/>
      <w:color w:val="auto"/>
      <w:sz w:val="24"/>
      <w:szCs w:val="32"/>
      <w:lang w:val="en-GB"/>
    </w:rPr>
  </w:style>
  <w:style w:type="paragraph" w:customStyle="1" w:styleId="Label">
    <w:name w:val="Label"/>
    <w:basedOn w:val="Normlny"/>
    <w:next w:val="Normlny"/>
    <w:uiPriority w:val="8"/>
    <w:rsid w:val="00B24E11"/>
    <w:pPr>
      <w:spacing w:line="200" w:lineRule="atLeast"/>
      <w:jc w:val="left"/>
    </w:pPr>
    <w:rPr>
      <w:rFonts w:ascii="Verdana" w:eastAsia="Arial" w:hAnsi="Verdana" w:cs="Mangal"/>
      <w:sz w:val="12"/>
      <w:szCs w:val="18"/>
      <w:lang w:val="en-GB" w:eastAsia="sv-SE"/>
    </w:rPr>
  </w:style>
  <w:style w:type="character" w:customStyle="1" w:styleId="VERSALER">
    <w:name w:val="VERSALER"/>
    <w:uiPriority w:val="99"/>
    <w:semiHidden/>
    <w:rsid w:val="00B24E11"/>
    <w:rPr>
      <w:caps/>
    </w:rPr>
  </w:style>
  <w:style w:type="paragraph" w:styleId="Bezriadkovania">
    <w:name w:val="No Spacing"/>
    <w:aliases w:val="Tabuľka text"/>
    <w:link w:val="BezriadkovaniaChar"/>
    <w:uiPriority w:val="1"/>
    <w:qFormat/>
    <w:rsid w:val="00B24E11"/>
    <w:pPr>
      <w:spacing w:after="0" w:line="288" w:lineRule="auto"/>
    </w:pPr>
    <w:rPr>
      <w:rFonts w:ascii="Georgia" w:eastAsia="Georgia" w:hAnsi="Georgia" w:cs="Times New Roman"/>
      <w:sz w:val="18"/>
      <w:szCs w:val="18"/>
      <w:lang w:val="en-GB"/>
    </w:rPr>
  </w:style>
  <w:style w:type="paragraph" w:styleId="Adresanaoblke">
    <w:name w:val="envelope address"/>
    <w:basedOn w:val="Normlny"/>
    <w:uiPriority w:val="8"/>
    <w:rsid w:val="00B24E11"/>
    <w:pPr>
      <w:spacing w:line="288" w:lineRule="auto"/>
      <w:jc w:val="left"/>
    </w:pPr>
    <w:rPr>
      <w:rFonts w:ascii="Verdana" w:eastAsia="Georgia" w:hAnsi="Verdana" w:cs="Times New Roman"/>
      <w:sz w:val="18"/>
      <w:szCs w:val="18"/>
      <w:lang w:val="en-GB"/>
    </w:rPr>
  </w:style>
  <w:style w:type="paragraph" w:customStyle="1" w:styleId="FLetterpage1">
    <w:name w:val="ÅF Letter (page 1)"/>
    <w:uiPriority w:val="99"/>
    <w:semiHidden/>
    <w:rsid w:val="00B24E11"/>
    <w:pPr>
      <w:spacing w:after="0" w:line="240" w:lineRule="auto"/>
    </w:pPr>
    <w:rPr>
      <w:rFonts w:ascii="Times New Roman" w:eastAsia="Times New Roman" w:hAnsi="Times New Roman" w:cs="Times New Roman"/>
      <w:sz w:val="24"/>
      <w:szCs w:val="24"/>
      <w:lang w:val="sv-SE" w:eastAsia="sv-SE"/>
    </w:rPr>
  </w:style>
  <w:style w:type="paragraph" w:customStyle="1" w:styleId="Title4">
    <w:name w:val="Title 4"/>
    <w:basedOn w:val="Nadpis4"/>
    <w:next w:val="Normlny"/>
    <w:uiPriority w:val="9"/>
    <w:qFormat/>
    <w:rsid w:val="00B24E11"/>
    <w:pPr>
      <w:numPr>
        <w:ilvl w:val="3"/>
      </w:numPr>
      <w:spacing w:after="80"/>
      <w:ind w:left="864" w:hanging="864"/>
      <w:jc w:val="left"/>
    </w:pPr>
    <w:rPr>
      <w:rFonts w:ascii="Verdana" w:eastAsia="Times New Roman" w:hAnsi="Verdana" w:cs="Times New Roman"/>
      <w:b w:val="0"/>
      <w:bCs w:val="0"/>
      <w:i w:val="0"/>
      <w:sz w:val="18"/>
      <w:szCs w:val="18"/>
      <w:lang w:val="en-GB"/>
    </w:rPr>
  </w:style>
  <w:style w:type="paragraph" w:customStyle="1" w:styleId="Hidden">
    <w:name w:val="Hidden"/>
    <w:basedOn w:val="Normlny"/>
    <w:uiPriority w:val="19"/>
    <w:rsid w:val="00B24E11"/>
    <w:pPr>
      <w:spacing w:after="160" w:line="288" w:lineRule="auto"/>
      <w:jc w:val="left"/>
    </w:pPr>
    <w:rPr>
      <w:rFonts w:ascii="Georgia" w:eastAsia="Georgia" w:hAnsi="Georgia" w:cs="Times New Roman"/>
      <w:vanish/>
      <w:sz w:val="18"/>
      <w:szCs w:val="18"/>
      <w:lang w:val="en-GB"/>
    </w:rPr>
  </w:style>
  <w:style w:type="character" w:styleId="Zstupntext">
    <w:name w:val="Placeholder Text"/>
    <w:uiPriority w:val="99"/>
    <w:rsid w:val="00B24E11"/>
    <w:rPr>
      <w:color w:val="auto"/>
    </w:rPr>
  </w:style>
  <w:style w:type="character" w:customStyle="1" w:styleId="Title1Char">
    <w:name w:val="Title 1 Char"/>
    <w:link w:val="Title1"/>
    <w:uiPriority w:val="9"/>
    <w:rsid w:val="00B24E11"/>
    <w:rPr>
      <w:rFonts w:ascii="Verdana" w:eastAsia="Times New Roman" w:hAnsi="Verdana" w:cs="Times New Roman"/>
      <w:caps/>
      <w:sz w:val="28"/>
      <w:szCs w:val="32"/>
      <w:lang w:val="en-GB"/>
    </w:rPr>
  </w:style>
  <w:style w:type="character" w:customStyle="1" w:styleId="Title2Char">
    <w:name w:val="Title 2 Char"/>
    <w:link w:val="Title2"/>
    <w:uiPriority w:val="9"/>
    <w:rsid w:val="00B24E11"/>
    <w:rPr>
      <w:rFonts w:ascii="Verdana" w:eastAsia="Times New Roman" w:hAnsi="Verdana" w:cs="Calibri"/>
      <w:b/>
      <w:bCs/>
      <w:iCs/>
      <w:sz w:val="24"/>
      <w:szCs w:val="26"/>
      <w:u w:val="single"/>
      <w:lang w:val="en-GB"/>
    </w:rPr>
  </w:style>
  <w:style w:type="character" w:customStyle="1" w:styleId="Title3Char">
    <w:name w:val="Title 3 Char"/>
    <w:link w:val="Title3"/>
    <w:uiPriority w:val="9"/>
    <w:rsid w:val="00B24E11"/>
    <w:rPr>
      <w:rFonts w:ascii="Verdana" w:eastAsia="Times New Roman" w:hAnsi="Verdana" w:cs="Times New Roman"/>
      <w:i/>
      <w:color w:val="000000"/>
      <w:sz w:val="20"/>
      <w:szCs w:val="24"/>
      <w:lang w:val="en-GB"/>
    </w:rPr>
  </w:style>
  <w:style w:type="table" w:customStyle="1" w:styleId="Mriekatabukysvetl1">
    <w:name w:val="Mriežka tabuľky – svetlá1"/>
    <w:basedOn w:val="Normlnatabuka"/>
    <w:uiPriority w:val="40"/>
    <w:rsid w:val="00B24E11"/>
    <w:pPr>
      <w:spacing w:after="0" w:line="240" w:lineRule="auto"/>
    </w:pPr>
    <w:rPr>
      <w:rFonts w:ascii="Georgia" w:eastAsia="Georgia" w:hAnsi="Georgia" w:cs="Times New Roman"/>
      <w:sz w:val="20"/>
      <w:szCs w:val="20"/>
      <w:lang w:eastAsia="sk-SK"/>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FTablestyle">
    <w:name w:val="ÅF Table style"/>
    <w:basedOn w:val="Normlnatabuka"/>
    <w:uiPriority w:val="99"/>
    <w:rsid w:val="00B24E11"/>
    <w:pPr>
      <w:spacing w:before="40" w:after="40" w:line="240" w:lineRule="auto"/>
    </w:pPr>
    <w:rPr>
      <w:rFonts w:ascii="Georgia" w:eastAsia="Georgia" w:hAnsi="Georgia" w:cs="Times New Roman"/>
      <w:sz w:val="20"/>
      <w:szCs w:val="20"/>
      <w:lang w:eastAsia="sk-SK"/>
    </w:rPr>
    <w:tblP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Pr>
  </w:style>
  <w:style w:type="paragraph" w:customStyle="1" w:styleId="TOCEnclosures">
    <w:name w:val="TOC Enclosures"/>
    <w:basedOn w:val="Bezriadkovania"/>
    <w:uiPriority w:val="39"/>
    <w:rsid w:val="00B24E11"/>
    <w:pPr>
      <w:tabs>
        <w:tab w:val="right" w:leader="dot" w:pos="7938"/>
      </w:tabs>
      <w:spacing w:after="60"/>
    </w:pPr>
    <w:rPr>
      <w:rFonts w:ascii="Verdana" w:hAnsi="Verdana"/>
    </w:rPr>
  </w:style>
  <w:style w:type="paragraph" w:customStyle="1" w:styleId="Tableheading">
    <w:name w:val="Table heading"/>
    <w:basedOn w:val="Normlny"/>
    <w:uiPriority w:val="19"/>
    <w:rsid w:val="00B24E11"/>
    <w:pPr>
      <w:spacing w:before="40" w:after="40" w:line="288" w:lineRule="auto"/>
      <w:jc w:val="left"/>
    </w:pPr>
    <w:rPr>
      <w:rFonts w:ascii="Verdana" w:eastAsia="Georgia" w:hAnsi="Verdana" w:cs="Times New Roman"/>
      <w:sz w:val="18"/>
      <w:szCs w:val="18"/>
      <w:lang w:val="en-GB"/>
    </w:rPr>
  </w:style>
  <w:style w:type="paragraph" w:customStyle="1" w:styleId="Normln1">
    <w:name w:val="Normální 1"/>
    <w:basedOn w:val="Normlny"/>
    <w:uiPriority w:val="99"/>
    <w:rsid w:val="00B24E11"/>
    <w:pPr>
      <w:spacing w:before="120" w:line="288" w:lineRule="auto"/>
      <w:ind w:firstLine="454"/>
    </w:pPr>
    <w:rPr>
      <w:rFonts w:ascii="Calibri" w:eastAsia="Times New Roman" w:hAnsi="Calibri" w:cs="Arial"/>
      <w:sz w:val="22"/>
      <w:lang w:eastAsia="cs-CZ"/>
    </w:rPr>
  </w:style>
  <w:style w:type="paragraph" w:customStyle="1" w:styleId="Odraky1">
    <w:name w:val="Odražky 1"/>
    <w:basedOn w:val="Normlny"/>
    <w:uiPriority w:val="99"/>
    <w:rsid w:val="00B24E11"/>
    <w:pPr>
      <w:numPr>
        <w:ilvl w:val="1"/>
        <w:numId w:val="28"/>
      </w:numPr>
      <w:tabs>
        <w:tab w:val="num" w:pos="1440"/>
      </w:tabs>
      <w:spacing w:before="120" w:line="288" w:lineRule="auto"/>
      <w:ind w:left="1420" w:hanging="340"/>
      <w:jc w:val="left"/>
    </w:pPr>
    <w:rPr>
      <w:rFonts w:ascii="Calibri" w:eastAsia="Times New Roman" w:hAnsi="Calibri" w:cs="Arial"/>
      <w:sz w:val="22"/>
      <w:lang w:eastAsia="cs-CZ"/>
    </w:rPr>
  </w:style>
  <w:style w:type="character" w:styleId="Zvraznenie">
    <w:name w:val="Emphasis"/>
    <w:uiPriority w:val="20"/>
    <w:qFormat/>
    <w:rsid w:val="00B24E11"/>
    <w:rPr>
      <w:rFonts w:ascii="Times New Roman" w:hAnsi="Times New Roman" w:cs="Times New Roman"/>
      <w:i/>
      <w:iCs/>
    </w:rPr>
  </w:style>
  <w:style w:type="paragraph" w:customStyle="1" w:styleId="Normln">
    <w:name w:val="Norm‡ln’"/>
    <w:link w:val="NormlnChar"/>
    <w:rsid w:val="00B24E11"/>
    <w:pPr>
      <w:spacing w:after="0" w:line="240" w:lineRule="auto"/>
    </w:pPr>
    <w:rPr>
      <w:rFonts w:ascii="Times New Roman" w:eastAsia="Times New Roman" w:hAnsi="Times New Roman" w:cs="Times New Roman"/>
      <w:sz w:val="20"/>
      <w:szCs w:val="20"/>
      <w:lang w:val="cs-CZ" w:eastAsia="cs-CZ"/>
    </w:rPr>
  </w:style>
  <w:style w:type="character" w:customStyle="1" w:styleId="NormlnChar">
    <w:name w:val="Norm‡ln’ Char"/>
    <w:link w:val="Normln"/>
    <w:rsid w:val="00B24E11"/>
    <w:rPr>
      <w:rFonts w:ascii="Times New Roman" w:eastAsia="Times New Roman" w:hAnsi="Times New Roman" w:cs="Times New Roman"/>
      <w:sz w:val="20"/>
      <w:szCs w:val="20"/>
      <w:lang w:val="cs-CZ" w:eastAsia="cs-CZ"/>
    </w:rPr>
  </w:style>
  <w:style w:type="paragraph" w:customStyle="1" w:styleId="StylNadpis2Modr1">
    <w:name w:val="Styl Nadpis 2 + Modrá1"/>
    <w:basedOn w:val="Nadpis2"/>
    <w:uiPriority w:val="99"/>
    <w:rsid w:val="00B24E11"/>
    <w:pPr>
      <w:keepNext w:val="0"/>
      <w:keepLines w:val="0"/>
      <w:numPr>
        <w:ilvl w:val="1"/>
        <w:numId w:val="36"/>
      </w:numPr>
      <w:tabs>
        <w:tab w:val="clear" w:pos="577"/>
        <w:tab w:val="num" w:pos="361"/>
      </w:tabs>
      <w:autoSpaceDE w:val="0"/>
      <w:autoSpaceDN w:val="0"/>
      <w:spacing w:before="240" w:after="120" w:line="300" w:lineRule="atLeast"/>
      <w:ind w:left="361" w:hanging="360"/>
    </w:pPr>
    <w:rPr>
      <w:rFonts w:ascii="Times New Roman" w:eastAsia="Times New Roman" w:hAnsi="Times New Roman" w:cs="Calibri"/>
      <w:b w:val="0"/>
      <w:bCs w:val="0"/>
      <w:i/>
      <w:color w:val="0000FF"/>
      <w:sz w:val="24"/>
      <w:szCs w:val="24"/>
      <w:u w:val="single"/>
      <w:lang w:val="cs-CZ" w:eastAsia="cs-CZ"/>
    </w:rPr>
  </w:style>
  <w:style w:type="paragraph" w:customStyle="1" w:styleId="odrka">
    <w:name w:val="odrážka"/>
    <w:basedOn w:val="Normlny"/>
    <w:uiPriority w:val="99"/>
    <w:rsid w:val="00B24E11"/>
    <w:pPr>
      <w:numPr>
        <w:numId w:val="31"/>
      </w:numPr>
      <w:tabs>
        <w:tab w:val="left" w:pos="340"/>
      </w:tabs>
      <w:suppressAutoHyphens/>
      <w:spacing w:before="60"/>
    </w:pPr>
    <w:rPr>
      <w:rFonts w:ascii="Calibri" w:eastAsia="Times New Roman" w:hAnsi="Calibri" w:cs="Times New Roman"/>
      <w:sz w:val="22"/>
      <w:szCs w:val="20"/>
      <w:lang w:eastAsia="cs-CZ"/>
    </w:rPr>
  </w:style>
  <w:style w:type="character" w:customStyle="1" w:styleId="BezriadkovaniaChar">
    <w:name w:val="Bez riadkovania Char"/>
    <w:aliases w:val="Tabuľka text Char"/>
    <w:link w:val="Bezriadkovania"/>
    <w:uiPriority w:val="1"/>
    <w:locked/>
    <w:rsid w:val="00B24E11"/>
    <w:rPr>
      <w:rFonts w:ascii="Georgia" w:eastAsia="Georgia" w:hAnsi="Georgia" w:cs="Times New Roman"/>
      <w:sz w:val="18"/>
      <w:szCs w:val="18"/>
      <w:lang w:val="en-GB"/>
    </w:rPr>
  </w:style>
  <w:style w:type="paragraph" w:styleId="Obyajntext">
    <w:name w:val="Plain Text"/>
    <w:basedOn w:val="Normlny"/>
    <w:link w:val="ObyajntextChar"/>
    <w:autoRedefine/>
    <w:uiPriority w:val="99"/>
    <w:unhideWhenUsed/>
    <w:rsid w:val="00B24E11"/>
    <w:pPr>
      <w:spacing w:before="120" w:after="120"/>
      <w:jc w:val="left"/>
    </w:pPr>
    <w:rPr>
      <w:rFonts w:ascii="Arial" w:eastAsia="Times New Roman" w:hAnsi="Arial" w:cs="Times New Roman"/>
      <w:b/>
      <w:sz w:val="18"/>
      <w:szCs w:val="20"/>
      <w:lang w:val="x-none" w:eastAsia="x-none"/>
    </w:rPr>
  </w:style>
  <w:style w:type="character" w:customStyle="1" w:styleId="ObyajntextChar">
    <w:name w:val="Obyčajný text Char"/>
    <w:basedOn w:val="Predvolenpsmoodseku"/>
    <w:link w:val="Obyajntext"/>
    <w:uiPriority w:val="99"/>
    <w:rsid w:val="00B24E11"/>
    <w:rPr>
      <w:rFonts w:ascii="Arial" w:eastAsia="Times New Roman" w:hAnsi="Arial" w:cs="Times New Roman"/>
      <w:b/>
      <w:sz w:val="18"/>
      <w:szCs w:val="20"/>
      <w:lang w:val="x-none" w:eastAsia="x-none"/>
    </w:rPr>
  </w:style>
  <w:style w:type="paragraph" w:customStyle="1" w:styleId="StylVpravo05cm">
    <w:name w:val="Styl Vpravo:  05 cm"/>
    <w:basedOn w:val="Normlny"/>
    <w:autoRedefine/>
    <w:uiPriority w:val="99"/>
    <w:rsid w:val="00B24E11"/>
    <w:pPr>
      <w:suppressAutoHyphens/>
      <w:spacing w:line="288" w:lineRule="auto"/>
      <w:ind w:right="-3"/>
    </w:pPr>
    <w:rPr>
      <w:rFonts w:ascii="Tahoma" w:eastAsia="Times New Roman" w:hAnsi="Tahoma" w:cs="Times New Roman"/>
      <w:sz w:val="18"/>
      <w:szCs w:val="20"/>
      <w:lang w:eastAsia="ar-SA"/>
    </w:rPr>
  </w:style>
  <w:style w:type="paragraph" w:customStyle="1" w:styleId="Zkladntext210">
    <w:name w:val="Základní text 21"/>
    <w:basedOn w:val="Normlny"/>
    <w:uiPriority w:val="99"/>
    <w:rsid w:val="00B24E11"/>
    <w:pPr>
      <w:widowControl w:val="0"/>
      <w:suppressAutoHyphens/>
      <w:spacing w:line="288" w:lineRule="auto"/>
    </w:pPr>
    <w:rPr>
      <w:rFonts w:ascii="Calibri" w:eastAsia="Times New Roman" w:hAnsi="Calibri" w:cs="Times New Roman"/>
      <w:sz w:val="22"/>
      <w:szCs w:val="20"/>
      <w:lang w:eastAsia="ar-SA"/>
    </w:rPr>
  </w:style>
  <w:style w:type="paragraph" w:customStyle="1" w:styleId="Nzevtabulky">
    <w:name w:val="Název tabulky"/>
    <w:basedOn w:val="Normlny"/>
    <w:next w:val="Normlny"/>
    <w:uiPriority w:val="99"/>
    <w:rsid w:val="00B24E11"/>
    <w:pPr>
      <w:tabs>
        <w:tab w:val="left" w:pos="1474"/>
      </w:tabs>
      <w:spacing w:before="100" w:after="140" w:line="288" w:lineRule="auto"/>
    </w:pPr>
    <w:rPr>
      <w:rFonts w:ascii="Calibri" w:eastAsia="Times New Roman" w:hAnsi="Calibri" w:cs="Times New Roman"/>
      <w:i/>
      <w:sz w:val="22"/>
      <w:lang w:eastAsia="cs-CZ"/>
    </w:rPr>
  </w:style>
  <w:style w:type="paragraph" w:customStyle="1" w:styleId="Tabulkovtext">
    <w:name w:val="Tabulkový text"/>
    <w:basedOn w:val="Normlny"/>
    <w:uiPriority w:val="99"/>
    <w:rsid w:val="00B24E11"/>
    <w:pPr>
      <w:suppressAutoHyphens/>
      <w:spacing w:before="20" w:after="20" w:line="264" w:lineRule="auto"/>
    </w:pPr>
    <w:rPr>
      <w:rFonts w:ascii="Tahoma" w:eastAsia="Times New Roman" w:hAnsi="Tahoma" w:cs="Times New Roman"/>
      <w:sz w:val="18"/>
      <w:szCs w:val="24"/>
      <w:lang w:eastAsia="ar-SA"/>
    </w:rPr>
  </w:style>
  <w:style w:type="paragraph" w:customStyle="1" w:styleId="BANormlnykurzva">
    <w:name w:val="BA Normálny kurzíva"/>
    <w:basedOn w:val="Normlny"/>
    <w:uiPriority w:val="99"/>
    <w:qFormat/>
    <w:rsid w:val="00B24E11"/>
    <w:pPr>
      <w:widowControl w:val="0"/>
      <w:spacing w:before="120" w:after="120" w:line="288" w:lineRule="auto"/>
    </w:pPr>
    <w:rPr>
      <w:rFonts w:ascii="Calibri" w:eastAsia="Times New Roman" w:hAnsi="Calibri" w:cs="Times New Roman"/>
      <w:i/>
      <w:noProof/>
      <w:color w:val="000000"/>
      <w:sz w:val="22"/>
      <w:lang w:eastAsia="cs-CZ"/>
    </w:rPr>
  </w:style>
  <w:style w:type="character" w:customStyle="1" w:styleId="Formul10Char">
    <w:name w:val="Formulář 10 Char"/>
    <w:rsid w:val="00B24E11"/>
    <w:rPr>
      <w:rFonts w:ascii="Arial" w:hAnsi="Arial"/>
      <w:noProof/>
      <w:color w:val="000000"/>
      <w:szCs w:val="22"/>
    </w:rPr>
  </w:style>
  <w:style w:type="character" w:customStyle="1" w:styleId="RozvrendokumentuChar">
    <w:name w:val="Rozvržení dokumentu Char"/>
    <w:semiHidden/>
    <w:rsid w:val="00B24E11"/>
    <w:rPr>
      <w:rFonts w:ascii="Tahoma" w:eastAsia="Calibri" w:hAnsi="Tahoma" w:cs="Tahoma"/>
      <w:sz w:val="16"/>
      <w:szCs w:val="16"/>
      <w:lang w:eastAsia="en-US"/>
    </w:rPr>
  </w:style>
  <w:style w:type="paragraph" w:customStyle="1" w:styleId="odstn">
    <w:name w:val="_odst.n"/>
    <w:basedOn w:val="Normlny"/>
    <w:uiPriority w:val="99"/>
    <w:rsid w:val="00B24E11"/>
    <w:pPr>
      <w:tabs>
        <w:tab w:val="left" w:pos="567"/>
      </w:tabs>
      <w:spacing w:before="120"/>
      <w:ind w:firstLine="567"/>
    </w:pPr>
    <w:rPr>
      <w:rFonts w:ascii="Times New Roman" w:eastAsia="Times New Roman" w:hAnsi="Times New Roman" w:cs="Times New Roman"/>
      <w:sz w:val="22"/>
      <w:szCs w:val="20"/>
      <w:lang w:eastAsia="cs-CZ"/>
    </w:rPr>
  </w:style>
  <w:style w:type="paragraph" w:styleId="PredformtovanHTML">
    <w:name w:val="HTML Preformatted"/>
    <w:basedOn w:val="Normlny"/>
    <w:link w:val="PredformtovanHTMLChar"/>
    <w:unhideWhenUsed/>
    <w:rsid w:val="00B24E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eastAsia="Times New Roman" w:hAnsi="Courier New" w:cs="Times New Roman"/>
      <w:sz w:val="20"/>
      <w:szCs w:val="20"/>
      <w:lang w:val="x-none" w:eastAsia="x-none"/>
    </w:rPr>
  </w:style>
  <w:style w:type="character" w:customStyle="1" w:styleId="PredformtovanHTMLChar">
    <w:name w:val="Predformátované HTML Char"/>
    <w:basedOn w:val="Predvolenpsmoodseku"/>
    <w:link w:val="PredformtovanHTML"/>
    <w:rsid w:val="00B24E11"/>
    <w:rPr>
      <w:rFonts w:ascii="Courier New" w:eastAsia="Times New Roman" w:hAnsi="Courier New" w:cs="Times New Roman"/>
      <w:sz w:val="20"/>
      <w:szCs w:val="20"/>
      <w:lang w:val="x-none" w:eastAsia="x-none"/>
    </w:rPr>
  </w:style>
  <w:style w:type="paragraph" w:customStyle="1" w:styleId="OdstavecA1">
    <w:name w:val="Odstavec A1"/>
    <w:basedOn w:val="Normlny"/>
    <w:uiPriority w:val="99"/>
    <w:rsid w:val="00B24E11"/>
    <w:pPr>
      <w:spacing w:line="276" w:lineRule="auto"/>
    </w:pPr>
    <w:rPr>
      <w:rFonts w:ascii="Times New Roman" w:eastAsia="Calibri" w:hAnsi="Times New Roman" w:cs="Times New Roman"/>
      <w:sz w:val="22"/>
    </w:rPr>
  </w:style>
  <w:style w:type="paragraph" w:customStyle="1" w:styleId="BAOdrky">
    <w:name w:val="BA Odrážky"/>
    <w:basedOn w:val="Normlny"/>
    <w:uiPriority w:val="99"/>
    <w:qFormat/>
    <w:rsid w:val="00B24E11"/>
    <w:pPr>
      <w:numPr>
        <w:numId w:val="33"/>
      </w:numPr>
      <w:suppressAutoHyphens/>
      <w:spacing w:before="120" w:after="120" w:line="288" w:lineRule="auto"/>
    </w:pPr>
    <w:rPr>
      <w:rFonts w:ascii="Calibri" w:eastAsia="Times New Roman" w:hAnsi="Calibri" w:cs="Times New Roman"/>
      <w:sz w:val="22"/>
      <w:szCs w:val="24"/>
      <w:lang w:eastAsia="ar-SA"/>
    </w:rPr>
  </w:style>
  <w:style w:type="character" w:customStyle="1" w:styleId="OdstavecA1Char">
    <w:name w:val="Odstavec A1 Char"/>
    <w:rsid w:val="00B24E11"/>
    <w:rPr>
      <w:rFonts w:eastAsia="Calibri"/>
      <w:sz w:val="22"/>
      <w:szCs w:val="22"/>
      <w:lang w:eastAsia="en-US"/>
    </w:rPr>
  </w:style>
  <w:style w:type="paragraph" w:customStyle="1" w:styleId="Odrka0">
    <w:name w:val="Odrážka"/>
    <w:basedOn w:val="OdstavecA1"/>
    <w:uiPriority w:val="99"/>
    <w:rsid w:val="00B24E11"/>
    <w:pPr>
      <w:ind w:left="426" w:hanging="426"/>
    </w:pPr>
  </w:style>
  <w:style w:type="character" w:customStyle="1" w:styleId="NadpisA1Char">
    <w:name w:val="Nadpis A1 Char"/>
    <w:rsid w:val="00B24E11"/>
    <w:rPr>
      <w:rFonts w:eastAsia="Calibri"/>
      <w:b/>
      <w:i/>
      <w:sz w:val="24"/>
      <w:szCs w:val="24"/>
      <w:lang w:eastAsia="en-US"/>
    </w:rPr>
  </w:style>
  <w:style w:type="character" w:customStyle="1" w:styleId="OdrkaChar">
    <w:name w:val="Odrážka Char"/>
    <w:rsid w:val="00B24E11"/>
    <w:rPr>
      <w:rFonts w:eastAsia="Calibri"/>
      <w:sz w:val="22"/>
      <w:szCs w:val="22"/>
      <w:lang w:eastAsia="en-US"/>
    </w:rPr>
  </w:style>
  <w:style w:type="paragraph" w:styleId="AdresaHTML">
    <w:name w:val="HTML Address"/>
    <w:basedOn w:val="Normlny"/>
    <w:link w:val="AdresaHTMLChar"/>
    <w:rsid w:val="00B24E11"/>
    <w:pPr>
      <w:suppressAutoHyphens/>
      <w:spacing w:before="120" w:after="120" w:line="288" w:lineRule="auto"/>
    </w:pPr>
    <w:rPr>
      <w:rFonts w:ascii="Arial" w:eastAsia="Times New Roman" w:hAnsi="Arial" w:cs="Times New Roman"/>
      <w:i/>
      <w:iCs/>
      <w:sz w:val="22"/>
      <w:szCs w:val="24"/>
      <w:lang w:val="x-none" w:eastAsia="ar-SA"/>
    </w:rPr>
  </w:style>
  <w:style w:type="character" w:customStyle="1" w:styleId="AdresaHTMLChar">
    <w:name w:val="Adresa HTML Char"/>
    <w:basedOn w:val="Predvolenpsmoodseku"/>
    <w:link w:val="AdresaHTML"/>
    <w:rsid w:val="00B24E11"/>
    <w:rPr>
      <w:rFonts w:ascii="Arial" w:eastAsia="Times New Roman" w:hAnsi="Arial" w:cs="Times New Roman"/>
      <w:i/>
      <w:iCs/>
      <w:szCs w:val="24"/>
      <w:lang w:val="x-none" w:eastAsia="ar-SA"/>
    </w:rPr>
  </w:style>
  <w:style w:type="paragraph" w:customStyle="1" w:styleId="Odstavecseseznamem1">
    <w:name w:val="Odstavec se seznamem1"/>
    <w:basedOn w:val="Normlny"/>
    <w:uiPriority w:val="99"/>
    <w:rsid w:val="00B24E11"/>
    <w:pPr>
      <w:spacing w:after="120"/>
      <w:ind w:left="720" w:hanging="284"/>
      <w:contextualSpacing/>
    </w:pPr>
    <w:rPr>
      <w:rFonts w:ascii="Calibri" w:eastAsia="Calibri" w:hAnsi="Calibri" w:cs="Times New Roman"/>
      <w:sz w:val="22"/>
    </w:rPr>
  </w:style>
  <w:style w:type="table" w:customStyle="1" w:styleId="Svtlstnovnzvraznn11">
    <w:name w:val="Světlé stínování – zvýraznění 11"/>
    <w:basedOn w:val="Normlnatabuka"/>
    <w:uiPriority w:val="60"/>
    <w:rsid w:val="00B24E11"/>
    <w:pPr>
      <w:spacing w:after="0" w:line="240" w:lineRule="auto"/>
    </w:pPr>
    <w:rPr>
      <w:rFonts w:ascii="Times New Roman" w:eastAsia="Times New Roman" w:hAnsi="Times New Roman" w:cs="Times New Roman"/>
      <w:color w:val="365F91"/>
      <w:sz w:val="20"/>
      <w:szCs w:val="20"/>
      <w:lang w:eastAsia="sk-SK"/>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tednstnovn1zvraznn11">
    <w:name w:val="Střední stínování 1 – zvýraznění 11"/>
    <w:basedOn w:val="Normlnatabuka"/>
    <w:uiPriority w:val="63"/>
    <w:rsid w:val="00B24E11"/>
    <w:pPr>
      <w:spacing w:after="0" w:line="240" w:lineRule="auto"/>
    </w:pPr>
    <w:rPr>
      <w:rFonts w:ascii="Times New Roman" w:eastAsia="Times New Roman" w:hAnsi="Times New Roman" w:cs="Times New Roman"/>
      <w:sz w:val="20"/>
      <w:szCs w:val="20"/>
      <w:lang w:eastAsia="sk-SK"/>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Vzorec">
    <w:name w:val="Vzorec"/>
    <w:basedOn w:val="Normlny"/>
    <w:next w:val="Normlny"/>
    <w:uiPriority w:val="99"/>
    <w:rsid w:val="00B24E11"/>
    <w:pPr>
      <w:keepNext/>
      <w:tabs>
        <w:tab w:val="left" w:pos="2835"/>
        <w:tab w:val="left" w:pos="8222"/>
      </w:tabs>
      <w:spacing w:before="240" w:after="240"/>
    </w:pPr>
    <w:rPr>
      <w:rFonts w:ascii="Calibri" w:eastAsia="Times New Roman" w:hAnsi="Calibri" w:cs="Times New Roman"/>
      <w:sz w:val="22"/>
      <w:szCs w:val="20"/>
      <w:lang w:eastAsia="cs-CZ"/>
    </w:rPr>
  </w:style>
  <w:style w:type="character" w:customStyle="1" w:styleId="Znakypropoznmkupodarou">
    <w:name w:val="Znaky pro poznámku pod čarou"/>
    <w:rsid w:val="00B24E11"/>
    <w:rPr>
      <w:vertAlign w:val="superscript"/>
    </w:rPr>
  </w:style>
  <w:style w:type="character" w:customStyle="1" w:styleId="Nadpis1Char1">
    <w:name w:val="Nadpis 1 Char1"/>
    <w:aliases w:val="adpis 1 Char1,kapitola Char1,Ctrl+1 Char1,- zpráva 1 Char1,Ctrl+11 Char1,- zpráva 11 Char1,Ctrl+12 Char1,- zpráva 12 Char1,Ctrl+13 Char1,- zpráva 13 Char1,Ctrl+14 Char1,- zpráva 14 Char1,Ctrl+15 Char1,- zpráva 15 Char1,Ctrl+16 Char1"/>
    <w:uiPriority w:val="1"/>
    <w:rsid w:val="00B24E11"/>
    <w:rPr>
      <w:rFonts w:ascii="Cambria" w:eastAsia="Times New Roman" w:hAnsi="Cambria" w:cs="Times New Roman"/>
      <w:b/>
      <w:bCs/>
      <w:color w:val="365F91"/>
      <w:sz w:val="28"/>
      <w:szCs w:val="28"/>
      <w:lang w:eastAsia="ar-SA"/>
    </w:rPr>
  </w:style>
  <w:style w:type="character" w:customStyle="1" w:styleId="Nadpis3Char1">
    <w:name w:val="Nadpis 3 Char1"/>
    <w:aliases w:val="Nadpis 3a Char1,Podpodkapitola Char1,Heading 3 Char1,adpis 3 Char1,Ctrl+3 Char1,- zpráva 3 Char1,Ctrl+31 Char1,- zpráva 31 Char1,Ctrl+32 Char1,- zpráva 32 Char1,Ctrl+33 Char1,- zpráva 33 Char1,Ctrl+34 Char1,- zpráva 34 Char1,Ctrl+35 Char1"/>
    <w:semiHidden/>
    <w:rsid w:val="00B24E11"/>
    <w:rPr>
      <w:rFonts w:ascii="Cambria" w:eastAsia="Times New Roman" w:hAnsi="Cambria" w:cs="Times New Roman"/>
      <w:b/>
      <w:bCs/>
      <w:color w:val="4F81BD"/>
      <w:sz w:val="22"/>
      <w:szCs w:val="24"/>
      <w:lang w:eastAsia="ar-SA"/>
    </w:rPr>
  </w:style>
  <w:style w:type="paragraph" w:customStyle="1" w:styleId="BodyTextIndent22">
    <w:name w:val="Body Text Indent 22"/>
    <w:basedOn w:val="Normlny"/>
    <w:uiPriority w:val="99"/>
    <w:semiHidden/>
    <w:rsid w:val="00B24E11"/>
    <w:pPr>
      <w:spacing w:before="120"/>
      <w:ind w:firstLine="284"/>
    </w:pPr>
    <w:rPr>
      <w:rFonts w:ascii="Calibri" w:eastAsia="Times New Roman" w:hAnsi="Calibri" w:cs="Times New Roman"/>
      <w:szCs w:val="20"/>
      <w:lang w:eastAsia="cs-CZ"/>
    </w:rPr>
  </w:style>
  <w:style w:type="paragraph" w:customStyle="1" w:styleId="zprva">
    <w:name w:val="zpráva"/>
    <w:basedOn w:val="Normlny"/>
    <w:uiPriority w:val="99"/>
    <w:semiHidden/>
    <w:rsid w:val="00B24E11"/>
    <w:pPr>
      <w:widowControl w:val="0"/>
      <w:spacing w:before="120" w:after="120"/>
      <w:ind w:firstLine="397"/>
    </w:pPr>
    <w:rPr>
      <w:rFonts w:ascii="Times New Roman" w:eastAsia="Times New Roman" w:hAnsi="Times New Roman" w:cs="Times New Roman"/>
      <w:szCs w:val="20"/>
      <w:lang w:eastAsia="cs-CZ"/>
    </w:rPr>
  </w:style>
  <w:style w:type="character" w:customStyle="1" w:styleId="TextChar">
    <w:name w:val="Text Char"/>
    <w:link w:val="Text"/>
    <w:semiHidden/>
    <w:locked/>
    <w:rsid w:val="00B24E11"/>
    <w:rPr>
      <w:rFonts w:ascii="Arial" w:hAnsi="Arial" w:cs="Arial"/>
      <w:noProof/>
    </w:rPr>
  </w:style>
  <w:style w:type="paragraph" w:customStyle="1" w:styleId="Text">
    <w:name w:val="Text"/>
    <w:basedOn w:val="Normlny"/>
    <w:link w:val="TextChar"/>
    <w:semiHidden/>
    <w:qFormat/>
    <w:rsid w:val="00B24E11"/>
    <w:pPr>
      <w:spacing w:after="120"/>
    </w:pPr>
    <w:rPr>
      <w:rFonts w:ascii="Arial" w:hAnsi="Arial" w:cs="Arial"/>
      <w:noProof/>
      <w:sz w:val="22"/>
    </w:rPr>
  </w:style>
  <w:style w:type="paragraph" w:customStyle="1" w:styleId="seznamsodrazkami">
    <w:name w:val="seznam s odrazkami"/>
    <w:basedOn w:val="Normlny"/>
    <w:uiPriority w:val="99"/>
    <w:semiHidden/>
    <w:rsid w:val="00B24E11"/>
    <w:pPr>
      <w:numPr>
        <w:numId w:val="32"/>
      </w:numPr>
      <w:suppressAutoHyphens/>
      <w:spacing w:before="160" w:after="160" w:line="288" w:lineRule="auto"/>
      <w:ind w:left="709" w:hanging="284"/>
    </w:pPr>
    <w:rPr>
      <w:rFonts w:ascii="Tahoma" w:eastAsia="Times New Roman" w:hAnsi="Tahoma" w:cs="Times New Roman"/>
      <w:sz w:val="20"/>
      <w:szCs w:val="24"/>
      <w:lang w:eastAsia="ar-SA"/>
    </w:rPr>
  </w:style>
  <w:style w:type="paragraph" w:styleId="z-Hornokrajformulra">
    <w:name w:val="HTML Top of Form"/>
    <w:basedOn w:val="Normlny"/>
    <w:next w:val="Normlny"/>
    <w:link w:val="z-HornokrajformulraChar"/>
    <w:hidden/>
    <w:uiPriority w:val="99"/>
    <w:unhideWhenUsed/>
    <w:rsid w:val="00B24E11"/>
    <w:pPr>
      <w:pBdr>
        <w:bottom w:val="single" w:sz="6" w:space="1" w:color="auto"/>
      </w:pBdr>
      <w:suppressAutoHyphens/>
      <w:spacing w:line="288" w:lineRule="auto"/>
      <w:jc w:val="center"/>
    </w:pPr>
    <w:rPr>
      <w:rFonts w:ascii="Arial" w:eastAsia="Times New Roman" w:hAnsi="Arial" w:cs="Times New Roman"/>
      <w:vanish/>
      <w:sz w:val="16"/>
      <w:szCs w:val="16"/>
      <w:lang w:val="x-none" w:eastAsia="ar-SA"/>
    </w:rPr>
  </w:style>
  <w:style w:type="character" w:customStyle="1" w:styleId="z-HornokrajformulraChar">
    <w:name w:val="z-Horný okraj formulára Char"/>
    <w:basedOn w:val="Predvolenpsmoodseku"/>
    <w:link w:val="z-Hornokrajformulra"/>
    <w:uiPriority w:val="99"/>
    <w:rsid w:val="00B24E11"/>
    <w:rPr>
      <w:rFonts w:ascii="Arial" w:eastAsia="Times New Roman" w:hAnsi="Arial" w:cs="Times New Roman"/>
      <w:vanish/>
      <w:sz w:val="16"/>
      <w:szCs w:val="16"/>
      <w:lang w:val="x-none" w:eastAsia="ar-SA"/>
    </w:rPr>
  </w:style>
  <w:style w:type="paragraph" w:styleId="z-Spodnokrajformulra">
    <w:name w:val="HTML Bottom of Form"/>
    <w:basedOn w:val="Normlny"/>
    <w:next w:val="Normlny"/>
    <w:link w:val="z-SpodnokrajformulraChar"/>
    <w:hidden/>
    <w:uiPriority w:val="99"/>
    <w:unhideWhenUsed/>
    <w:rsid w:val="00B24E11"/>
    <w:pPr>
      <w:pBdr>
        <w:top w:val="single" w:sz="6" w:space="1" w:color="auto"/>
      </w:pBdr>
      <w:suppressAutoHyphens/>
      <w:spacing w:line="288" w:lineRule="auto"/>
      <w:jc w:val="center"/>
    </w:pPr>
    <w:rPr>
      <w:rFonts w:ascii="Arial" w:eastAsia="Times New Roman" w:hAnsi="Arial" w:cs="Times New Roman"/>
      <w:vanish/>
      <w:sz w:val="16"/>
      <w:szCs w:val="16"/>
      <w:lang w:val="x-none" w:eastAsia="ar-SA"/>
    </w:rPr>
  </w:style>
  <w:style w:type="character" w:customStyle="1" w:styleId="z-SpodnokrajformulraChar">
    <w:name w:val="z-Spodný okraj formulára Char"/>
    <w:basedOn w:val="Predvolenpsmoodseku"/>
    <w:link w:val="z-Spodnokrajformulra"/>
    <w:uiPriority w:val="99"/>
    <w:rsid w:val="00B24E11"/>
    <w:rPr>
      <w:rFonts w:ascii="Arial" w:eastAsia="Times New Roman" w:hAnsi="Arial" w:cs="Times New Roman"/>
      <w:vanish/>
      <w:sz w:val="16"/>
      <w:szCs w:val="16"/>
      <w:lang w:val="x-none" w:eastAsia="ar-SA"/>
    </w:rPr>
  </w:style>
  <w:style w:type="paragraph" w:customStyle="1" w:styleId="mezititulek">
    <w:name w:val="mezititulek"/>
    <w:basedOn w:val="Normlny"/>
    <w:uiPriority w:val="99"/>
    <w:rsid w:val="00B24E11"/>
    <w:pPr>
      <w:suppressAutoHyphens/>
      <w:spacing w:before="240"/>
    </w:pPr>
    <w:rPr>
      <w:rFonts w:ascii="Calibri" w:eastAsia="Times New Roman" w:hAnsi="Calibri" w:cs="Arial"/>
      <w:b/>
      <w:iCs/>
      <w:color w:val="000000"/>
      <w:sz w:val="22"/>
      <w:szCs w:val="20"/>
      <w:lang w:eastAsia="cs-CZ"/>
    </w:rPr>
  </w:style>
  <w:style w:type="paragraph" w:customStyle="1" w:styleId="zkl2">
    <w:name w:val="_zákl.2"/>
    <w:basedOn w:val="Normlny"/>
    <w:uiPriority w:val="99"/>
    <w:rsid w:val="00B24E11"/>
    <w:pPr>
      <w:tabs>
        <w:tab w:val="left" w:pos="567"/>
      </w:tabs>
      <w:spacing w:before="160"/>
      <w:ind w:firstLine="567"/>
    </w:pPr>
    <w:rPr>
      <w:rFonts w:ascii="Times New Roman" w:eastAsia="Times New Roman" w:hAnsi="Times New Roman" w:cs="Times New Roman"/>
      <w:szCs w:val="20"/>
      <w:lang w:eastAsia="cs-CZ"/>
    </w:rPr>
  </w:style>
  <w:style w:type="paragraph" w:customStyle="1" w:styleId="Norml">
    <w:name w:val="Normál"/>
    <w:basedOn w:val="Nadpis"/>
    <w:uiPriority w:val="99"/>
    <w:rsid w:val="00B24E11"/>
    <w:pPr>
      <w:keepNext w:val="0"/>
      <w:suppressAutoHyphens w:val="0"/>
      <w:spacing w:before="120" w:after="0" w:line="240" w:lineRule="auto"/>
      <w:ind w:firstLine="709"/>
    </w:pPr>
    <w:rPr>
      <w:rFonts w:ascii="Times New Roman" w:eastAsia="Times New Roman" w:hAnsi="Times New Roman" w:cs="Times New Roman"/>
      <w:sz w:val="24"/>
      <w:szCs w:val="24"/>
      <w:lang w:eastAsia="cs-CZ"/>
    </w:rPr>
  </w:style>
  <w:style w:type="paragraph" w:customStyle="1" w:styleId="BANormlnyvrazn">
    <w:name w:val="BA Normálny výrazný"/>
    <w:basedOn w:val="Normlny"/>
    <w:link w:val="BANormlnyvraznChar"/>
    <w:qFormat/>
    <w:rsid w:val="00B24E11"/>
    <w:pPr>
      <w:suppressAutoHyphens/>
      <w:spacing w:before="120" w:after="120" w:line="288" w:lineRule="auto"/>
    </w:pPr>
    <w:rPr>
      <w:rFonts w:ascii="Calibri" w:eastAsia="Times New Roman" w:hAnsi="Calibri" w:cs="Times New Roman"/>
      <w:b/>
      <w:sz w:val="22"/>
      <w:szCs w:val="24"/>
      <w:lang w:val="x-none" w:eastAsia="ar-SA"/>
    </w:rPr>
  </w:style>
  <w:style w:type="paragraph" w:customStyle="1" w:styleId="BATextvtabulce">
    <w:name w:val="BA Text v tabulce"/>
    <w:basedOn w:val="Normlny"/>
    <w:link w:val="BATextvtabulceChar"/>
    <w:qFormat/>
    <w:rsid w:val="00B24E11"/>
    <w:pPr>
      <w:suppressAutoHyphens/>
      <w:spacing w:before="40" w:after="40"/>
      <w:jc w:val="center"/>
    </w:pPr>
    <w:rPr>
      <w:rFonts w:ascii="Calibri" w:eastAsia="Times New Roman" w:hAnsi="Calibri" w:cs="Times New Roman"/>
      <w:sz w:val="20"/>
      <w:szCs w:val="20"/>
      <w:lang w:val="x-none" w:eastAsia="ar-SA"/>
    </w:rPr>
  </w:style>
  <w:style w:type="character" w:customStyle="1" w:styleId="BANormlnyvraznChar">
    <w:name w:val="BA Normálny výrazný Char"/>
    <w:link w:val="BANormlnyvrazn"/>
    <w:rsid w:val="00B24E11"/>
    <w:rPr>
      <w:rFonts w:ascii="Calibri" w:eastAsia="Times New Roman" w:hAnsi="Calibri" w:cs="Times New Roman"/>
      <w:b/>
      <w:szCs w:val="24"/>
      <w:lang w:val="x-none" w:eastAsia="ar-SA"/>
    </w:rPr>
  </w:style>
  <w:style w:type="numbering" w:customStyle="1" w:styleId="Tabukaslovanzoznam">
    <w:name w:val="Tabuľka číslovaný zoznam"/>
    <w:uiPriority w:val="99"/>
    <w:rsid w:val="00B24E11"/>
  </w:style>
  <w:style w:type="character" w:customStyle="1" w:styleId="BATextvtabulceChar">
    <w:name w:val="BA Text v tabulce Char"/>
    <w:link w:val="BATextvtabulce"/>
    <w:rsid w:val="00B24E11"/>
    <w:rPr>
      <w:rFonts w:ascii="Calibri" w:eastAsia="Times New Roman" w:hAnsi="Calibri" w:cs="Times New Roman"/>
      <w:sz w:val="20"/>
      <w:szCs w:val="20"/>
      <w:lang w:val="x-none" w:eastAsia="ar-SA"/>
    </w:rPr>
  </w:style>
  <w:style w:type="character" w:customStyle="1" w:styleId="Standardnpsmoodstavce1">
    <w:name w:val="Standardní písmo odstavce1"/>
    <w:semiHidden/>
    <w:rsid w:val="00B24E11"/>
  </w:style>
  <w:style w:type="table" w:customStyle="1" w:styleId="Mriekatabukysvetl12">
    <w:name w:val="Mriežka tabuľky – svetlá12"/>
    <w:basedOn w:val="Normlnatabuka"/>
    <w:uiPriority w:val="40"/>
    <w:rsid w:val="00B24E11"/>
    <w:pPr>
      <w:spacing w:after="0" w:line="240" w:lineRule="auto"/>
    </w:pPr>
    <w:rPr>
      <w:rFonts w:ascii="Georgia" w:eastAsia="Georgia" w:hAnsi="Georgia" w:cs="Times New Roman"/>
      <w:sz w:val="20"/>
      <w:szCs w:val="20"/>
      <w:lang w:eastAsia="sk-SK"/>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character" w:customStyle="1" w:styleId="shorttext">
    <w:name w:val="short_text"/>
    <w:rsid w:val="00B24E11"/>
  </w:style>
  <w:style w:type="character" w:customStyle="1" w:styleId="alt-edited">
    <w:name w:val="alt-edited"/>
    <w:rsid w:val="00B24E11"/>
  </w:style>
  <w:style w:type="paragraph" w:customStyle="1" w:styleId="Tabuka1">
    <w:name w:val="Tabuľka 1"/>
    <w:basedOn w:val="Normlny"/>
    <w:link w:val="Tabuka1Char"/>
    <w:qFormat/>
    <w:rsid w:val="00B24E11"/>
    <w:rPr>
      <w:rFonts w:ascii="Calibri" w:eastAsia="Calibri" w:hAnsi="Calibri" w:cs="Times New Roman"/>
      <w:b/>
      <w:noProof/>
      <w:sz w:val="20"/>
      <w:szCs w:val="18"/>
    </w:rPr>
  </w:style>
  <w:style w:type="character" w:customStyle="1" w:styleId="Tabuka1Char">
    <w:name w:val="Tabuľka 1 Char"/>
    <w:link w:val="Tabuka1"/>
    <w:rsid w:val="00B24E11"/>
    <w:rPr>
      <w:rFonts w:ascii="Calibri" w:eastAsia="Calibri" w:hAnsi="Calibri" w:cs="Times New Roman"/>
      <w:b/>
      <w:noProof/>
      <w:sz w:val="20"/>
      <w:szCs w:val="18"/>
    </w:rPr>
  </w:style>
  <w:style w:type="character" w:customStyle="1" w:styleId="Absatz-Standardschriftart">
    <w:name w:val="Absatz-Standardschriftart"/>
    <w:rsid w:val="00B24E11"/>
  </w:style>
  <w:style w:type="character" w:customStyle="1" w:styleId="WW-Absatz-Standardschriftart">
    <w:name w:val="WW-Absatz-Standardschriftart"/>
    <w:rsid w:val="00B24E11"/>
  </w:style>
  <w:style w:type="character" w:customStyle="1" w:styleId="WW-Absatz-Standardschriftart1">
    <w:name w:val="WW-Absatz-Standardschriftart1"/>
    <w:rsid w:val="00B24E11"/>
  </w:style>
  <w:style w:type="character" w:customStyle="1" w:styleId="WW-Absatz-Standardschriftart11">
    <w:name w:val="WW-Absatz-Standardschriftart11"/>
    <w:rsid w:val="00B24E11"/>
  </w:style>
  <w:style w:type="character" w:customStyle="1" w:styleId="WW-Absatz-Standardschriftart111">
    <w:name w:val="WW-Absatz-Standardschriftart111"/>
    <w:rsid w:val="00B24E11"/>
  </w:style>
  <w:style w:type="character" w:customStyle="1" w:styleId="WW-Absatz-Standardschriftart1111">
    <w:name w:val="WW-Absatz-Standardschriftart1111"/>
    <w:rsid w:val="00B24E11"/>
  </w:style>
  <w:style w:type="character" w:customStyle="1" w:styleId="WW-Absatz-Standardschriftart11111">
    <w:name w:val="WW-Absatz-Standardschriftart11111"/>
    <w:rsid w:val="00B24E11"/>
  </w:style>
  <w:style w:type="character" w:customStyle="1" w:styleId="WW-Absatz-Standardschriftart111111">
    <w:name w:val="WW-Absatz-Standardschriftart111111"/>
    <w:rsid w:val="00B24E11"/>
  </w:style>
  <w:style w:type="character" w:customStyle="1" w:styleId="WW-Absatz-Standardschriftart1111111">
    <w:name w:val="WW-Absatz-Standardschriftart1111111"/>
    <w:rsid w:val="00B24E11"/>
  </w:style>
  <w:style w:type="character" w:customStyle="1" w:styleId="WW-Absatz-Standardschriftart11111111">
    <w:name w:val="WW-Absatz-Standardschriftart11111111"/>
    <w:rsid w:val="00B24E11"/>
  </w:style>
  <w:style w:type="character" w:customStyle="1" w:styleId="WW-Absatz-Standardschriftart111111111">
    <w:name w:val="WW-Absatz-Standardschriftart111111111"/>
    <w:rsid w:val="00B24E11"/>
  </w:style>
  <w:style w:type="character" w:customStyle="1" w:styleId="WW-Absatz-Standardschriftart1111111111">
    <w:name w:val="WW-Absatz-Standardschriftart1111111111"/>
    <w:rsid w:val="00B24E11"/>
  </w:style>
  <w:style w:type="character" w:customStyle="1" w:styleId="WW-Absatz-Standardschriftart11111111111">
    <w:name w:val="WW-Absatz-Standardschriftart11111111111"/>
    <w:rsid w:val="00B24E11"/>
  </w:style>
  <w:style w:type="character" w:customStyle="1" w:styleId="WW-Absatz-Standardschriftart111111111111">
    <w:name w:val="WW-Absatz-Standardschriftart111111111111"/>
    <w:rsid w:val="00B24E11"/>
  </w:style>
  <w:style w:type="character" w:customStyle="1" w:styleId="Odrky0">
    <w:name w:val="Odrážky"/>
    <w:rsid w:val="00B24E11"/>
    <w:rPr>
      <w:rFonts w:ascii="StarSymbol" w:eastAsia="StarSymbol" w:hAnsi="StarSymbol" w:cs="StarSymbol"/>
      <w:sz w:val="18"/>
      <w:szCs w:val="18"/>
    </w:rPr>
  </w:style>
  <w:style w:type="character" w:customStyle="1" w:styleId="Symbolypreslovanie">
    <w:name w:val="Symboly pre číslovanie"/>
    <w:rsid w:val="00B24E11"/>
  </w:style>
  <w:style w:type="paragraph" w:customStyle="1" w:styleId="Popisok">
    <w:name w:val="Popisok"/>
    <w:basedOn w:val="Normlny"/>
    <w:uiPriority w:val="99"/>
    <w:rsid w:val="00B24E11"/>
    <w:pPr>
      <w:widowControl w:val="0"/>
      <w:suppressLineNumbers/>
      <w:suppressAutoHyphens/>
      <w:spacing w:before="120" w:after="120"/>
    </w:pPr>
    <w:rPr>
      <w:rFonts w:ascii="Times New Roman" w:eastAsia="Lucida Sans Unicode" w:hAnsi="Times New Roman" w:cs="Tahoma"/>
      <w:i/>
      <w:iCs/>
      <w:szCs w:val="24"/>
    </w:rPr>
  </w:style>
  <w:style w:type="paragraph" w:customStyle="1" w:styleId="Index">
    <w:name w:val="Index"/>
    <w:basedOn w:val="Normlny"/>
    <w:qFormat/>
    <w:rsid w:val="00B24E11"/>
    <w:pPr>
      <w:widowControl w:val="0"/>
      <w:suppressLineNumbers/>
      <w:suppressAutoHyphens/>
      <w:spacing w:before="120"/>
    </w:pPr>
    <w:rPr>
      <w:rFonts w:ascii="Times New Roman" w:eastAsia="Lucida Sans Unicode" w:hAnsi="Times New Roman" w:cs="Tahoma"/>
      <w:szCs w:val="24"/>
    </w:rPr>
  </w:style>
  <w:style w:type="paragraph" w:customStyle="1" w:styleId="Zkladntext31">
    <w:name w:val="Základní text 31"/>
    <w:basedOn w:val="Normlny"/>
    <w:uiPriority w:val="99"/>
    <w:rsid w:val="00B24E11"/>
    <w:pPr>
      <w:widowControl w:val="0"/>
      <w:tabs>
        <w:tab w:val="left" w:pos="0"/>
      </w:tabs>
      <w:suppressAutoHyphens/>
      <w:spacing w:before="120"/>
    </w:pPr>
    <w:rPr>
      <w:rFonts w:ascii="Times New Roman" w:eastAsia="Lucida Sans Unicode" w:hAnsi="Times New Roman" w:cs="Times New Roman"/>
      <w:szCs w:val="24"/>
      <w:lang w:val="sv-SE"/>
    </w:rPr>
  </w:style>
  <w:style w:type="character" w:customStyle="1" w:styleId="N-boldSLOVO">
    <w:name w:val="N-bold SLOVO"/>
    <w:rsid w:val="00B24E11"/>
  </w:style>
  <w:style w:type="paragraph" w:customStyle="1" w:styleId="N-bold">
    <w:name w:val="N-bold"/>
    <w:basedOn w:val="Normlny"/>
    <w:uiPriority w:val="99"/>
    <w:rsid w:val="00B24E11"/>
    <w:pPr>
      <w:tabs>
        <w:tab w:val="left" w:pos="709"/>
        <w:tab w:val="left" w:pos="1418"/>
        <w:tab w:val="left" w:pos="2126"/>
        <w:tab w:val="left" w:pos="4536"/>
      </w:tabs>
      <w:spacing w:before="120"/>
    </w:pPr>
    <w:rPr>
      <w:rFonts w:ascii="Times New Roman" w:eastAsia="Times New Roman" w:hAnsi="Times New Roman" w:cs="Times New Roman"/>
      <w:b/>
      <w:szCs w:val="24"/>
      <w:lang w:eastAsia="cs-CZ"/>
    </w:rPr>
  </w:style>
  <w:style w:type="character" w:customStyle="1" w:styleId="z-HornokrajformulraChar1">
    <w:name w:val="z-Horný okraj formulára Char1"/>
    <w:uiPriority w:val="99"/>
    <w:semiHidden/>
    <w:rsid w:val="00B24E11"/>
    <w:rPr>
      <w:rFonts w:ascii="Arial" w:hAnsi="Arial" w:cs="Arial"/>
      <w:vanish/>
      <w:sz w:val="16"/>
      <w:szCs w:val="16"/>
    </w:rPr>
  </w:style>
  <w:style w:type="character" w:customStyle="1" w:styleId="z-SpodnokrajformulraChar1">
    <w:name w:val="z-Spodný okraj formulára Char1"/>
    <w:uiPriority w:val="99"/>
    <w:semiHidden/>
    <w:rsid w:val="00B24E11"/>
    <w:rPr>
      <w:rFonts w:ascii="Arial" w:hAnsi="Arial" w:cs="Arial"/>
      <w:vanish/>
      <w:sz w:val="16"/>
      <w:szCs w:val="16"/>
    </w:rPr>
  </w:style>
  <w:style w:type="paragraph" w:customStyle="1" w:styleId="Application3">
    <w:name w:val="Application3"/>
    <w:basedOn w:val="Normlny"/>
    <w:autoRedefine/>
    <w:uiPriority w:val="99"/>
    <w:rsid w:val="00B24E11"/>
    <w:pPr>
      <w:autoSpaceDE w:val="0"/>
      <w:autoSpaceDN w:val="0"/>
      <w:spacing w:before="120"/>
    </w:pPr>
    <w:rPr>
      <w:rFonts w:ascii="Arial" w:eastAsia="Times New Roman" w:hAnsi="Arial" w:cs="Arial"/>
      <w:iCs/>
      <w:sz w:val="22"/>
      <w:lang w:eastAsia="sk-SK"/>
    </w:rPr>
  </w:style>
  <w:style w:type="paragraph" w:customStyle="1" w:styleId="Tabuka">
    <w:name w:val="Tabuľka"/>
    <w:basedOn w:val="Normlny"/>
    <w:uiPriority w:val="99"/>
    <w:rsid w:val="00B24E11"/>
    <w:pPr>
      <w:spacing w:before="120"/>
    </w:pPr>
    <w:rPr>
      <w:rFonts w:ascii="Arial" w:eastAsia="Times New Roman" w:hAnsi="Arial" w:cs="Arial"/>
      <w:b/>
      <w:sz w:val="20"/>
      <w:szCs w:val="20"/>
      <w:lang w:eastAsia="sk-SK"/>
    </w:rPr>
  </w:style>
  <w:style w:type="paragraph" w:customStyle="1" w:styleId="NormalArial">
    <w:name w:val="Normal + Arial"/>
    <w:aliases w:val="11 pt,Justified"/>
    <w:basedOn w:val="Normlny"/>
    <w:uiPriority w:val="99"/>
    <w:rsid w:val="00B24E11"/>
    <w:pPr>
      <w:spacing w:before="120"/>
    </w:pPr>
    <w:rPr>
      <w:rFonts w:ascii="Arial" w:eastAsia="Times New Roman" w:hAnsi="Arial" w:cs="Arial"/>
      <w:b/>
      <w:sz w:val="22"/>
      <w:lang w:eastAsia="sk-SK"/>
    </w:rPr>
  </w:style>
  <w:style w:type="paragraph" w:customStyle="1" w:styleId="Odstavecseseznamem2">
    <w:name w:val="Odstavec se seznamem2"/>
    <w:basedOn w:val="Normlny"/>
    <w:uiPriority w:val="34"/>
    <w:qFormat/>
    <w:rsid w:val="00B24E11"/>
    <w:pPr>
      <w:widowControl w:val="0"/>
      <w:suppressAutoHyphens/>
      <w:spacing w:before="120"/>
      <w:ind w:left="720"/>
      <w:contextualSpacing/>
    </w:pPr>
    <w:rPr>
      <w:rFonts w:ascii="Arial" w:eastAsia="Lucida Sans Unicode" w:hAnsi="Arial" w:cs="Tahoma"/>
      <w:sz w:val="22"/>
      <w:szCs w:val="24"/>
      <w:lang w:eastAsia="ar-SA"/>
    </w:rPr>
  </w:style>
  <w:style w:type="character" w:customStyle="1" w:styleId="esriwindowtitletext">
    <w:name w:val="esriwindowtitletext"/>
    <w:rsid w:val="00B24E11"/>
  </w:style>
  <w:style w:type="paragraph" w:customStyle="1" w:styleId="tlPopisArial9pt">
    <w:name w:val="Štýl Popis + Arial 9 pt"/>
    <w:basedOn w:val="Popis"/>
    <w:next w:val="Normlny"/>
    <w:uiPriority w:val="99"/>
    <w:rsid w:val="00B24E11"/>
    <w:pPr>
      <w:keepNext/>
      <w:widowControl w:val="0"/>
      <w:suppressAutoHyphens w:val="0"/>
      <w:spacing w:line="240" w:lineRule="auto"/>
      <w:ind w:left="709" w:right="-81" w:firstLine="709"/>
      <w:jc w:val="both"/>
    </w:pPr>
    <w:rPr>
      <w:rFonts w:ascii="Times New Roman" w:eastAsia="Calibri" w:hAnsi="Times New Roman"/>
      <w:b/>
      <w:bCs/>
      <w:i w:val="0"/>
      <w:iCs w:val="0"/>
      <w:sz w:val="20"/>
      <w:szCs w:val="20"/>
      <w:lang w:eastAsia="cs-CZ"/>
    </w:rPr>
  </w:style>
  <w:style w:type="character" w:customStyle="1" w:styleId="tlPopisArial9ptChar">
    <w:name w:val="Štýl Popis + Arial 9 pt Char"/>
    <w:rsid w:val="00B24E11"/>
    <w:rPr>
      <w:rFonts w:ascii="Arial" w:hAnsi="Arial"/>
      <w:b/>
      <w:bCs/>
      <w:sz w:val="18"/>
      <w:lang w:val="sk-SK" w:eastAsia="cs-CZ" w:bidi="ar-SA"/>
    </w:rPr>
  </w:style>
  <w:style w:type="paragraph" w:customStyle="1" w:styleId="Body2">
    <w:name w:val="Body2"/>
    <w:aliases w:val="Text2,22"/>
    <w:basedOn w:val="Normlny"/>
    <w:uiPriority w:val="99"/>
    <w:rsid w:val="00B24E11"/>
    <w:pPr>
      <w:spacing w:before="120"/>
      <w:ind w:firstLine="720"/>
    </w:pPr>
    <w:rPr>
      <w:rFonts w:ascii="Arial" w:eastAsia="Times New Roman" w:hAnsi="Arial" w:cs="Times New Roman"/>
      <w:snapToGrid w:val="0"/>
      <w:sz w:val="20"/>
      <w:szCs w:val="20"/>
      <w:lang w:eastAsia="cs-CZ"/>
    </w:rPr>
  </w:style>
  <w:style w:type="paragraph" w:customStyle="1" w:styleId="normlnytext">
    <w:name w:val="normálny text"/>
    <w:basedOn w:val="Normlny"/>
    <w:uiPriority w:val="99"/>
    <w:rsid w:val="00B24E11"/>
    <w:pPr>
      <w:spacing w:before="120"/>
    </w:pPr>
    <w:rPr>
      <w:rFonts w:ascii="Arial" w:eastAsia="Times New Roman" w:hAnsi="Arial" w:cs="Times New Roman"/>
      <w:sz w:val="22"/>
      <w:szCs w:val="24"/>
      <w:lang w:eastAsia="sk-SK"/>
    </w:rPr>
  </w:style>
  <w:style w:type="paragraph" w:customStyle="1" w:styleId="CM1">
    <w:name w:val="CM1"/>
    <w:basedOn w:val="Default"/>
    <w:next w:val="Default"/>
    <w:uiPriority w:val="99"/>
    <w:rsid w:val="00B24E11"/>
    <w:pPr>
      <w:widowControl/>
    </w:pPr>
    <w:rPr>
      <w:rFonts w:ascii="EUAlbertina" w:hAnsi="EUAlbertina"/>
      <w:color w:val="auto"/>
      <w:lang w:val="sk-SK" w:eastAsia="sk-SK"/>
    </w:rPr>
  </w:style>
  <w:style w:type="paragraph" w:customStyle="1" w:styleId="CM4">
    <w:name w:val="CM4"/>
    <w:basedOn w:val="Default"/>
    <w:next w:val="Default"/>
    <w:uiPriority w:val="99"/>
    <w:rsid w:val="00B24E11"/>
    <w:pPr>
      <w:widowControl/>
    </w:pPr>
    <w:rPr>
      <w:rFonts w:ascii="EUAlbertina" w:hAnsi="EUAlbertina"/>
      <w:color w:val="auto"/>
      <w:lang w:val="sk-SK" w:eastAsia="sk-SK"/>
    </w:rPr>
  </w:style>
  <w:style w:type="character" w:customStyle="1" w:styleId="formtext">
    <w:name w:val="formtext"/>
    <w:rsid w:val="00B24E11"/>
  </w:style>
  <w:style w:type="character" w:customStyle="1" w:styleId="apple-converted-space">
    <w:name w:val="apple-converted-space"/>
    <w:rsid w:val="00B24E11"/>
  </w:style>
  <w:style w:type="paragraph" w:customStyle="1" w:styleId="P0">
    <w:name w:val="P0"/>
    <w:basedOn w:val="Normlny"/>
    <w:link w:val="P0Zchn"/>
    <w:uiPriority w:val="99"/>
    <w:qFormat/>
    <w:rsid w:val="00B24E11"/>
    <w:pPr>
      <w:numPr>
        <w:numId w:val="35"/>
      </w:numPr>
    </w:pPr>
    <w:rPr>
      <w:rFonts w:ascii="Arial" w:eastAsia="Times New Roman" w:hAnsi="Arial" w:cs="Times New Roman"/>
      <w:sz w:val="22"/>
      <w:szCs w:val="20"/>
      <w:lang w:val="de-AT" w:eastAsia="x-none"/>
    </w:rPr>
  </w:style>
  <w:style w:type="character" w:customStyle="1" w:styleId="P0Zchn">
    <w:name w:val="P0 Zchn"/>
    <w:link w:val="P0"/>
    <w:uiPriority w:val="99"/>
    <w:rsid w:val="00B24E11"/>
    <w:rPr>
      <w:rFonts w:ascii="Arial" w:eastAsia="Times New Roman" w:hAnsi="Arial" w:cs="Times New Roman"/>
      <w:szCs w:val="20"/>
      <w:lang w:val="de-AT" w:eastAsia="x-none"/>
    </w:rPr>
  </w:style>
  <w:style w:type="character" w:customStyle="1" w:styleId="textitem">
    <w:name w:val="textitem"/>
    <w:rsid w:val="00B24E11"/>
  </w:style>
  <w:style w:type="character" w:customStyle="1" w:styleId="tgc">
    <w:name w:val="_tgc"/>
    <w:rsid w:val="00B24E11"/>
  </w:style>
  <w:style w:type="character" w:customStyle="1" w:styleId="highlight">
    <w:name w:val="highlight"/>
    <w:rsid w:val="00B24E11"/>
  </w:style>
  <w:style w:type="numbering" w:customStyle="1" w:styleId="Bezzoznamu1">
    <w:name w:val="Bez zoznamu1"/>
    <w:next w:val="Bezzoznamu"/>
    <w:uiPriority w:val="99"/>
    <w:semiHidden/>
    <w:unhideWhenUsed/>
    <w:rsid w:val="00B24E11"/>
  </w:style>
  <w:style w:type="table" w:customStyle="1" w:styleId="GridTableLight1">
    <w:name w:val="Grid Table Light1"/>
    <w:basedOn w:val="Normlnatabuka"/>
    <w:uiPriority w:val="40"/>
    <w:rsid w:val="00B24E11"/>
    <w:pPr>
      <w:spacing w:after="0" w:line="240" w:lineRule="auto"/>
    </w:pPr>
    <w:rPr>
      <w:rFonts w:ascii="Georgia" w:eastAsia="Georgia" w:hAnsi="Georgia" w:cs="Times New Roman"/>
      <w:lang w:eastAsia="sk-SK"/>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FTablestyle1">
    <w:name w:val="ÅF Table style1"/>
    <w:basedOn w:val="Normlnatabuka"/>
    <w:uiPriority w:val="99"/>
    <w:rsid w:val="00B24E11"/>
    <w:pPr>
      <w:spacing w:before="40" w:after="40" w:line="240" w:lineRule="auto"/>
    </w:pPr>
    <w:rPr>
      <w:rFonts w:ascii="Georgia" w:eastAsia="Georgia" w:hAnsi="Georgia" w:cs="Times New Roman"/>
      <w:lang w:eastAsia="sk-SK"/>
    </w:rPr>
    <w:tblPr>
      <w:tblBorders>
        <w:top w:val="single" w:sz="4" w:space="0" w:color="506070"/>
        <w:left w:val="single" w:sz="4" w:space="0" w:color="506070"/>
        <w:bottom w:val="single" w:sz="4" w:space="0" w:color="506070"/>
        <w:right w:val="single" w:sz="4" w:space="0" w:color="506070"/>
        <w:insideH w:val="single" w:sz="4" w:space="0" w:color="506070"/>
        <w:insideV w:val="single" w:sz="4" w:space="0" w:color="506070"/>
      </w:tblBorders>
    </w:tblPr>
  </w:style>
  <w:style w:type="table" w:customStyle="1" w:styleId="Svtlstnovnzvraznn111">
    <w:name w:val="Světlé stínování – zvýraznění 111"/>
    <w:basedOn w:val="Normlnatabuka"/>
    <w:uiPriority w:val="60"/>
    <w:rsid w:val="00B24E11"/>
    <w:pPr>
      <w:spacing w:after="0" w:line="240" w:lineRule="auto"/>
    </w:pPr>
    <w:rPr>
      <w:rFonts w:ascii="Calibri" w:eastAsia="Times New Roman" w:hAnsi="Calibri" w:cs="Times New Roman"/>
      <w:color w:val="365F91"/>
      <w:lang w:eastAsia="sk-SK"/>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Stednstnovn1zvraznn111">
    <w:name w:val="Střední stínování 1 – zvýraznění 111"/>
    <w:basedOn w:val="Normlnatabuka"/>
    <w:uiPriority w:val="63"/>
    <w:rsid w:val="00B24E11"/>
    <w:pPr>
      <w:spacing w:after="0" w:line="240" w:lineRule="auto"/>
    </w:pPr>
    <w:rPr>
      <w:rFonts w:ascii="Calibri" w:eastAsia="Times New Roman" w:hAnsi="Calibri" w:cs="Times New Roman"/>
      <w:lang w:eastAsia="sk-SK"/>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Tabukaslovanzoznam1">
    <w:name w:val="Tabuľka číslovaný zoznam1"/>
    <w:uiPriority w:val="99"/>
    <w:rsid w:val="00B24E11"/>
    <w:pPr>
      <w:numPr>
        <w:numId w:val="34"/>
      </w:numPr>
    </w:pPr>
  </w:style>
  <w:style w:type="table" w:customStyle="1" w:styleId="Mriekatabukysvetl11">
    <w:name w:val="Mriežka tabuľky – svetlá11"/>
    <w:basedOn w:val="Normlnatabuka"/>
    <w:uiPriority w:val="40"/>
    <w:rsid w:val="00B24E11"/>
    <w:pPr>
      <w:spacing w:after="0" w:line="240" w:lineRule="auto"/>
    </w:pPr>
    <w:rPr>
      <w:rFonts w:ascii="Georgia" w:eastAsia="Georgia" w:hAnsi="Georgia" w:cs="Times New Roman"/>
      <w:lang w:eastAsia="sk-SK"/>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styleId="Citcia">
    <w:name w:val="Quote"/>
    <w:basedOn w:val="Normlny"/>
    <w:next w:val="Normlny"/>
    <w:link w:val="CitciaChar"/>
    <w:uiPriority w:val="29"/>
    <w:qFormat/>
    <w:rsid w:val="00B24E11"/>
    <w:pPr>
      <w:jc w:val="left"/>
    </w:pPr>
    <w:rPr>
      <w:rFonts w:ascii="Calibri" w:eastAsia="Times New Roman" w:hAnsi="Calibri" w:cs="Times New Roman"/>
      <w:i/>
      <w:szCs w:val="24"/>
      <w:lang w:eastAsia="sk-SK"/>
    </w:rPr>
  </w:style>
  <w:style w:type="character" w:customStyle="1" w:styleId="CitciaChar">
    <w:name w:val="Citácia Char"/>
    <w:basedOn w:val="Predvolenpsmoodseku"/>
    <w:link w:val="Citcia"/>
    <w:uiPriority w:val="29"/>
    <w:rsid w:val="00B24E11"/>
    <w:rPr>
      <w:rFonts w:ascii="Calibri" w:eastAsia="Times New Roman" w:hAnsi="Calibri" w:cs="Times New Roman"/>
      <w:i/>
      <w:sz w:val="24"/>
      <w:szCs w:val="24"/>
      <w:lang w:eastAsia="sk-SK"/>
    </w:rPr>
  </w:style>
  <w:style w:type="paragraph" w:styleId="Zvraznencitcia">
    <w:name w:val="Intense Quote"/>
    <w:basedOn w:val="Normlny"/>
    <w:next w:val="Normlny"/>
    <w:link w:val="ZvraznencitciaChar"/>
    <w:uiPriority w:val="30"/>
    <w:qFormat/>
    <w:rsid w:val="00B24E11"/>
    <w:pPr>
      <w:ind w:left="720" w:right="720"/>
      <w:jc w:val="left"/>
    </w:pPr>
    <w:rPr>
      <w:rFonts w:ascii="Calibri" w:eastAsia="Times New Roman" w:hAnsi="Calibri" w:cs="Times New Roman"/>
      <w:b/>
      <w:i/>
      <w:lang w:eastAsia="sk-SK"/>
    </w:rPr>
  </w:style>
  <w:style w:type="character" w:customStyle="1" w:styleId="ZvraznencitciaChar">
    <w:name w:val="Zvýraznená citácia Char"/>
    <w:basedOn w:val="Predvolenpsmoodseku"/>
    <w:link w:val="Zvraznencitcia"/>
    <w:uiPriority w:val="30"/>
    <w:rsid w:val="00B24E11"/>
    <w:rPr>
      <w:rFonts w:ascii="Calibri" w:eastAsia="Times New Roman" w:hAnsi="Calibri" w:cs="Times New Roman"/>
      <w:b/>
      <w:i/>
      <w:sz w:val="24"/>
      <w:lang w:eastAsia="sk-SK"/>
    </w:rPr>
  </w:style>
  <w:style w:type="character" w:styleId="Jemnzvraznenie">
    <w:name w:val="Subtle Emphasis"/>
    <w:uiPriority w:val="19"/>
    <w:qFormat/>
    <w:rsid w:val="00B24E11"/>
    <w:rPr>
      <w:i/>
      <w:color w:val="5A5A5A"/>
    </w:rPr>
  </w:style>
  <w:style w:type="character" w:styleId="Intenzvnezvraznenie">
    <w:name w:val="Intense Emphasis"/>
    <w:uiPriority w:val="21"/>
    <w:qFormat/>
    <w:rsid w:val="00B24E11"/>
    <w:rPr>
      <w:b/>
      <w:i/>
      <w:sz w:val="24"/>
      <w:szCs w:val="24"/>
      <w:u w:val="single"/>
    </w:rPr>
  </w:style>
  <w:style w:type="character" w:styleId="Jemnodkaz">
    <w:name w:val="Subtle Reference"/>
    <w:uiPriority w:val="31"/>
    <w:qFormat/>
    <w:rsid w:val="00B24E11"/>
    <w:rPr>
      <w:sz w:val="24"/>
      <w:szCs w:val="24"/>
      <w:u w:val="single"/>
    </w:rPr>
  </w:style>
  <w:style w:type="character" w:styleId="Intenzvnyodkaz">
    <w:name w:val="Intense Reference"/>
    <w:uiPriority w:val="32"/>
    <w:qFormat/>
    <w:rsid w:val="00B24E11"/>
    <w:rPr>
      <w:b/>
      <w:sz w:val="24"/>
      <w:u w:val="single"/>
    </w:rPr>
  </w:style>
  <w:style w:type="character" w:styleId="Nzovknihy">
    <w:name w:val="Book Title"/>
    <w:uiPriority w:val="33"/>
    <w:qFormat/>
    <w:rsid w:val="00B24E11"/>
    <w:rPr>
      <w:rFonts w:ascii="Cambria" w:eastAsia="Times New Roman" w:hAnsi="Cambria"/>
      <w:b/>
      <w:i/>
      <w:sz w:val="24"/>
      <w:szCs w:val="24"/>
    </w:rPr>
  </w:style>
  <w:style w:type="paragraph" w:customStyle="1" w:styleId="CM32">
    <w:name w:val="CM32"/>
    <w:basedOn w:val="Default"/>
    <w:next w:val="Default"/>
    <w:uiPriority w:val="99"/>
    <w:rsid w:val="00B24E11"/>
    <w:rPr>
      <w:rFonts w:ascii="Arial" w:hAnsi="Arial" w:cs="Arial"/>
      <w:color w:val="auto"/>
      <w:lang w:val="sk-SK" w:eastAsia="sk-SK"/>
    </w:rPr>
  </w:style>
  <w:style w:type="paragraph" w:customStyle="1" w:styleId="Normaltext">
    <w:name w:val="Normal text"/>
    <w:link w:val="NormaltextChar"/>
    <w:rsid w:val="00B24E11"/>
    <w:pPr>
      <w:spacing w:before="120" w:after="120" w:line="240" w:lineRule="auto"/>
      <w:jc w:val="both"/>
    </w:pPr>
    <w:rPr>
      <w:rFonts w:ascii="Calibri" w:eastAsia="Times New Roman" w:hAnsi="Calibri" w:cs="Times New Roman"/>
    </w:rPr>
  </w:style>
  <w:style w:type="character" w:customStyle="1" w:styleId="NormaltextChar">
    <w:name w:val="Normal text Char"/>
    <w:link w:val="Normaltext"/>
    <w:rsid w:val="00B24E11"/>
    <w:rPr>
      <w:rFonts w:ascii="Calibri" w:eastAsia="Times New Roman" w:hAnsi="Calibri" w:cs="Times New Roman"/>
    </w:rPr>
  </w:style>
  <w:style w:type="paragraph" w:customStyle="1" w:styleId="Nzov2">
    <w:name w:val="Názov 2"/>
    <w:basedOn w:val="Nadpis1"/>
    <w:qFormat/>
    <w:rsid w:val="00B24E11"/>
    <w:pPr>
      <w:keepLines w:val="0"/>
      <w:tabs>
        <w:tab w:val="left" w:pos="1440"/>
        <w:tab w:val="left" w:pos="1620"/>
      </w:tabs>
      <w:spacing w:before="360" w:after="120"/>
      <w:jc w:val="left"/>
    </w:pPr>
    <w:rPr>
      <w:rFonts w:ascii="Calibri" w:eastAsia="Times New Roman" w:hAnsi="Calibri" w:cs="Times New Roman"/>
      <w:b w:val="0"/>
      <w:bCs w:val="0"/>
      <w:color w:val="FF0000"/>
      <w:sz w:val="24"/>
      <w:szCs w:val="24"/>
      <w:lang w:eastAsia="cs-CZ"/>
    </w:rPr>
  </w:style>
  <w:style w:type="character" w:customStyle="1" w:styleId="Zkladntext0">
    <w:name w:val="Základný text_"/>
    <w:link w:val="Zkladntext20"/>
    <w:uiPriority w:val="99"/>
    <w:locked/>
    <w:rsid w:val="004F16EE"/>
    <w:rPr>
      <w:rFonts w:ascii="Times New Roman" w:hAnsi="Times New Roman" w:cs="Times New Roman"/>
      <w:spacing w:val="2"/>
      <w:sz w:val="21"/>
      <w:szCs w:val="21"/>
      <w:shd w:val="clear" w:color="auto" w:fill="FFFFFF"/>
    </w:rPr>
  </w:style>
  <w:style w:type="character" w:customStyle="1" w:styleId="ZkladntextTun">
    <w:name w:val="Základný text + Tučné"/>
    <w:aliases w:val="Riadkovanie 0 pt"/>
    <w:uiPriority w:val="99"/>
    <w:rsid w:val="004F16EE"/>
    <w:rPr>
      <w:rFonts w:ascii="Times New Roman" w:hAnsi="Times New Roman" w:cs="Times New Roman"/>
      <w:b/>
      <w:bCs/>
      <w:color w:val="000000"/>
      <w:spacing w:val="-2"/>
      <w:w w:val="100"/>
      <w:position w:val="0"/>
      <w:sz w:val="21"/>
      <w:szCs w:val="21"/>
      <w:shd w:val="clear" w:color="auto" w:fill="FFFFFF"/>
      <w:lang w:val="sk-SK"/>
    </w:rPr>
  </w:style>
  <w:style w:type="paragraph" w:customStyle="1" w:styleId="Zkladntext20">
    <w:name w:val="Základný text2"/>
    <w:basedOn w:val="Normlny"/>
    <w:link w:val="Zkladntext0"/>
    <w:uiPriority w:val="99"/>
    <w:rsid w:val="004F16EE"/>
    <w:pPr>
      <w:widowControl w:val="0"/>
      <w:shd w:val="clear" w:color="auto" w:fill="FFFFFF"/>
      <w:spacing w:after="2940" w:line="240" w:lineRule="atLeast"/>
      <w:ind w:hanging="340"/>
      <w:jc w:val="left"/>
    </w:pPr>
    <w:rPr>
      <w:rFonts w:ascii="Times New Roman" w:hAnsi="Times New Roman" w:cs="Times New Roman"/>
      <w:spacing w:val="2"/>
      <w:sz w:val="21"/>
      <w:szCs w:val="21"/>
    </w:rPr>
  </w:style>
  <w:style w:type="character" w:customStyle="1" w:styleId="Nadpis2Char1">
    <w:name w:val="Nadpis 2 Char1"/>
    <w:aliases w:val="BA Nadpis 2 Char1"/>
    <w:basedOn w:val="Predvolenpsmoodseku"/>
    <w:semiHidden/>
    <w:rsid w:val="0034322D"/>
    <w:rPr>
      <w:rFonts w:asciiTheme="majorHAnsi" w:eastAsiaTheme="majorEastAsia" w:hAnsiTheme="majorHAnsi" w:cstheme="majorBidi"/>
      <w:color w:val="365F91" w:themeColor="accent1" w:themeShade="BF"/>
      <w:sz w:val="26"/>
      <w:szCs w:val="26"/>
    </w:rPr>
  </w:style>
  <w:style w:type="paragraph" w:customStyle="1" w:styleId="msonormal0">
    <w:name w:val="msonormal"/>
    <w:basedOn w:val="Normlny"/>
    <w:uiPriority w:val="99"/>
    <w:rsid w:val="0034322D"/>
    <w:pPr>
      <w:suppressAutoHyphens/>
      <w:spacing w:before="280" w:after="280" w:line="288" w:lineRule="auto"/>
      <w:jc w:val="left"/>
    </w:pPr>
    <w:rPr>
      <w:rFonts w:ascii="Times New Roman" w:eastAsia="Times New Roman" w:hAnsi="Times New Roman" w:cs="Times New Roman"/>
      <w:szCs w:val="24"/>
      <w:lang w:val="cs-CZ" w:eastAsia="ar-SA"/>
    </w:rPr>
  </w:style>
  <w:style w:type="character" w:customStyle="1" w:styleId="Nadpis7Char1">
    <w:name w:val="Nadpis 7 Char1"/>
    <w:aliases w:val="BA Nadpis 4 Char1"/>
    <w:basedOn w:val="Predvolenpsmoodseku"/>
    <w:semiHidden/>
    <w:rsid w:val="0034322D"/>
    <w:rPr>
      <w:rFonts w:asciiTheme="majorHAnsi" w:eastAsiaTheme="majorEastAsia" w:hAnsiTheme="majorHAnsi" w:cstheme="majorBidi"/>
      <w:i/>
      <w:iCs/>
      <w:color w:val="243F60" w:themeColor="accent1" w:themeShade="7F"/>
      <w:sz w:val="22"/>
      <w:szCs w:val="22"/>
    </w:rPr>
  </w:style>
  <w:style w:type="character" w:customStyle="1" w:styleId="Nadpis8Char1">
    <w:name w:val="Nadpis 8 Char1"/>
    <w:aliases w:val="BA Nadpis 5 Char1"/>
    <w:basedOn w:val="Predvolenpsmoodseku"/>
    <w:semiHidden/>
    <w:rsid w:val="0034322D"/>
    <w:rPr>
      <w:rFonts w:asciiTheme="majorHAnsi" w:eastAsiaTheme="majorEastAsia" w:hAnsiTheme="majorHAnsi" w:cstheme="majorBidi"/>
      <w:color w:val="272727" w:themeColor="text1" w:themeTint="D8"/>
      <w:sz w:val="21"/>
      <w:szCs w:val="21"/>
    </w:rPr>
  </w:style>
  <w:style w:type="character" w:customStyle="1" w:styleId="NzovChar1">
    <w:name w:val="Názov Char1"/>
    <w:aliases w:val="BA Názov Char1"/>
    <w:basedOn w:val="Predvolenpsmoodseku"/>
    <w:rsid w:val="0034322D"/>
    <w:rPr>
      <w:rFonts w:asciiTheme="majorHAnsi" w:eastAsiaTheme="majorEastAsia" w:hAnsiTheme="majorHAnsi" w:cstheme="majorBidi"/>
      <w:spacing w:val="-10"/>
      <w:kern w:val="28"/>
      <w:sz w:val="56"/>
      <w:szCs w:val="56"/>
    </w:rPr>
  </w:style>
  <w:style w:type="paragraph" w:customStyle="1" w:styleId="TAB-CENT">
    <w:name w:val="TAB-CENT"/>
    <w:uiPriority w:val="99"/>
    <w:rsid w:val="0034322D"/>
    <w:pPr>
      <w:widowControl w:val="0"/>
      <w:tabs>
        <w:tab w:val="left" w:pos="720"/>
        <w:tab w:val="left" w:pos="1440"/>
        <w:tab w:val="left" w:pos="2160"/>
        <w:tab w:val="left" w:pos="288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0" w:after="0" w:line="220" w:lineRule="atLeast"/>
      <w:jc w:val="center"/>
    </w:pPr>
    <w:rPr>
      <w:rFonts w:ascii="ITC Bookman EE" w:eastAsia="Times New Roman" w:hAnsi="ITC Bookman EE" w:cs="ITC Bookman EE"/>
      <w:noProof/>
      <w:sz w:val="19"/>
      <w:szCs w:val="19"/>
      <w:lang w:eastAsia="sk-SK"/>
    </w:rPr>
  </w:style>
  <w:style w:type="paragraph" w:customStyle="1" w:styleId="TAB-RIGHT">
    <w:name w:val="TAB-RIGHT"/>
    <w:uiPriority w:val="99"/>
    <w:rsid w:val="0034322D"/>
    <w:pPr>
      <w:widowControl w:val="0"/>
      <w:autoSpaceDE w:val="0"/>
      <w:autoSpaceDN w:val="0"/>
      <w:adjustRightInd w:val="0"/>
      <w:spacing w:before="60" w:after="0" w:line="220" w:lineRule="atLeast"/>
      <w:ind w:right="170"/>
      <w:jc w:val="right"/>
    </w:pPr>
    <w:rPr>
      <w:rFonts w:ascii="ITC Bookman EE" w:eastAsia="Times New Roman" w:hAnsi="ITC Bookman EE" w:cs="ITC Bookman EE"/>
      <w:noProof/>
      <w:sz w:val="19"/>
      <w:szCs w:val="19"/>
      <w:lang w:eastAsia="sk-SK"/>
    </w:rPr>
  </w:style>
  <w:style w:type="paragraph" w:customStyle="1" w:styleId="TableText">
    <w:name w:val="Table Text"/>
    <w:uiPriority w:val="99"/>
    <w:rsid w:val="0034322D"/>
    <w:pPr>
      <w:widowControl w:val="0"/>
      <w:tabs>
        <w:tab w:val="left" w:pos="720"/>
        <w:tab w:val="left" w:pos="1440"/>
        <w:tab w:val="left" w:pos="2160"/>
        <w:tab w:val="left" w:pos="2880"/>
        <w:tab w:val="left" w:pos="4320"/>
        <w:tab w:val="left" w:pos="5040"/>
        <w:tab w:val="left" w:pos="5760"/>
        <w:tab w:val="left" w:pos="6480"/>
        <w:tab w:val="left" w:pos="7200"/>
        <w:tab w:val="left" w:pos="7920"/>
        <w:tab w:val="left" w:pos="8640"/>
        <w:tab w:val="left" w:pos="9360"/>
        <w:tab w:val="left" w:pos="10080"/>
        <w:tab w:val="left" w:pos="10800"/>
        <w:tab w:val="left" w:pos="11520"/>
      </w:tabs>
      <w:autoSpaceDE w:val="0"/>
      <w:autoSpaceDN w:val="0"/>
      <w:adjustRightInd w:val="0"/>
      <w:spacing w:before="60" w:after="0" w:line="220" w:lineRule="atLeast"/>
      <w:ind w:left="56"/>
    </w:pPr>
    <w:rPr>
      <w:rFonts w:ascii="ITC Bookman EE" w:eastAsia="Times New Roman" w:hAnsi="ITC Bookman EE" w:cs="ITC Bookman EE"/>
      <w:noProof/>
      <w:sz w:val="19"/>
      <w:szCs w:val="19"/>
      <w:lang w:eastAsia="sk-SK"/>
    </w:rPr>
  </w:style>
  <w:style w:type="paragraph" w:customStyle="1" w:styleId="nadpis110">
    <w:name w:val="nadpis 1_1"/>
    <w:basedOn w:val="Nadpis1"/>
    <w:next w:val="Nadpis1"/>
    <w:uiPriority w:val="99"/>
    <w:rsid w:val="0034322D"/>
    <w:pPr>
      <w:keepLines w:val="0"/>
      <w:pageBreakBefore/>
      <w:numPr>
        <w:numId w:val="52"/>
      </w:numPr>
      <w:spacing w:before="360"/>
      <w:jc w:val="left"/>
    </w:pPr>
    <w:rPr>
      <w:rFonts w:ascii="Times New Roman" w:eastAsia="Times New Roman" w:hAnsi="Times New Roman" w:cs="Arial"/>
      <w:color w:val="FF0000"/>
      <w:kern w:val="32"/>
      <w:sz w:val="44"/>
      <w:szCs w:val="32"/>
      <w:lang w:eastAsia="sk-SK"/>
    </w:rPr>
  </w:style>
  <w:style w:type="character" w:customStyle="1" w:styleId="UnresolvedMention">
    <w:name w:val="Unresolved Mention"/>
    <w:basedOn w:val="Predvolenpsmoodseku"/>
    <w:uiPriority w:val="99"/>
    <w:semiHidden/>
    <w:unhideWhenUsed/>
    <w:rsid w:val="0034322D"/>
    <w:rPr>
      <w:color w:val="605E5C"/>
      <w:shd w:val="clear" w:color="auto" w:fill="E1DFDD"/>
    </w:rPr>
  </w:style>
  <w:style w:type="paragraph" w:customStyle="1" w:styleId="Nadpis11">
    <w:name w:val="Nadpis 11"/>
    <w:basedOn w:val="Normlny"/>
    <w:next w:val="Normlny"/>
    <w:uiPriority w:val="1"/>
    <w:qFormat/>
    <w:rsid w:val="001A24C3"/>
    <w:pPr>
      <w:keepNext/>
      <w:keepLines/>
      <w:numPr>
        <w:numId w:val="77"/>
      </w:numPr>
      <w:spacing w:after="120" w:line="259" w:lineRule="auto"/>
      <w:jc w:val="left"/>
      <w:outlineLvl w:val="0"/>
    </w:pPr>
    <w:rPr>
      <w:rFonts w:asciiTheme="majorHAnsi" w:eastAsiaTheme="majorEastAsia" w:hAnsiTheme="majorHAnsi" w:cstheme="majorBidi"/>
      <w:color w:val="365F91" w:themeColor="accent1" w:themeShade="BF"/>
      <w:sz w:val="32"/>
      <w:szCs w:val="32"/>
    </w:rPr>
  </w:style>
  <w:style w:type="paragraph" w:customStyle="1" w:styleId="Nadpis21">
    <w:name w:val="Nadpis 21"/>
    <w:basedOn w:val="Normlny"/>
    <w:next w:val="Normlny"/>
    <w:uiPriority w:val="1"/>
    <w:unhideWhenUsed/>
    <w:qFormat/>
    <w:rsid w:val="001A24C3"/>
    <w:pPr>
      <w:keepNext/>
      <w:keepLines/>
      <w:numPr>
        <w:ilvl w:val="1"/>
        <w:numId w:val="77"/>
      </w:numPr>
      <w:tabs>
        <w:tab w:val="clear" w:pos="0"/>
        <w:tab w:val="num" w:pos="1277"/>
      </w:tabs>
      <w:spacing w:after="120" w:line="259" w:lineRule="auto"/>
      <w:ind w:left="1853"/>
      <w:jc w:val="left"/>
      <w:outlineLvl w:val="1"/>
    </w:pPr>
    <w:rPr>
      <w:rFonts w:eastAsiaTheme="majorEastAsia" w:cstheme="majorBidi"/>
      <w:b/>
      <w:color w:val="C00000"/>
      <w:sz w:val="28"/>
      <w:szCs w:val="26"/>
    </w:rPr>
  </w:style>
  <w:style w:type="paragraph" w:customStyle="1" w:styleId="Nadpis31">
    <w:name w:val="Nadpis 31"/>
    <w:basedOn w:val="Normlny"/>
    <w:next w:val="Normlny"/>
    <w:uiPriority w:val="9"/>
    <w:unhideWhenUsed/>
    <w:qFormat/>
    <w:rsid w:val="001A24C3"/>
    <w:pPr>
      <w:keepNext/>
      <w:keepLines/>
      <w:numPr>
        <w:ilvl w:val="2"/>
        <w:numId w:val="77"/>
      </w:numPr>
      <w:spacing w:after="120" w:line="259" w:lineRule="auto"/>
      <w:jc w:val="left"/>
      <w:outlineLvl w:val="2"/>
    </w:pPr>
    <w:rPr>
      <w:rFonts w:eastAsiaTheme="majorEastAsia" w:cstheme="majorBidi"/>
      <w:color w:val="C00000"/>
      <w:sz w:val="26"/>
      <w:szCs w:val="24"/>
    </w:rPr>
  </w:style>
  <w:style w:type="paragraph" w:customStyle="1" w:styleId="Nadpis41">
    <w:name w:val="Nadpis 41"/>
    <w:basedOn w:val="Normlny"/>
    <w:next w:val="Normlny"/>
    <w:uiPriority w:val="9"/>
    <w:unhideWhenUsed/>
    <w:qFormat/>
    <w:rsid w:val="001A24C3"/>
    <w:pPr>
      <w:keepNext/>
      <w:keepLines/>
      <w:numPr>
        <w:ilvl w:val="3"/>
        <w:numId w:val="77"/>
      </w:numPr>
      <w:spacing w:after="120" w:line="259" w:lineRule="auto"/>
      <w:jc w:val="left"/>
      <w:outlineLvl w:val="3"/>
    </w:pPr>
    <w:rPr>
      <w:rFonts w:eastAsiaTheme="majorEastAsia" w:cstheme="majorBidi"/>
      <w:i/>
      <w:iCs/>
      <w:color w:val="C00000"/>
      <w:sz w:val="22"/>
    </w:rPr>
  </w:style>
  <w:style w:type="paragraph" w:customStyle="1" w:styleId="Nadpis51">
    <w:name w:val="Nadpis 51"/>
    <w:basedOn w:val="Normlny"/>
    <w:next w:val="Normlny"/>
    <w:uiPriority w:val="9"/>
    <w:unhideWhenUsed/>
    <w:qFormat/>
    <w:rsid w:val="001A24C3"/>
    <w:pPr>
      <w:keepNext/>
      <w:keepLines/>
      <w:numPr>
        <w:ilvl w:val="4"/>
        <w:numId w:val="77"/>
      </w:numPr>
      <w:spacing w:before="40" w:line="259" w:lineRule="auto"/>
      <w:jc w:val="left"/>
      <w:outlineLvl w:val="4"/>
    </w:pPr>
    <w:rPr>
      <w:rFonts w:eastAsiaTheme="majorEastAsia" w:cstheme="majorBidi"/>
      <w:color w:val="C00000"/>
      <w:sz w:val="22"/>
    </w:rPr>
  </w:style>
  <w:style w:type="paragraph" w:customStyle="1" w:styleId="Nadpis61">
    <w:name w:val="Nadpis 61"/>
    <w:basedOn w:val="Normlny"/>
    <w:next w:val="Normlny"/>
    <w:uiPriority w:val="9"/>
    <w:unhideWhenUsed/>
    <w:qFormat/>
    <w:rsid w:val="001A24C3"/>
    <w:pPr>
      <w:keepNext/>
      <w:keepLines/>
      <w:numPr>
        <w:ilvl w:val="5"/>
        <w:numId w:val="77"/>
      </w:numPr>
      <w:spacing w:before="40" w:line="259" w:lineRule="auto"/>
      <w:jc w:val="left"/>
      <w:outlineLvl w:val="5"/>
    </w:pPr>
    <w:rPr>
      <w:rFonts w:eastAsiaTheme="majorEastAsia" w:cstheme="majorBidi"/>
      <w:i/>
      <w:color w:val="C00000"/>
      <w:sz w:val="22"/>
    </w:rPr>
  </w:style>
  <w:style w:type="paragraph" w:customStyle="1" w:styleId="Nadpis71">
    <w:name w:val="Nadpis 71"/>
    <w:basedOn w:val="Normlny"/>
    <w:next w:val="Normlny"/>
    <w:uiPriority w:val="9"/>
    <w:semiHidden/>
    <w:unhideWhenUsed/>
    <w:qFormat/>
    <w:rsid w:val="001A24C3"/>
    <w:pPr>
      <w:keepNext/>
      <w:keepLines/>
      <w:numPr>
        <w:ilvl w:val="6"/>
        <w:numId w:val="77"/>
      </w:numPr>
      <w:spacing w:before="40" w:line="259" w:lineRule="auto"/>
      <w:jc w:val="left"/>
      <w:outlineLvl w:val="6"/>
    </w:pPr>
    <w:rPr>
      <w:rFonts w:eastAsiaTheme="majorEastAsia" w:cstheme="majorBidi"/>
      <w:i/>
      <w:iCs/>
      <w:color w:val="C00000"/>
      <w:sz w:val="22"/>
    </w:rPr>
  </w:style>
  <w:style w:type="paragraph" w:customStyle="1" w:styleId="Nadpis81">
    <w:name w:val="Nadpis 81"/>
    <w:basedOn w:val="Normlny"/>
    <w:next w:val="Normlny"/>
    <w:uiPriority w:val="9"/>
    <w:semiHidden/>
    <w:unhideWhenUsed/>
    <w:qFormat/>
    <w:rsid w:val="001A24C3"/>
    <w:pPr>
      <w:keepNext/>
      <w:keepLines/>
      <w:numPr>
        <w:ilvl w:val="7"/>
        <w:numId w:val="77"/>
      </w:numPr>
      <w:spacing w:before="40" w:line="259" w:lineRule="auto"/>
      <w:jc w:val="left"/>
      <w:outlineLvl w:val="7"/>
    </w:pPr>
    <w:rPr>
      <w:rFonts w:asciiTheme="majorHAnsi" w:eastAsiaTheme="majorEastAsia" w:hAnsiTheme="majorHAnsi" w:cstheme="majorBidi"/>
      <w:color w:val="272727" w:themeColor="text1" w:themeTint="D8"/>
      <w:sz w:val="21"/>
      <w:szCs w:val="21"/>
    </w:rPr>
  </w:style>
  <w:style w:type="paragraph" w:customStyle="1" w:styleId="Nadpis91">
    <w:name w:val="Nadpis 91"/>
    <w:basedOn w:val="Normlny"/>
    <w:next w:val="Normlny"/>
    <w:uiPriority w:val="9"/>
    <w:semiHidden/>
    <w:unhideWhenUsed/>
    <w:qFormat/>
    <w:rsid w:val="001A24C3"/>
    <w:pPr>
      <w:keepNext/>
      <w:keepLines/>
      <w:numPr>
        <w:ilvl w:val="8"/>
        <w:numId w:val="77"/>
      </w:numPr>
      <w:spacing w:before="40" w:line="259" w:lineRule="auto"/>
      <w:jc w:val="left"/>
      <w:outlineLvl w:val="8"/>
    </w:pPr>
    <w:rPr>
      <w:rFonts w:asciiTheme="majorHAnsi" w:eastAsiaTheme="majorEastAsia" w:hAnsiTheme="majorHAnsi" w:cstheme="majorBidi"/>
      <w:i/>
      <w:iCs/>
      <w:color w:val="272727" w:themeColor="text1" w:themeTint="D8"/>
      <w:sz w:val="21"/>
      <w:szCs w:val="21"/>
    </w:rPr>
  </w:style>
  <w:style w:type="character" w:customStyle="1" w:styleId="Preov1Char">
    <w:name w:val="Prešov 1 Char"/>
    <w:link w:val="Preov1"/>
    <w:qFormat/>
    <w:rsid w:val="001A24C3"/>
    <w:rPr>
      <w:rFonts w:ascii="Cambria" w:eastAsia="Times New Roman" w:hAnsi="Cambria" w:cs="Times New Roman"/>
      <w:b/>
      <w:color w:val="8A0000"/>
      <w:sz w:val="32"/>
      <w:szCs w:val="32"/>
    </w:rPr>
  </w:style>
  <w:style w:type="character" w:customStyle="1" w:styleId="ZhlavChar">
    <w:name w:val="Záhlaví Char"/>
    <w:basedOn w:val="Predvolenpsmoodseku"/>
    <w:link w:val="Zhlav1"/>
    <w:uiPriority w:val="99"/>
    <w:qFormat/>
    <w:rsid w:val="001A24C3"/>
  </w:style>
  <w:style w:type="character" w:customStyle="1" w:styleId="ZpatChar">
    <w:name w:val="Zápatí Char"/>
    <w:basedOn w:val="Predvolenpsmoodseku"/>
    <w:link w:val="Zpat1"/>
    <w:uiPriority w:val="99"/>
    <w:qFormat/>
    <w:rsid w:val="001A24C3"/>
  </w:style>
  <w:style w:type="character" w:customStyle="1" w:styleId="Internetovodkaz">
    <w:name w:val="Internetový odkaz"/>
    <w:basedOn w:val="Predvolenpsmoodseku"/>
    <w:uiPriority w:val="99"/>
    <w:unhideWhenUsed/>
    <w:rsid w:val="001A24C3"/>
    <w:rPr>
      <w:color w:val="0000FF" w:themeColor="hyperlink"/>
      <w:u w:val="single"/>
    </w:rPr>
  </w:style>
  <w:style w:type="character" w:customStyle="1" w:styleId="Odkaznaregister">
    <w:name w:val="Odkaz na register"/>
    <w:qFormat/>
    <w:rsid w:val="001A24C3"/>
  </w:style>
  <w:style w:type="paragraph" w:customStyle="1" w:styleId="Titulek1">
    <w:name w:val="Titulek1"/>
    <w:basedOn w:val="Normlny"/>
    <w:qFormat/>
    <w:rsid w:val="001A24C3"/>
    <w:pPr>
      <w:suppressLineNumbers/>
      <w:spacing w:before="120" w:after="120" w:line="259" w:lineRule="auto"/>
      <w:jc w:val="left"/>
    </w:pPr>
    <w:rPr>
      <w:rFonts w:cs="Lucida Sans"/>
      <w:i/>
      <w:iCs/>
      <w:szCs w:val="24"/>
    </w:rPr>
  </w:style>
  <w:style w:type="paragraph" w:customStyle="1" w:styleId="Preov1">
    <w:name w:val="Prešov 1"/>
    <w:basedOn w:val="Nadpis11"/>
    <w:next w:val="Normlny"/>
    <w:link w:val="Preov1Char"/>
    <w:qFormat/>
    <w:rsid w:val="001A24C3"/>
    <w:pPr>
      <w:numPr>
        <w:numId w:val="0"/>
      </w:numPr>
      <w:ind w:left="432" w:hanging="432"/>
    </w:pPr>
    <w:rPr>
      <w:rFonts w:ascii="Cambria" w:eastAsia="Times New Roman" w:hAnsi="Cambria" w:cs="Times New Roman"/>
      <w:b/>
      <w:color w:val="8A0000"/>
    </w:rPr>
  </w:style>
  <w:style w:type="paragraph" w:customStyle="1" w:styleId="Hlavikaapta">
    <w:name w:val="Hlavička a päta"/>
    <w:basedOn w:val="Normlny"/>
    <w:qFormat/>
    <w:rsid w:val="001A24C3"/>
    <w:pPr>
      <w:spacing w:after="120" w:line="259" w:lineRule="auto"/>
      <w:jc w:val="left"/>
    </w:pPr>
    <w:rPr>
      <w:sz w:val="22"/>
    </w:rPr>
  </w:style>
  <w:style w:type="paragraph" w:customStyle="1" w:styleId="Zhlav1">
    <w:name w:val="Záhlaví1"/>
    <w:basedOn w:val="Normlny"/>
    <w:link w:val="ZhlavChar"/>
    <w:uiPriority w:val="99"/>
    <w:unhideWhenUsed/>
    <w:rsid w:val="001A24C3"/>
    <w:pPr>
      <w:tabs>
        <w:tab w:val="center" w:pos="4536"/>
        <w:tab w:val="right" w:pos="9072"/>
      </w:tabs>
      <w:jc w:val="left"/>
    </w:pPr>
    <w:rPr>
      <w:sz w:val="22"/>
    </w:rPr>
  </w:style>
  <w:style w:type="paragraph" w:customStyle="1" w:styleId="Zpat1">
    <w:name w:val="Zápatí1"/>
    <w:basedOn w:val="Normlny"/>
    <w:link w:val="ZpatChar"/>
    <w:uiPriority w:val="99"/>
    <w:unhideWhenUsed/>
    <w:rsid w:val="001A24C3"/>
    <w:pPr>
      <w:tabs>
        <w:tab w:val="center" w:pos="4536"/>
        <w:tab w:val="right" w:pos="9072"/>
      </w:tabs>
      <w:jc w:val="left"/>
    </w:pPr>
    <w:rPr>
      <w:sz w:val="22"/>
    </w:rPr>
  </w:style>
  <w:style w:type="paragraph" w:customStyle="1" w:styleId="Obsah11">
    <w:name w:val="Obsah 11"/>
    <w:basedOn w:val="Normlny"/>
    <w:next w:val="Normlny"/>
    <w:autoRedefine/>
    <w:uiPriority w:val="39"/>
    <w:unhideWhenUsed/>
    <w:rsid w:val="001A24C3"/>
    <w:pPr>
      <w:spacing w:after="100" w:line="259" w:lineRule="auto"/>
      <w:jc w:val="left"/>
    </w:pPr>
    <w:rPr>
      <w:sz w:val="22"/>
    </w:rPr>
  </w:style>
  <w:style w:type="paragraph" w:customStyle="1" w:styleId="Obsah21">
    <w:name w:val="Obsah 21"/>
    <w:basedOn w:val="Normlny"/>
    <w:next w:val="Normlny"/>
    <w:autoRedefine/>
    <w:uiPriority w:val="39"/>
    <w:unhideWhenUsed/>
    <w:rsid w:val="001A24C3"/>
    <w:pPr>
      <w:spacing w:after="100" w:line="259" w:lineRule="auto"/>
      <w:ind w:left="220"/>
      <w:jc w:val="left"/>
    </w:pPr>
    <w:rPr>
      <w:sz w:val="22"/>
    </w:rPr>
  </w:style>
  <w:style w:type="paragraph" w:customStyle="1" w:styleId="Obsah31">
    <w:name w:val="Obsah 31"/>
    <w:basedOn w:val="Normlny"/>
    <w:next w:val="Normlny"/>
    <w:autoRedefine/>
    <w:uiPriority w:val="39"/>
    <w:unhideWhenUsed/>
    <w:rsid w:val="001A24C3"/>
    <w:pPr>
      <w:spacing w:after="100" w:line="259" w:lineRule="auto"/>
      <w:ind w:left="440"/>
      <w:jc w:val="left"/>
    </w:pPr>
    <w:rPr>
      <w:sz w:val="22"/>
    </w:rPr>
  </w:style>
  <w:style w:type="character" w:customStyle="1" w:styleId="TextkomentraChar1">
    <w:name w:val="Text komentára Char1"/>
    <w:basedOn w:val="Predvolenpsmoodseku"/>
    <w:uiPriority w:val="99"/>
    <w:semiHidden/>
    <w:rsid w:val="001A24C3"/>
    <w:rPr>
      <w:sz w:val="20"/>
      <w:szCs w:val="20"/>
    </w:rPr>
  </w:style>
  <w:style w:type="character" w:customStyle="1" w:styleId="PredmetkomentraChar1">
    <w:name w:val="Predmet komentára Char1"/>
    <w:basedOn w:val="TextkomentraChar1"/>
    <w:uiPriority w:val="99"/>
    <w:semiHidden/>
    <w:rsid w:val="001A24C3"/>
    <w:rPr>
      <w:b/>
      <w:bCs/>
      <w:sz w:val="20"/>
      <w:szCs w:val="20"/>
    </w:rPr>
  </w:style>
  <w:style w:type="paragraph" w:customStyle="1" w:styleId="TEXTkOICE">
    <w:name w:val="TEXT kOŠICE"/>
    <w:basedOn w:val="Normlny"/>
    <w:link w:val="TEXTkOICEChar"/>
    <w:qFormat/>
    <w:rsid w:val="001A24C3"/>
    <w:pPr>
      <w:spacing w:line="276" w:lineRule="auto"/>
      <w:ind w:left="255" w:right="-284"/>
    </w:pPr>
    <w:rPr>
      <w:rFonts w:ascii="Calibri" w:eastAsia="Calibri" w:hAnsi="Calibri" w:cs="Calibri"/>
      <w:sz w:val="22"/>
      <w:lang w:eastAsia="sk-SK" w:bidi="sk-SK"/>
    </w:rPr>
  </w:style>
  <w:style w:type="character" w:customStyle="1" w:styleId="TEXTkOICEChar">
    <w:name w:val="TEXT kOŠICE Char"/>
    <w:link w:val="TEXTkOICE"/>
    <w:rsid w:val="001A24C3"/>
    <w:rPr>
      <w:rFonts w:ascii="Calibri" w:eastAsia="Calibri" w:hAnsi="Calibri" w:cs="Calibri"/>
      <w:lang w:eastAsia="sk-SK" w:bidi="sk-SK"/>
    </w:rPr>
  </w:style>
  <w:style w:type="paragraph" w:customStyle="1" w:styleId="Obrzek">
    <w:name w:val="Obrázek"/>
    <w:basedOn w:val="Popis"/>
    <w:link w:val="ObrzekChar"/>
    <w:qFormat/>
    <w:rsid w:val="001A24C3"/>
    <w:pPr>
      <w:keepNext/>
      <w:suppressAutoHyphens w:val="0"/>
      <w:spacing w:before="0" w:after="200" w:line="240" w:lineRule="auto"/>
      <w:ind w:left="255"/>
      <w:jc w:val="both"/>
    </w:pPr>
    <w:rPr>
      <w:bCs/>
      <w:i w:val="0"/>
      <w:iCs w:val="0"/>
      <w:noProof/>
      <w:szCs w:val="22"/>
      <w:lang w:eastAsia="en-US"/>
    </w:rPr>
  </w:style>
  <w:style w:type="character" w:customStyle="1" w:styleId="ObrzekChar">
    <w:name w:val="Obrázek Char"/>
    <w:link w:val="Obrzek"/>
    <w:rsid w:val="001A24C3"/>
    <w:rPr>
      <w:rFonts w:ascii="Calibri" w:eastAsia="Times New Roman" w:hAnsi="Calibri" w:cs="Times New Roman"/>
      <w:bCs/>
      <w:noProof/>
    </w:rPr>
  </w:style>
  <w:style w:type="paragraph" w:customStyle="1" w:styleId="Koice4">
    <w:name w:val="Košice 4"/>
    <w:basedOn w:val="Odsekzoznamu"/>
    <w:link w:val="Koice4Char"/>
    <w:qFormat/>
    <w:rsid w:val="001A24C3"/>
    <w:pPr>
      <w:spacing w:after="0"/>
      <w:ind w:left="255"/>
      <w:jc w:val="both"/>
      <w:outlineLvl w:val="3"/>
    </w:pPr>
    <w:rPr>
      <w:rFonts w:ascii="Calibri" w:eastAsia="Calibri" w:hAnsi="Calibri" w:cs="Times New Roman"/>
      <w:color w:val="2E74B5"/>
      <w:sz w:val="24"/>
    </w:rPr>
  </w:style>
  <w:style w:type="character" w:customStyle="1" w:styleId="Koice4Char">
    <w:name w:val="Košice 4 Char"/>
    <w:link w:val="Koice4"/>
    <w:rsid w:val="001A24C3"/>
    <w:rPr>
      <w:rFonts w:ascii="Calibri" w:eastAsia="Calibri" w:hAnsi="Calibri" w:cs="Times New Roman"/>
      <w:color w:val="2E74B5"/>
      <w:sz w:val="24"/>
    </w:rPr>
  </w:style>
  <w:style w:type="paragraph" w:customStyle="1" w:styleId="ODRKY-KOICE">
    <w:name w:val="ODRÁŽKY - KOŠICE"/>
    <w:basedOn w:val="Odsekzoznamu"/>
    <w:link w:val="ODRKY-KOICEChar"/>
    <w:qFormat/>
    <w:rsid w:val="001A24C3"/>
    <w:pPr>
      <w:widowControl w:val="0"/>
      <w:numPr>
        <w:numId w:val="78"/>
      </w:numPr>
      <w:tabs>
        <w:tab w:val="left" w:pos="964"/>
        <w:tab w:val="left" w:pos="965"/>
      </w:tabs>
      <w:autoSpaceDE w:val="0"/>
      <w:autoSpaceDN w:val="0"/>
      <w:spacing w:after="0"/>
      <w:ind w:left="924" w:hanging="357"/>
      <w:contextualSpacing w:val="0"/>
    </w:pPr>
    <w:rPr>
      <w:rFonts w:ascii="Calibri" w:eastAsia="Calibri" w:hAnsi="Calibri" w:cs="Calibri"/>
      <w:sz w:val="24"/>
      <w:lang w:eastAsia="sk-SK" w:bidi="sk-SK"/>
    </w:rPr>
  </w:style>
  <w:style w:type="character" w:customStyle="1" w:styleId="ODRKY-KOICEChar">
    <w:name w:val="ODRÁŽKY - KOŠICE Char"/>
    <w:link w:val="ODRKY-KOICE"/>
    <w:rsid w:val="001A24C3"/>
    <w:rPr>
      <w:rFonts w:ascii="Calibri" w:eastAsia="Calibri" w:hAnsi="Calibri" w:cs="Calibri"/>
      <w:sz w:val="24"/>
      <w:lang w:eastAsia="sk-SK" w:bidi="sk-SK"/>
    </w:rPr>
  </w:style>
  <w:style w:type="character" w:customStyle="1" w:styleId="Nevyrieenzmienka1">
    <w:name w:val="Nevyriešená zmienka1"/>
    <w:basedOn w:val="Predvolenpsmoodseku"/>
    <w:uiPriority w:val="99"/>
    <w:semiHidden/>
    <w:unhideWhenUsed/>
    <w:rsid w:val="001A24C3"/>
    <w:rPr>
      <w:color w:val="605E5C"/>
      <w:shd w:val="clear" w:color="auto" w:fill="E1DFDD"/>
    </w:rPr>
  </w:style>
  <w:style w:type="paragraph" w:customStyle="1" w:styleId="TextKoice0">
    <w:name w:val="Text Košice"/>
    <w:basedOn w:val="Normlny"/>
    <w:link w:val="TextKoiceChar0"/>
    <w:qFormat/>
    <w:rsid w:val="001A24C3"/>
    <w:pPr>
      <w:spacing w:line="276" w:lineRule="auto"/>
      <w:ind w:left="255"/>
    </w:pPr>
    <w:rPr>
      <w:rFonts w:ascii="Calibri" w:eastAsia="Calibri" w:hAnsi="Calibri" w:cs="Calibri"/>
      <w:sz w:val="22"/>
      <w:lang w:eastAsia="sk-SK" w:bidi="sk-SK"/>
    </w:rPr>
  </w:style>
  <w:style w:type="character" w:customStyle="1" w:styleId="TextKoiceChar0">
    <w:name w:val="Text Košice Char"/>
    <w:link w:val="TextKoice0"/>
    <w:rsid w:val="001A24C3"/>
    <w:rPr>
      <w:rFonts w:ascii="Calibri" w:eastAsia="Calibri" w:hAnsi="Calibri" w:cs="Calibri"/>
      <w:lang w:eastAsia="sk-SK" w:bidi="sk-SK"/>
    </w:rPr>
  </w:style>
  <w:style w:type="paragraph" w:customStyle="1" w:styleId="Koice5">
    <w:name w:val="Košice 5"/>
    <w:basedOn w:val="Normlny"/>
    <w:link w:val="Koice5Char"/>
    <w:qFormat/>
    <w:rsid w:val="001A24C3"/>
    <w:pPr>
      <w:widowControl w:val="0"/>
      <w:numPr>
        <w:ilvl w:val="1"/>
        <w:numId w:val="79"/>
      </w:numPr>
      <w:tabs>
        <w:tab w:val="left" w:pos="832"/>
        <w:tab w:val="left" w:pos="833"/>
      </w:tabs>
      <w:autoSpaceDE w:val="0"/>
      <w:autoSpaceDN w:val="0"/>
      <w:spacing w:before="253"/>
      <w:jc w:val="left"/>
      <w:outlineLvl w:val="1"/>
    </w:pPr>
    <w:rPr>
      <w:rFonts w:ascii="Cambria" w:eastAsia="Cambria" w:hAnsi="Cambria" w:cs="Cambria"/>
      <w:b/>
      <w:bCs/>
      <w:color w:val="4F81BC"/>
      <w:sz w:val="26"/>
      <w:szCs w:val="26"/>
      <w:lang w:eastAsia="sk-SK" w:bidi="sk-SK"/>
    </w:rPr>
  </w:style>
  <w:style w:type="character" w:customStyle="1" w:styleId="Koice5Char">
    <w:name w:val="Košice 5 Char"/>
    <w:link w:val="Koice5"/>
    <w:rsid w:val="001A24C3"/>
    <w:rPr>
      <w:rFonts w:ascii="Cambria" w:eastAsia="Cambria" w:hAnsi="Cambria" w:cs="Cambria"/>
      <w:b/>
      <w:bCs/>
      <w:color w:val="4F81BC"/>
      <w:sz w:val="26"/>
      <w:szCs w:val="26"/>
      <w:lang w:eastAsia="sk-SK" w:bidi="sk-SK"/>
    </w:rPr>
  </w:style>
  <w:style w:type="paragraph" w:customStyle="1" w:styleId="Koice2">
    <w:name w:val="Košice 2"/>
    <w:basedOn w:val="Normlny"/>
    <w:qFormat/>
    <w:rsid w:val="001A24C3"/>
    <w:pPr>
      <w:widowControl w:val="0"/>
      <w:numPr>
        <w:ilvl w:val="1"/>
        <w:numId w:val="80"/>
      </w:numPr>
      <w:tabs>
        <w:tab w:val="left" w:pos="832"/>
        <w:tab w:val="left" w:pos="833"/>
      </w:tabs>
      <w:autoSpaceDE w:val="0"/>
      <w:autoSpaceDN w:val="0"/>
      <w:spacing w:before="253"/>
      <w:jc w:val="left"/>
      <w:outlineLvl w:val="1"/>
    </w:pPr>
    <w:rPr>
      <w:rFonts w:ascii="Cambria" w:eastAsia="Cambria" w:hAnsi="Cambria" w:cs="Cambria"/>
      <w:b/>
      <w:bCs/>
      <w:color w:val="4F81BC"/>
      <w:sz w:val="26"/>
      <w:szCs w:val="26"/>
      <w:lang w:eastAsia="sk-SK" w:bidi="sk-SK"/>
    </w:rPr>
  </w:style>
  <w:style w:type="paragraph" w:customStyle="1" w:styleId="ODRKY">
    <w:name w:val="ODRÁŽKY"/>
    <w:basedOn w:val="ODRKY-KOICE"/>
    <w:link w:val="ODRKYChar"/>
    <w:qFormat/>
    <w:rsid w:val="001A24C3"/>
    <w:pPr>
      <w:numPr>
        <w:numId w:val="81"/>
      </w:numPr>
    </w:pPr>
  </w:style>
  <w:style w:type="character" w:customStyle="1" w:styleId="ODRKYChar">
    <w:name w:val="ODRÁŽKY Char"/>
    <w:link w:val="ODRKY"/>
    <w:rsid w:val="001A24C3"/>
    <w:rPr>
      <w:rFonts w:ascii="Calibri" w:eastAsia="Calibri" w:hAnsi="Calibri" w:cs="Calibri"/>
      <w:sz w:val="24"/>
      <w:lang w:eastAsia="sk-SK" w:bidi="sk-SK"/>
    </w:rPr>
  </w:style>
  <w:style w:type="paragraph" w:customStyle="1" w:styleId="GRAFKoice">
    <w:name w:val="GRAF Košice"/>
    <w:basedOn w:val="Normlny"/>
    <w:link w:val="GRAFKoiceChar"/>
    <w:qFormat/>
    <w:rsid w:val="001A24C3"/>
    <w:pPr>
      <w:keepNext/>
      <w:spacing w:after="200"/>
      <w:ind w:left="255"/>
      <w:jc w:val="left"/>
    </w:pPr>
    <w:rPr>
      <w:rFonts w:ascii="Calibri" w:eastAsia="Times New Roman" w:hAnsi="Calibri" w:cs="Times New Roman"/>
      <w:bCs/>
      <w:noProof/>
      <w:sz w:val="22"/>
    </w:rPr>
  </w:style>
  <w:style w:type="character" w:customStyle="1" w:styleId="GRAFKoiceChar">
    <w:name w:val="GRAF Košice Char"/>
    <w:link w:val="GRAFKoice"/>
    <w:rsid w:val="001A24C3"/>
    <w:rPr>
      <w:rFonts w:ascii="Calibri" w:eastAsia="Times New Roman" w:hAnsi="Calibri" w:cs="Times New Roman"/>
      <w:bCs/>
      <w:noProo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47662503">
      <w:bodyDiv w:val="1"/>
      <w:marLeft w:val="0"/>
      <w:marRight w:val="0"/>
      <w:marTop w:val="0"/>
      <w:marBottom w:val="0"/>
      <w:divBdr>
        <w:top w:val="none" w:sz="0" w:space="0" w:color="auto"/>
        <w:left w:val="none" w:sz="0" w:space="0" w:color="auto"/>
        <w:bottom w:val="none" w:sz="0" w:space="0" w:color="auto"/>
        <w:right w:val="none" w:sz="0" w:space="0" w:color="auto"/>
      </w:divBdr>
    </w:div>
    <w:div w:id="268703150">
      <w:bodyDiv w:val="1"/>
      <w:marLeft w:val="0"/>
      <w:marRight w:val="0"/>
      <w:marTop w:val="0"/>
      <w:marBottom w:val="0"/>
      <w:divBdr>
        <w:top w:val="none" w:sz="0" w:space="0" w:color="auto"/>
        <w:left w:val="none" w:sz="0" w:space="0" w:color="auto"/>
        <w:bottom w:val="none" w:sz="0" w:space="0" w:color="auto"/>
        <w:right w:val="none" w:sz="0" w:space="0" w:color="auto"/>
      </w:divBdr>
    </w:div>
    <w:div w:id="455682064">
      <w:bodyDiv w:val="1"/>
      <w:marLeft w:val="0"/>
      <w:marRight w:val="0"/>
      <w:marTop w:val="0"/>
      <w:marBottom w:val="0"/>
      <w:divBdr>
        <w:top w:val="none" w:sz="0" w:space="0" w:color="auto"/>
        <w:left w:val="none" w:sz="0" w:space="0" w:color="auto"/>
        <w:bottom w:val="none" w:sz="0" w:space="0" w:color="auto"/>
        <w:right w:val="none" w:sz="0" w:space="0" w:color="auto"/>
      </w:divBdr>
    </w:div>
    <w:div w:id="484666768">
      <w:bodyDiv w:val="1"/>
      <w:marLeft w:val="0"/>
      <w:marRight w:val="0"/>
      <w:marTop w:val="0"/>
      <w:marBottom w:val="0"/>
      <w:divBdr>
        <w:top w:val="none" w:sz="0" w:space="0" w:color="auto"/>
        <w:left w:val="none" w:sz="0" w:space="0" w:color="auto"/>
        <w:bottom w:val="none" w:sz="0" w:space="0" w:color="auto"/>
        <w:right w:val="none" w:sz="0" w:space="0" w:color="auto"/>
      </w:divBdr>
    </w:div>
    <w:div w:id="492765327">
      <w:bodyDiv w:val="1"/>
      <w:marLeft w:val="0"/>
      <w:marRight w:val="0"/>
      <w:marTop w:val="0"/>
      <w:marBottom w:val="0"/>
      <w:divBdr>
        <w:top w:val="none" w:sz="0" w:space="0" w:color="auto"/>
        <w:left w:val="none" w:sz="0" w:space="0" w:color="auto"/>
        <w:bottom w:val="none" w:sz="0" w:space="0" w:color="auto"/>
        <w:right w:val="none" w:sz="0" w:space="0" w:color="auto"/>
      </w:divBdr>
    </w:div>
    <w:div w:id="510685008">
      <w:bodyDiv w:val="1"/>
      <w:marLeft w:val="0"/>
      <w:marRight w:val="0"/>
      <w:marTop w:val="0"/>
      <w:marBottom w:val="0"/>
      <w:divBdr>
        <w:top w:val="none" w:sz="0" w:space="0" w:color="auto"/>
        <w:left w:val="none" w:sz="0" w:space="0" w:color="auto"/>
        <w:bottom w:val="none" w:sz="0" w:space="0" w:color="auto"/>
        <w:right w:val="none" w:sz="0" w:space="0" w:color="auto"/>
      </w:divBdr>
    </w:div>
    <w:div w:id="532613805">
      <w:bodyDiv w:val="1"/>
      <w:marLeft w:val="0"/>
      <w:marRight w:val="0"/>
      <w:marTop w:val="0"/>
      <w:marBottom w:val="0"/>
      <w:divBdr>
        <w:top w:val="none" w:sz="0" w:space="0" w:color="auto"/>
        <w:left w:val="none" w:sz="0" w:space="0" w:color="auto"/>
        <w:bottom w:val="none" w:sz="0" w:space="0" w:color="auto"/>
        <w:right w:val="none" w:sz="0" w:space="0" w:color="auto"/>
      </w:divBdr>
    </w:div>
    <w:div w:id="631517348">
      <w:bodyDiv w:val="1"/>
      <w:marLeft w:val="0"/>
      <w:marRight w:val="0"/>
      <w:marTop w:val="0"/>
      <w:marBottom w:val="0"/>
      <w:divBdr>
        <w:top w:val="none" w:sz="0" w:space="0" w:color="auto"/>
        <w:left w:val="none" w:sz="0" w:space="0" w:color="auto"/>
        <w:bottom w:val="none" w:sz="0" w:space="0" w:color="auto"/>
        <w:right w:val="none" w:sz="0" w:space="0" w:color="auto"/>
      </w:divBdr>
    </w:div>
    <w:div w:id="690954329">
      <w:bodyDiv w:val="1"/>
      <w:marLeft w:val="0"/>
      <w:marRight w:val="0"/>
      <w:marTop w:val="0"/>
      <w:marBottom w:val="0"/>
      <w:divBdr>
        <w:top w:val="none" w:sz="0" w:space="0" w:color="auto"/>
        <w:left w:val="none" w:sz="0" w:space="0" w:color="auto"/>
        <w:bottom w:val="none" w:sz="0" w:space="0" w:color="auto"/>
        <w:right w:val="none" w:sz="0" w:space="0" w:color="auto"/>
      </w:divBdr>
    </w:div>
    <w:div w:id="923877402">
      <w:bodyDiv w:val="1"/>
      <w:marLeft w:val="0"/>
      <w:marRight w:val="0"/>
      <w:marTop w:val="0"/>
      <w:marBottom w:val="0"/>
      <w:divBdr>
        <w:top w:val="none" w:sz="0" w:space="0" w:color="auto"/>
        <w:left w:val="none" w:sz="0" w:space="0" w:color="auto"/>
        <w:bottom w:val="none" w:sz="0" w:space="0" w:color="auto"/>
        <w:right w:val="none" w:sz="0" w:space="0" w:color="auto"/>
      </w:divBdr>
    </w:div>
    <w:div w:id="934555940">
      <w:bodyDiv w:val="1"/>
      <w:marLeft w:val="0"/>
      <w:marRight w:val="0"/>
      <w:marTop w:val="0"/>
      <w:marBottom w:val="0"/>
      <w:divBdr>
        <w:top w:val="none" w:sz="0" w:space="0" w:color="auto"/>
        <w:left w:val="none" w:sz="0" w:space="0" w:color="auto"/>
        <w:bottom w:val="none" w:sz="0" w:space="0" w:color="auto"/>
        <w:right w:val="none" w:sz="0" w:space="0" w:color="auto"/>
      </w:divBdr>
    </w:div>
    <w:div w:id="1052073111">
      <w:bodyDiv w:val="1"/>
      <w:marLeft w:val="0"/>
      <w:marRight w:val="0"/>
      <w:marTop w:val="0"/>
      <w:marBottom w:val="0"/>
      <w:divBdr>
        <w:top w:val="none" w:sz="0" w:space="0" w:color="auto"/>
        <w:left w:val="none" w:sz="0" w:space="0" w:color="auto"/>
        <w:bottom w:val="none" w:sz="0" w:space="0" w:color="auto"/>
        <w:right w:val="none" w:sz="0" w:space="0" w:color="auto"/>
      </w:divBdr>
    </w:div>
    <w:div w:id="1344867798">
      <w:bodyDiv w:val="1"/>
      <w:marLeft w:val="0"/>
      <w:marRight w:val="0"/>
      <w:marTop w:val="0"/>
      <w:marBottom w:val="0"/>
      <w:divBdr>
        <w:top w:val="none" w:sz="0" w:space="0" w:color="auto"/>
        <w:left w:val="none" w:sz="0" w:space="0" w:color="auto"/>
        <w:bottom w:val="none" w:sz="0" w:space="0" w:color="auto"/>
        <w:right w:val="none" w:sz="0" w:space="0" w:color="auto"/>
      </w:divBdr>
    </w:div>
    <w:div w:id="1384713321">
      <w:bodyDiv w:val="1"/>
      <w:marLeft w:val="0"/>
      <w:marRight w:val="0"/>
      <w:marTop w:val="0"/>
      <w:marBottom w:val="0"/>
      <w:divBdr>
        <w:top w:val="none" w:sz="0" w:space="0" w:color="auto"/>
        <w:left w:val="none" w:sz="0" w:space="0" w:color="auto"/>
        <w:bottom w:val="none" w:sz="0" w:space="0" w:color="auto"/>
        <w:right w:val="none" w:sz="0" w:space="0" w:color="auto"/>
      </w:divBdr>
    </w:div>
    <w:div w:id="1628075530">
      <w:bodyDiv w:val="1"/>
      <w:marLeft w:val="0"/>
      <w:marRight w:val="0"/>
      <w:marTop w:val="0"/>
      <w:marBottom w:val="0"/>
      <w:divBdr>
        <w:top w:val="none" w:sz="0" w:space="0" w:color="auto"/>
        <w:left w:val="none" w:sz="0" w:space="0" w:color="auto"/>
        <w:bottom w:val="none" w:sz="0" w:space="0" w:color="auto"/>
        <w:right w:val="none" w:sz="0" w:space="0" w:color="auto"/>
      </w:divBdr>
    </w:div>
    <w:div w:id="1727298212">
      <w:bodyDiv w:val="1"/>
      <w:marLeft w:val="0"/>
      <w:marRight w:val="0"/>
      <w:marTop w:val="0"/>
      <w:marBottom w:val="0"/>
      <w:divBdr>
        <w:top w:val="none" w:sz="0" w:space="0" w:color="auto"/>
        <w:left w:val="none" w:sz="0" w:space="0" w:color="auto"/>
        <w:bottom w:val="none" w:sz="0" w:space="0" w:color="auto"/>
        <w:right w:val="none" w:sz="0" w:space="0" w:color="auto"/>
      </w:divBdr>
    </w:div>
    <w:div w:id="1775251033">
      <w:bodyDiv w:val="1"/>
      <w:marLeft w:val="0"/>
      <w:marRight w:val="0"/>
      <w:marTop w:val="0"/>
      <w:marBottom w:val="0"/>
      <w:divBdr>
        <w:top w:val="none" w:sz="0" w:space="0" w:color="auto"/>
        <w:left w:val="none" w:sz="0" w:space="0" w:color="auto"/>
        <w:bottom w:val="none" w:sz="0" w:space="0" w:color="auto"/>
        <w:right w:val="none" w:sz="0" w:space="0" w:color="auto"/>
      </w:divBdr>
    </w:div>
    <w:div w:id="1907916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k.wikipedia.org/w/index.php?title=Hri%C4%8Dovec&amp;action=edit&amp;redlink=1" TargetMode="External"/><Relationship Id="rId18" Type="http://schemas.openxmlformats.org/officeDocument/2006/relationships/image" Target="media/image3.png"/><Relationship Id="rId39" Type="http://schemas.openxmlformats.org/officeDocument/2006/relationships/image" Target="media/image16.emf"/><Relationship Id="rId21" Type="http://schemas.openxmlformats.org/officeDocument/2006/relationships/oleObject" Target="embeddings/oleObject1.bin"/><Relationship Id="rId34" Type="http://schemas.openxmlformats.org/officeDocument/2006/relationships/image" Target="media/image12.png"/><Relationship Id="rId42" Type="http://schemas.openxmlformats.org/officeDocument/2006/relationships/chart" Target="charts/chart3.xml"/><Relationship Id="rId47" Type="http://schemas.openxmlformats.org/officeDocument/2006/relationships/footer" Target="footer2.xml"/><Relationship Id="rId50" Type="http://schemas.openxmlformats.org/officeDocument/2006/relationships/chart" Target="charts/chart7.xml"/><Relationship Id="rId55" Type="http://schemas.openxmlformats.org/officeDocument/2006/relationships/chart" Target="charts/chart9.xml"/><Relationship Id="rId63"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k.wikipedia.org/w/index.php?title=Ve%C4%BEk%C3%BD_Javorn%C3%ADk&amp;action=edit&amp;redlink=1" TargetMode="External"/><Relationship Id="rId17" Type="http://schemas.openxmlformats.org/officeDocument/2006/relationships/hyperlink" Target="http://sk.wikipedia.org/w/index.php?title=Burkov_vrch&amp;action=edit&amp;redlink=1" TargetMode="External"/><Relationship Id="rId25" Type="http://schemas.openxmlformats.org/officeDocument/2006/relationships/image" Target="media/image8.png"/><Relationship Id="rId33" Type="http://schemas.openxmlformats.org/officeDocument/2006/relationships/image" Target="media/image11.png"/><Relationship Id="rId38" Type="http://schemas.openxmlformats.org/officeDocument/2006/relationships/hyperlink" Target="https://www.ndsas.sk/stavby/priprava-stavieb" TargetMode="External"/><Relationship Id="rId46" Type="http://schemas.openxmlformats.org/officeDocument/2006/relationships/header" Target="header2.xml"/><Relationship Id="rId59" Type="http://schemas.openxmlformats.org/officeDocument/2006/relationships/chart" Target="charts/chart13.xml"/><Relationship Id="rId2" Type="http://schemas.openxmlformats.org/officeDocument/2006/relationships/numbering" Target="numbering.xml"/><Relationship Id="rId16" Type="http://schemas.openxmlformats.org/officeDocument/2006/relationships/hyperlink" Target="http://sk.wikipedia.org/w/index.php?title=Uhorsk%C3%A1&amp;action=edit&amp;redlink=1" TargetMode="External"/><Relationship Id="rId20" Type="http://schemas.openxmlformats.org/officeDocument/2006/relationships/image" Target="media/image5.png"/><Relationship Id="rId41" Type="http://schemas.openxmlformats.org/officeDocument/2006/relationships/chart" Target="charts/chart2.xml"/><Relationship Id="rId54" Type="http://schemas.openxmlformats.org/officeDocument/2006/relationships/header" Target="header4.xml"/><Relationship Id="rId62"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k.wikipedia.org/wiki/Pieskovec" TargetMode="External"/><Relationship Id="rId24" Type="http://schemas.openxmlformats.org/officeDocument/2006/relationships/image" Target="media/image7.png"/><Relationship Id="rId32" Type="http://schemas.openxmlformats.org/officeDocument/2006/relationships/image" Target="media/image10.png"/><Relationship Id="rId37" Type="http://schemas.openxmlformats.org/officeDocument/2006/relationships/image" Target="media/image15.png"/><Relationship Id="rId40" Type="http://schemas.openxmlformats.org/officeDocument/2006/relationships/chart" Target="charts/chart1.xml"/><Relationship Id="rId45" Type="http://schemas.openxmlformats.org/officeDocument/2006/relationships/footer" Target="footer1.xml"/><Relationship Id="rId53" Type="http://schemas.openxmlformats.org/officeDocument/2006/relationships/footer" Target="footer3.xml"/><Relationship Id="rId58" Type="http://schemas.openxmlformats.org/officeDocument/2006/relationships/chart" Target="charts/chart12.xml"/><Relationship Id="rId5" Type="http://schemas.openxmlformats.org/officeDocument/2006/relationships/webSettings" Target="webSettings.xml"/><Relationship Id="rId15" Type="http://schemas.openxmlformats.org/officeDocument/2006/relationships/hyperlink" Target="http://sk.wikipedia.org/w/index.php?title=Stratenec&amp;action=edit&amp;redlink=1" TargetMode="External"/><Relationship Id="rId23" Type="http://schemas.openxmlformats.org/officeDocument/2006/relationships/image" Target="media/image6.png"/><Relationship Id="rId36" Type="http://schemas.openxmlformats.org/officeDocument/2006/relationships/image" Target="media/image14.png"/><Relationship Id="rId49" Type="http://schemas.openxmlformats.org/officeDocument/2006/relationships/chart" Target="charts/chart6.xml"/><Relationship Id="rId57" Type="http://schemas.openxmlformats.org/officeDocument/2006/relationships/chart" Target="charts/chart11.xml"/><Relationship Id="rId61" Type="http://schemas.openxmlformats.org/officeDocument/2006/relationships/header" Target="header5.xml"/><Relationship Id="rId10" Type="http://schemas.openxmlformats.org/officeDocument/2006/relationships/hyperlink" Target="http://sk.wikipedia.org/wiki/%C3%8Dlovec" TargetMode="External"/><Relationship Id="rId19" Type="http://schemas.openxmlformats.org/officeDocument/2006/relationships/image" Target="media/image4.png"/><Relationship Id="rId31" Type="http://schemas.openxmlformats.org/officeDocument/2006/relationships/image" Target="media/image9.png"/><Relationship Id="rId44" Type="http://schemas.openxmlformats.org/officeDocument/2006/relationships/header" Target="header1.xml"/><Relationship Id="rId52" Type="http://schemas.openxmlformats.org/officeDocument/2006/relationships/header" Target="header3.xml"/><Relationship Id="rId60" Type="http://schemas.openxmlformats.org/officeDocument/2006/relationships/chart" Target="charts/chart14.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sk.wikipedia.org/w/index.php?title=%C4%8Cemerka&amp;action=edit&amp;redlink=1" TargetMode="External"/><Relationship Id="rId22" Type="http://schemas.openxmlformats.org/officeDocument/2006/relationships/hyperlink" Target="http://atlas.sazp.sk/cmsvoda/povrch_kvant/index.php" TargetMode="External"/><Relationship Id="rId30" Type="http://schemas.openxmlformats.org/officeDocument/2006/relationships/image" Target="media/image80.png"/><Relationship Id="rId35" Type="http://schemas.openxmlformats.org/officeDocument/2006/relationships/image" Target="media/image13.png"/><Relationship Id="rId43" Type="http://schemas.openxmlformats.org/officeDocument/2006/relationships/chart" Target="charts/chart4.xml"/><Relationship Id="rId48" Type="http://schemas.openxmlformats.org/officeDocument/2006/relationships/chart" Target="charts/chart5.xml"/><Relationship Id="rId56" Type="http://schemas.openxmlformats.org/officeDocument/2006/relationships/chart" Target="charts/chart10.xml"/><Relationship Id="rId64" Type="http://schemas.openxmlformats.org/officeDocument/2006/relationships/theme" Target="theme/theme1.xml"/><Relationship Id="rId8" Type="http://schemas.openxmlformats.org/officeDocument/2006/relationships/image" Target="media/image1.emf"/><Relationship Id="rId51" Type="http://schemas.openxmlformats.org/officeDocument/2006/relationships/chart" Target="charts/chart8.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18.png"/></Relationships>
</file>

<file path=word/_rels/footer2.xml.rels><?xml version="1.0" encoding="UTF-8" standalone="yes"?>
<Relationships xmlns="http://schemas.openxmlformats.org/package/2006/relationships"><Relationship Id="rId1" Type="http://schemas.openxmlformats.org/officeDocument/2006/relationships/image" Target="media/image18.png"/></Relationships>
</file>

<file path=word/_rels/footer3.xml.rels><?xml version="1.0" encoding="UTF-8" standalone="yes"?>
<Relationships xmlns="http://schemas.openxmlformats.org/package/2006/relationships"><Relationship Id="rId1" Type="http://schemas.openxmlformats.org/officeDocument/2006/relationships/image" Target="media/image18.png"/></Relationships>
</file>

<file path=word/_rels/footer4.xml.rels><?xml version="1.0" encoding="UTF-8" standalone="yes"?>
<Relationships xmlns="http://schemas.openxmlformats.org/package/2006/relationships"><Relationship Id="rId1" Type="http://schemas.openxmlformats.org/officeDocument/2006/relationships/image" Target="media/image18.png"/></Relationships>
</file>

<file path=word/_rels/footnotes.xml.rels><?xml version="1.0" encoding="UTF-8" standalone="yes"?>
<Relationships xmlns="http://schemas.openxmlformats.org/package/2006/relationships"><Relationship Id="rId1" Type="http://schemas.openxmlformats.org/officeDocument/2006/relationships/hyperlink" Target="http://www.telecom.gov.sk/index/index.php?ids=200559"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7.jpeg"/></Relationships>
</file>

<file path=word/_rels/header2.xml.rels><?xml version="1.0" encoding="UTF-8" standalone="yes"?>
<Relationships xmlns="http://schemas.openxmlformats.org/package/2006/relationships"><Relationship Id="rId1" Type="http://schemas.openxmlformats.org/officeDocument/2006/relationships/image" Target="media/image17.jpeg"/></Relationships>
</file>

<file path=word/_rels/header3.xml.rels><?xml version="1.0" encoding="UTF-8" standalone="yes"?>
<Relationships xmlns="http://schemas.openxmlformats.org/package/2006/relationships"><Relationship Id="rId1" Type="http://schemas.openxmlformats.org/officeDocument/2006/relationships/image" Target="media/image17.jpeg"/></Relationships>
</file>

<file path=word/_rels/header4.xml.rels><?xml version="1.0" encoding="UTF-8" standalone="yes"?>
<Relationships xmlns="http://schemas.openxmlformats.org/package/2006/relationships"><Relationship Id="rId1" Type="http://schemas.openxmlformats.org/officeDocument/2006/relationships/image" Target="media/image17.jpeg"/></Relationships>
</file>

<file path=word/_rels/header5.xml.rels><?xml version="1.0" encoding="UTF-8" standalone="yes"?>
<Relationships xmlns="http://schemas.openxmlformats.org/package/2006/relationships"><Relationship Id="rId1" Type="http://schemas.openxmlformats.org/officeDocument/2006/relationships/image" Target="media/image17.jpeg"/></Relationships>
</file>

<file path=word/charts/_rels/chart1.xml.rels><?xml version="1.0" encoding="UTF-8" standalone="yes"?>
<Relationships xmlns="http://schemas.openxmlformats.org/package/2006/relationships"><Relationship Id="rId3" Type="http://schemas.openxmlformats.org/officeDocument/2006/relationships/oleObject" Target="file:///E:\pr&#225;ca\&#352;uster%20Martin\CBA\Kr&#225;sno%20-%20&#268;adca\dopravn&#253;%20model%202018\Porovnanie%20variantov%20osobnej%20dopravy%20(21.10.2019).xls"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H_rok_programu_Microsoft_Excel7.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2.xml"/></Relationships>
</file>

<file path=word/charts/_rels/chart11.xml.rels><?xml version="1.0" encoding="UTF-8" standalone="yes"?>
<Relationships xmlns="http://schemas.openxmlformats.org/package/2006/relationships"><Relationship Id="rId1" Type="http://schemas.openxmlformats.org/officeDocument/2006/relationships/package" Target="../embeddings/H_rok_programu_Microsoft_Excel8.xlsx"/></Relationships>
</file>

<file path=word/charts/_rels/chart12.xml.rels><?xml version="1.0" encoding="UTF-8" standalone="yes"?>
<Relationships xmlns="http://schemas.openxmlformats.org/package/2006/relationships"><Relationship Id="rId3" Type="http://schemas.openxmlformats.org/officeDocument/2006/relationships/package" Target="../embeddings/H_rok_programu_Microsoft_Excel9.xlsx"/><Relationship Id="rId2" Type="http://schemas.microsoft.com/office/2011/relationships/chartColorStyle" Target="colors7.xml"/><Relationship Id="rId1" Type="http://schemas.microsoft.com/office/2011/relationships/chartStyle" Target="style7.xml"/></Relationships>
</file>

<file path=word/charts/_rels/chart13.xml.rels><?xml version="1.0" encoding="UTF-8" standalone="yes"?>
<Relationships xmlns="http://schemas.openxmlformats.org/package/2006/relationships"><Relationship Id="rId3" Type="http://schemas.openxmlformats.org/officeDocument/2006/relationships/package" Target="../embeddings/H_rok_programu_Microsoft_Excel10.xlsx"/><Relationship Id="rId2" Type="http://schemas.microsoft.com/office/2011/relationships/chartColorStyle" Target="colors8.xml"/><Relationship Id="rId1" Type="http://schemas.microsoft.com/office/2011/relationships/chartStyle" Target="style8.xml"/></Relationships>
</file>

<file path=word/charts/_rels/chart14.xml.rels><?xml version="1.0" encoding="UTF-8" standalone="yes"?>
<Relationships xmlns="http://schemas.openxmlformats.org/package/2006/relationships"><Relationship Id="rId3" Type="http://schemas.openxmlformats.org/officeDocument/2006/relationships/package" Target="../embeddings/H_rok_programu_Microsoft_Excel11.xlsx"/><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chartUserShapes" Target="../drawings/drawing3.xml"/></Relationships>
</file>

<file path=word/charts/_rels/chart2.xml.rels><?xml version="1.0" encoding="UTF-8" standalone="yes"?>
<Relationships xmlns="http://schemas.openxmlformats.org/package/2006/relationships"><Relationship Id="rId3" Type="http://schemas.openxmlformats.org/officeDocument/2006/relationships/oleObject" Target="file:///E:\pr&#225;ca\&#352;uster%20Martin\CBA\Kr&#225;sno%20-%20&#268;adca\dopravn&#253;%20model%202018\Porovnanie%20variantov%20osobnej%20dopravy%20(21.10.2019).xls"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1" Type="http://schemas.openxmlformats.org/officeDocument/2006/relationships/package" Target="../embeddings/H_rok_programu_Microsoft_Excel.xlsx"/></Relationships>
</file>

<file path=word/charts/_rels/chart4.xml.rels><?xml version="1.0" encoding="UTF-8" standalone="yes"?>
<Relationships xmlns="http://schemas.openxmlformats.org/package/2006/relationships"><Relationship Id="rId1" Type="http://schemas.openxmlformats.org/officeDocument/2006/relationships/package" Target="../embeddings/H_rok_programu_Microsoft_Excel1.xlsx"/></Relationships>
</file>

<file path=word/charts/_rels/chart5.xml.rels><?xml version="1.0" encoding="UTF-8" standalone="yes"?>
<Relationships xmlns="http://schemas.openxmlformats.org/package/2006/relationships"><Relationship Id="rId3" Type="http://schemas.openxmlformats.org/officeDocument/2006/relationships/package" Target="../embeddings/H_rok_programu_Microsoft_Excel2.xlsx"/><Relationship Id="rId2" Type="http://schemas.microsoft.com/office/2011/relationships/chartColorStyle" Target="colors3.xml"/><Relationship Id="rId1" Type="http://schemas.microsoft.com/office/2011/relationships/chartStyle" Target="style3.xml"/></Relationships>
</file>

<file path=word/charts/_rels/chart6.xml.rels><?xml version="1.0" encoding="UTF-8" standalone="yes"?>
<Relationships xmlns="http://schemas.openxmlformats.org/package/2006/relationships"><Relationship Id="rId3" Type="http://schemas.openxmlformats.org/officeDocument/2006/relationships/package" Target="../embeddings/H_rok_programu_Microsoft_Excel3.xlsx"/><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1.xml"/></Relationships>
</file>

<file path=word/charts/_rels/chart7.xml.rels><?xml version="1.0" encoding="UTF-8" standalone="yes"?>
<Relationships xmlns="http://schemas.openxmlformats.org/package/2006/relationships"><Relationship Id="rId1" Type="http://schemas.openxmlformats.org/officeDocument/2006/relationships/package" Target="../embeddings/H_rok_programu_Microsoft_Excel4.xlsx"/></Relationships>
</file>

<file path=word/charts/_rels/chart8.xml.rels><?xml version="1.0" encoding="UTF-8" standalone="yes"?>
<Relationships xmlns="http://schemas.openxmlformats.org/package/2006/relationships"><Relationship Id="rId1" Type="http://schemas.openxmlformats.org/officeDocument/2006/relationships/package" Target="../embeddings/H_rok_programu_Microsoft_Excel5.xlsx"/></Relationships>
</file>

<file path=word/charts/_rels/chart9.xml.rels><?xml version="1.0" encoding="UTF-8" standalone="yes"?>
<Relationships xmlns="http://schemas.openxmlformats.org/package/2006/relationships"><Relationship Id="rId3" Type="http://schemas.openxmlformats.org/officeDocument/2006/relationships/package" Target="../embeddings/H_rok_programu_Microsoft_Excel6.xlsx"/><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9191976002999621E-2"/>
          <c:y val="5.6891647271786916E-2"/>
          <c:w val="0.88655758307989274"/>
          <c:h val="0.70156441848958173"/>
        </c:manualLayout>
      </c:layout>
      <c:areaChart>
        <c:grouping val="standard"/>
        <c:varyColors val="0"/>
        <c:ser>
          <c:idx val="4"/>
          <c:order val="0"/>
          <c:tx>
            <c:strRef>
              <c:f>Hárok1!$B$11</c:f>
              <c:strCache>
                <c:ptCount val="1"/>
                <c:pt idx="0">
                  <c:v>Preprava celkom -s projektom, stredný variant</c:v>
                </c:pt>
              </c:strCache>
            </c:strRef>
          </c:tx>
          <c:spPr>
            <a:solidFill>
              <a:schemeClr val="accent5"/>
            </a:solidFill>
            <a:ln>
              <a:noFill/>
            </a:ln>
            <a:effectLst/>
          </c:spPr>
          <c:cat>
            <c:numRef>
              <c:f>Hárok1!$H$5:$AT$5</c:f>
              <c:numCache>
                <c:formatCode>General</c:formatCode>
                <c:ptCount val="39"/>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pt idx="19">
                  <c:v>2031</c:v>
                </c:pt>
                <c:pt idx="20">
                  <c:v>2032</c:v>
                </c:pt>
                <c:pt idx="21">
                  <c:v>2033</c:v>
                </c:pt>
                <c:pt idx="22">
                  <c:v>2034</c:v>
                </c:pt>
                <c:pt idx="23">
                  <c:v>2035</c:v>
                </c:pt>
                <c:pt idx="24">
                  <c:v>2036</c:v>
                </c:pt>
                <c:pt idx="25">
                  <c:v>2037</c:v>
                </c:pt>
                <c:pt idx="26">
                  <c:v>2038</c:v>
                </c:pt>
                <c:pt idx="27">
                  <c:v>2039</c:v>
                </c:pt>
                <c:pt idx="28">
                  <c:v>2040</c:v>
                </c:pt>
                <c:pt idx="29">
                  <c:v>2041</c:v>
                </c:pt>
                <c:pt idx="30">
                  <c:v>2042</c:v>
                </c:pt>
                <c:pt idx="31">
                  <c:v>2043</c:v>
                </c:pt>
                <c:pt idx="32">
                  <c:v>2044</c:v>
                </c:pt>
                <c:pt idx="33">
                  <c:v>2045</c:v>
                </c:pt>
                <c:pt idx="34">
                  <c:v>2046</c:v>
                </c:pt>
                <c:pt idx="35">
                  <c:v>2047</c:v>
                </c:pt>
                <c:pt idx="36">
                  <c:v>2048</c:v>
                </c:pt>
                <c:pt idx="37">
                  <c:v>2049</c:v>
                </c:pt>
                <c:pt idx="38">
                  <c:v>2050</c:v>
                </c:pt>
              </c:numCache>
            </c:numRef>
          </c:cat>
          <c:val>
            <c:numRef>
              <c:f>Hárok1!$H$11:$AT$11</c:f>
              <c:numCache>
                <c:formatCode>#,##0</c:formatCode>
                <c:ptCount val="39"/>
                <c:pt idx="0">
                  <c:v>1321935.2177887294</c:v>
                </c:pt>
                <c:pt idx="1">
                  <c:v>1495516.4159372207</c:v>
                </c:pt>
                <c:pt idx="2">
                  <c:v>2062076.2459882763</c:v>
                </c:pt>
                <c:pt idx="3">
                  <c:v>2670284.9702560427</c:v>
                </c:pt>
                <c:pt idx="4">
                  <c:v>2833920.8713587392</c:v>
                </c:pt>
                <c:pt idx="5">
                  <c:v>2827771.8319984335</c:v>
                </c:pt>
                <c:pt idx="6">
                  <c:v>2835431.5924422694</c:v>
                </c:pt>
                <c:pt idx="7">
                  <c:v>2819953.0229275804</c:v>
                </c:pt>
                <c:pt idx="8">
                  <c:v>2804474.4534128909</c:v>
                </c:pt>
                <c:pt idx="9">
                  <c:v>2905837.1952144671</c:v>
                </c:pt>
                <c:pt idx="10">
                  <c:v>3007199.9370160438</c:v>
                </c:pt>
                <c:pt idx="11">
                  <c:v>3108562.6788176205</c:v>
                </c:pt>
                <c:pt idx="12">
                  <c:v>3259509.5954751642</c:v>
                </c:pt>
                <c:pt idx="13">
                  <c:v>3517888.7993252249</c:v>
                </c:pt>
                <c:pt idx="14">
                  <c:v>3693814.0977639188</c:v>
                </c:pt>
                <c:pt idx="15">
                  <c:v>3752485.6504628127</c:v>
                </c:pt>
                <c:pt idx="16">
                  <c:v>3811157.2031617067</c:v>
                </c:pt>
                <c:pt idx="17">
                  <c:v>3836847.0617164015</c:v>
                </c:pt>
                <c:pt idx="18">
                  <c:v>3862536.9202710958</c:v>
                </c:pt>
                <c:pt idx="19">
                  <c:v>3846362.2178253862</c:v>
                </c:pt>
                <c:pt idx="20">
                  <c:v>3830187.5153796761</c:v>
                </c:pt>
                <c:pt idx="21">
                  <c:v>3814012.8129339661</c:v>
                </c:pt>
                <c:pt idx="22">
                  <c:v>3798216.0976743689</c:v>
                </c:pt>
                <c:pt idx="23">
                  <c:v>3777646.7052946091</c:v>
                </c:pt>
                <c:pt idx="24">
                  <c:v>3774298.9738412998</c:v>
                </c:pt>
                <c:pt idx="25">
                  <c:v>3770951.2423879914</c:v>
                </c:pt>
                <c:pt idx="26">
                  <c:v>3767603.5109346826</c:v>
                </c:pt>
                <c:pt idx="27">
                  <c:v>3764255.7794813737</c:v>
                </c:pt>
                <c:pt idx="28">
                  <c:v>3760908.0480280649</c:v>
                </c:pt>
                <c:pt idx="29">
                  <c:v>3760361.4662623783</c:v>
                </c:pt>
                <c:pt idx="30">
                  <c:v>3759814.8844966916</c:v>
                </c:pt>
                <c:pt idx="31">
                  <c:v>3759268.3027310045</c:v>
                </c:pt>
                <c:pt idx="32">
                  <c:v>3758721.7209653179</c:v>
                </c:pt>
                <c:pt idx="33">
                  <c:v>3757604.4226933336</c:v>
                </c:pt>
                <c:pt idx="34">
                  <c:v>3760689.9246986434</c:v>
                </c:pt>
                <c:pt idx="35">
                  <c:v>3763775.4267039527</c:v>
                </c:pt>
                <c:pt idx="36">
                  <c:v>3766860.9287092621</c:v>
                </c:pt>
                <c:pt idx="37">
                  <c:v>3769946.4307145718</c:v>
                </c:pt>
                <c:pt idx="38">
                  <c:v>3773031.9327198812</c:v>
                </c:pt>
              </c:numCache>
            </c:numRef>
          </c:val>
          <c:extLst>
            <c:ext xmlns:c16="http://schemas.microsoft.com/office/drawing/2014/chart" uri="{C3380CC4-5D6E-409C-BE32-E72D297353CC}">
              <c16:uniqueId val="{00000000-DCF4-4366-BA4E-27A9C17CA4CC}"/>
            </c:ext>
          </c:extLst>
        </c:ser>
        <c:ser>
          <c:idx val="3"/>
          <c:order val="1"/>
          <c:tx>
            <c:strRef>
              <c:f>Hárok1!$B$10</c:f>
              <c:strCache>
                <c:ptCount val="1"/>
                <c:pt idx="0">
                  <c:v>Preprava celkom -s projektom, základný variant</c:v>
                </c:pt>
              </c:strCache>
            </c:strRef>
          </c:tx>
          <c:spPr>
            <a:solidFill>
              <a:schemeClr val="accent4"/>
            </a:solidFill>
            <a:ln>
              <a:noFill/>
            </a:ln>
            <a:effectLst/>
          </c:spPr>
          <c:cat>
            <c:numRef>
              <c:f>Hárok1!$H$5:$AT$5</c:f>
              <c:numCache>
                <c:formatCode>General</c:formatCode>
                <c:ptCount val="39"/>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pt idx="19">
                  <c:v>2031</c:v>
                </c:pt>
                <c:pt idx="20">
                  <c:v>2032</c:v>
                </c:pt>
                <c:pt idx="21">
                  <c:v>2033</c:v>
                </c:pt>
                <c:pt idx="22">
                  <c:v>2034</c:v>
                </c:pt>
                <c:pt idx="23">
                  <c:v>2035</c:v>
                </c:pt>
                <c:pt idx="24">
                  <c:v>2036</c:v>
                </c:pt>
                <c:pt idx="25">
                  <c:v>2037</c:v>
                </c:pt>
                <c:pt idx="26">
                  <c:v>2038</c:v>
                </c:pt>
                <c:pt idx="27">
                  <c:v>2039</c:v>
                </c:pt>
                <c:pt idx="28">
                  <c:v>2040</c:v>
                </c:pt>
                <c:pt idx="29">
                  <c:v>2041</c:v>
                </c:pt>
                <c:pt idx="30">
                  <c:v>2042</c:v>
                </c:pt>
                <c:pt idx="31">
                  <c:v>2043</c:v>
                </c:pt>
                <c:pt idx="32">
                  <c:v>2044</c:v>
                </c:pt>
                <c:pt idx="33">
                  <c:v>2045</c:v>
                </c:pt>
                <c:pt idx="34">
                  <c:v>2046</c:v>
                </c:pt>
                <c:pt idx="35">
                  <c:v>2047</c:v>
                </c:pt>
                <c:pt idx="36">
                  <c:v>2048</c:v>
                </c:pt>
                <c:pt idx="37">
                  <c:v>2049</c:v>
                </c:pt>
                <c:pt idx="38">
                  <c:v>2050</c:v>
                </c:pt>
              </c:numCache>
            </c:numRef>
          </c:cat>
          <c:val>
            <c:numRef>
              <c:f>Hárok1!$H$10:$AT$10</c:f>
              <c:numCache>
                <c:formatCode>#,##0</c:formatCode>
                <c:ptCount val="39"/>
                <c:pt idx="0">
                  <c:v>1299524.5737588634</c:v>
                </c:pt>
                <c:pt idx="1">
                  <c:v>1454978.7675106903</c:v>
                </c:pt>
                <c:pt idx="2">
                  <c:v>1962409.6801215308</c:v>
                </c:pt>
                <c:pt idx="3">
                  <c:v>2544068.0709410263</c:v>
                </c:pt>
                <c:pt idx="4">
                  <c:v>2750977.7987307142</c:v>
                </c:pt>
                <c:pt idx="5">
                  <c:v>2726616.7979358844</c:v>
                </c:pt>
                <c:pt idx="6">
                  <c:v>2702255.7971410546</c:v>
                </c:pt>
                <c:pt idx="7">
                  <c:v>2728135.4051995273</c:v>
                </c:pt>
                <c:pt idx="8">
                  <c:v>2754015.0132579994</c:v>
                </c:pt>
                <c:pt idx="9">
                  <c:v>2840936.0632783584</c:v>
                </c:pt>
                <c:pt idx="10">
                  <c:v>2967664.1028031497</c:v>
                </c:pt>
                <c:pt idx="11">
                  <c:v>3094392.1423279415</c:v>
                </c:pt>
                <c:pt idx="12">
                  <c:v>3221120.1818527328</c:v>
                </c:pt>
                <c:pt idx="13">
                  <c:v>3347848.2213775245</c:v>
                </c:pt>
                <c:pt idx="14">
                  <c:v>3434686.8804968409</c:v>
                </c:pt>
                <c:pt idx="15">
                  <c:v>3480416.8164200075</c:v>
                </c:pt>
                <c:pt idx="16">
                  <c:v>3526146.7523431731</c:v>
                </c:pt>
                <c:pt idx="17">
                  <c:v>3548829.0821280908</c:v>
                </c:pt>
                <c:pt idx="18">
                  <c:v>3571511.4119130084</c:v>
                </c:pt>
                <c:pt idx="19">
                  <c:v>3555583.532525043</c:v>
                </c:pt>
                <c:pt idx="20">
                  <c:v>3539655.6531370766</c:v>
                </c:pt>
                <c:pt idx="21">
                  <c:v>3523727.7737491112</c:v>
                </c:pt>
                <c:pt idx="22">
                  <c:v>3507799.8943611458</c:v>
                </c:pt>
                <c:pt idx="23">
                  <c:v>3488343.8623368177</c:v>
                </c:pt>
                <c:pt idx="24">
                  <c:v>3485194.5452162568</c:v>
                </c:pt>
                <c:pt idx="25">
                  <c:v>3482045.2280956949</c:v>
                </c:pt>
                <c:pt idx="26">
                  <c:v>3478895.910975134</c:v>
                </c:pt>
                <c:pt idx="27">
                  <c:v>3475746.5938545722</c:v>
                </c:pt>
                <c:pt idx="28">
                  <c:v>3472597.2767340112</c:v>
                </c:pt>
                <c:pt idx="29">
                  <c:v>3472065.1039197086</c:v>
                </c:pt>
                <c:pt idx="30">
                  <c:v>3471532.9311054065</c:v>
                </c:pt>
                <c:pt idx="31">
                  <c:v>3471000.7582911048</c:v>
                </c:pt>
                <c:pt idx="32">
                  <c:v>3470468.5854768017</c:v>
                </c:pt>
                <c:pt idx="33">
                  <c:v>3469936.4126624996</c:v>
                </c:pt>
                <c:pt idx="34">
                  <c:v>3469010.1982528325</c:v>
                </c:pt>
                <c:pt idx="35">
                  <c:v>3468083.9838431654</c:v>
                </c:pt>
                <c:pt idx="36">
                  <c:v>3467157.7694334984</c:v>
                </c:pt>
                <c:pt idx="37">
                  <c:v>3466231.5550238313</c:v>
                </c:pt>
                <c:pt idx="38">
                  <c:v>3465305.3406141642</c:v>
                </c:pt>
              </c:numCache>
            </c:numRef>
          </c:val>
          <c:extLst>
            <c:ext xmlns:c16="http://schemas.microsoft.com/office/drawing/2014/chart" uri="{C3380CC4-5D6E-409C-BE32-E72D297353CC}">
              <c16:uniqueId val="{00000001-DCF4-4366-BA4E-27A9C17CA4CC}"/>
            </c:ext>
          </c:extLst>
        </c:ser>
        <c:ser>
          <c:idx val="2"/>
          <c:order val="2"/>
          <c:tx>
            <c:strRef>
              <c:f>Hárok1!$B$9</c:f>
              <c:strCache>
                <c:ptCount val="1"/>
                <c:pt idx="0">
                  <c:v>Preprava celkom -s projektom, minimálny variant</c:v>
                </c:pt>
              </c:strCache>
            </c:strRef>
          </c:tx>
          <c:spPr>
            <a:solidFill>
              <a:schemeClr val="accent3"/>
            </a:solidFill>
            <a:ln>
              <a:noFill/>
            </a:ln>
            <a:effectLst/>
          </c:spPr>
          <c:cat>
            <c:numRef>
              <c:f>Hárok1!$H$5:$AT$5</c:f>
              <c:numCache>
                <c:formatCode>General</c:formatCode>
                <c:ptCount val="39"/>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pt idx="19">
                  <c:v>2031</c:v>
                </c:pt>
                <c:pt idx="20">
                  <c:v>2032</c:v>
                </c:pt>
                <c:pt idx="21">
                  <c:v>2033</c:v>
                </c:pt>
                <c:pt idx="22">
                  <c:v>2034</c:v>
                </c:pt>
                <c:pt idx="23">
                  <c:v>2035</c:v>
                </c:pt>
                <c:pt idx="24">
                  <c:v>2036</c:v>
                </c:pt>
                <c:pt idx="25">
                  <c:v>2037</c:v>
                </c:pt>
                <c:pt idx="26">
                  <c:v>2038</c:v>
                </c:pt>
                <c:pt idx="27">
                  <c:v>2039</c:v>
                </c:pt>
                <c:pt idx="28">
                  <c:v>2040</c:v>
                </c:pt>
                <c:pt idx="29">
                  <c:v>2041</c:v>
                </c:pt>
                <c:pt idx="30">
                  <c:v>2042</c:v>
                </c:pt>
                <c:pt idx="31">
                  <c:v>2043</c:v>
                </c:pt>
                <c:pt idx="32">
                  <c:v>2044</c:v>
                </c:pt>
                <c:pt idx="33">
                  <c:v>2045</c:v>
                </c:pt>
                <c:pt idx="34">
                  <c:v>2046</c:v>
                </c:pt>
                <c:pt idx="35">
                  <c:v>2047</c:v>
                </c:pt>
                <c:pt idx="36">
                  <c:v>2048</c:v>
                </c:pt>
                <c:pt idx="37">
                  <c:v>2049</c:v>
                </c:pt>
                <c:pt idx="38">
                  <c:v>2050</c:v>
                </c:pt>
              </c:numCache>
            </c:numRef>
          </c:cat>
          <c:val>
            <c:numRef>
              <c:f>Hárok1!$H$9:$AT$9</c:f>
              <c:numCache>
                <c:formatCode>#,##0</c:formatCode>
                <c:ptCount val="39"/>
                <c:pt idx="0">
                  <c:v>1290810.0972536337</c:v>
                </c:pt>
                <c:pt idx="1">
                  <c:v>1439215.526422238</c:v>
                </c:pt>
                <c:pt idx="2">
                  <c:v>1922628.5906150381</c:v>
                </c:pt>
                <c:pt idx="3">
                  <c:v>2492047.3531061835</c:v>
                </c:pt>
                <c:pt idx="4">
                  <c:v>2649204.5920671434</c:v>
                </c:pt>
                <c:pt idx="5">
                  <c:v>2641131.4675262058</c:v>
                </c:pt>
                <c:pt idx="6">
                  <c:v>2646867.14278941</c:v>
                </c:pt>
                <c:pt idx="7">
                  <c:v>2666690.2770622009</c:v>
                </c:pt>
                <c:pt idx="8">
                  <c:v>2686513.4113349924</c:v>
                </c:pt>
                <c:pt idx="9">
                  <c:v>2779492.3896316788</c:v>
                </c:pt>
                <c:pt idx="10">
                  <c:v>2872471.3679283648</c:v>
                </c:pt>
                <c:pt idx="11">
                  <c:v>2965450.3462250507</c:v>
                </c:pt>
                <c:pt idx="12">
                  <c:v>3058429.3245217372</c:v>
                </c:pt>
                <c:pt idx="13">
                  <c:v>3151408.3028184231</c:v>
                </c:pt>
                <c:pt idx="14">
                  <c:v>3182430.8608802427</c:v>
                </c:pt>
                <c:pt idx="15">
                  <c:v>3211303.7556272657</c:v>
                </c:pt>
                <c:pt idx="16">
                  <c:v>3238564.4028881909</c:v>
                </c:pt>
                <c:pt idx="17">
                  <c:v>3257437.3663580203</c:v>
                </c:pt>
                <c:pt idx="18">
                  <c:v>3276310.3298278502</c:v>
                </c:pt>
                <c:pt idx="19">
                  <c:v>3260658.3844712372</c:v>
                </c:pt>
                <c:pt idx="20">
                  <c:v>3245006.4391146237</c:v>
                </c:pt>
                <c:pt idx="21">
                  <c:v>3229354.4937580107</c:v>
                </c:pt>
                <c:pt idx="22">
                  <c:v>3212370.8385332269</c:v>
                </c:pt>
                <c:pt idx="23">
                  <c:v>3191561.9430329027</c:v>
                </c:pt>
                <c:pt idx="24">
                  <c:v>3187966.5973669179</c:v>
                </c:pt>
                <c:pt idx="25">
                  <c:v>3184588.0696509369</c:v>
                </c:pt>
                <c:pt idx="26">
                  <c:v>3181372.1553974585</c:v>
                </c:pt>
                <c:pt idx="27">
                  <c:v>3178278.2012408581</c:v>
                </c:pt>
                <c:pt idx="28">
                  <c:v>3174452.4865029939</c:v>
                </c:pt>
                <c:pt idx="29">
                  <c:v>3169440.0659887283</c:v>
                </c:pt>
                <c:pt idx="30">
                  <c:v>3164347.5701261405</c:v>
                </c:pt>
                <c:pt idx="31">
                  <c:v>3159195.0177523112</c:v>
                </c:pt>
                <c:pt idx="32">
                  <c:v>3153997.4229950504</c:v>
                </c:pt>
                <c:pt idx="33">
                  <c:v>3149070.0825383775</c:v>
                </c:pt>
                <c:pt idx="34">
                  <c:v>3152347.6109669562</c:v>
                </c:pt>
                <c:pt idx="35">
                  <c:v>3155839.0274183964</c:v>
                </c:pt>
                <c:pt idx="36">
                  <c:v>3159490.8598869829</c:v>
                </c:pt>
                <c:pt idx="37">
                  <c:v>3163263.0043684281</c:v>
                </c:pt>
                <c:pt idx="38">
                  <c:v>3166313.276772717</c:v>
                </c:pt>
              </c:numCache>
            </c:numRef>
          </c:val>
          <c:extLst>
            <c:ext xmlns:c16="http://schemas.microsoft.com/office/drawing/2014/chart" uri="{C3380CC4-5D6E-409C-BE32-E72D297353CC}">
              <c16:uniqueId val="{00000002-DCF4-4366-BA4E-27A9C17CA4CC}"/>
            </c:ext>
          </c:extLst>
        </c:ser>
        <c:ser>
          <c:idx val="0"/>
          <c:order val="3"/>
          <c:tx>
            <c:strRef>
              <c:f>Hárok1!$B$7</c:f>
              <c:strCache>
                <c:ptCount val="1"/>
                <c:pt idx="0">
                  <c:v>Existujúca preprava celkom</c:v>
                </c:pt>
              </c:strCache>
            </c:strRef>
          </c:tx>
          <c:spPr>
            <a:solidFill>
              <a:schemeClr val="accent1"/>
            </a:solidFill>
            <a:ln>
              <a:noFill/>
            </a:ln>
            <a:effectLst/>
          </c:spPr>
          <c:cat>
            <c:numRef>
              <c:f>Hárok1!$H$5:$AT$5</c:f>
              <c:numCache>
                <c:formatCode>General</c:formatCode>
                <c:ptCount val="39"/>
                <c:pt idx="0">
                  <c:v>2012</c:v>
                </c:pt>
                <c:pt idx="1">
                  <c:v>2013</c:v>
                </c:pt>
                <c:pt idx="2">
                  <c:v>2014</c:v>
                </c:pt>
                <c:pt idx="3">
                  <c:v>2015</c:v>
                </c:pt>
                <c:pt idx="4">
                  <c:v>2016</c:v>
                </c:pt>
                <c:pt idx="5">
                  <c:v>2017</c:v>
                </c:pt>
                <c:pt idx="6">
                  <c:v>2018</c:v>
                </c:pt>
                <c:pt idx="7">
                  <c:v>2019</c:v>
                </c:pt>
                <c:pt idx="8">
                  <c:v>2020</c:v>
                </c:pt>
                <c:pt idx="9">
                  <c:v>2021</c:v>
                </c:pt>
                <c:pt idx="10">
                  <c:v>2022</c:v>
                </c:pt>
                <c:pt idx="11">
                  <c:v>2023</c:v>
                </c:pt>
                <c:pt idx="12">
                  <c:v>2024</c:v>
                </c:pt>
                <c:pt idx="13">
                  <c:v>2025</c:v>
                </c:pt>
                <c:pt idx="14">
                  <c:v>2026</c:v>
                </c:pt>
                <c:pt idx="15">
                  <c:v>2027</c:v>
                </c:pt>
                <c:pt idx="16">
                  <c:v>2028</c:v>
                </c:pt>
                <c:pt idx="17">
                  <c:v>2029</c:v>
                </c:pt>
                <c:pt idx="18">
                  <c:v>2030</c:v>
                </c:pt>
                <c:pt idx="19">
                  <c:v>2031</c:v>
                </c:pt>
                <c:pt idx="20">
                  <c:v>2032</c:v>
                </c:pt>
                <c:pt idx="21">
                  <c:v>2033</c:v>
                </c:pt>
                <c:pt idx="22">
                  <c:v>2034</c:v>
                </c:pt>
                <c:pt idx="23">
                  <c:v>2035</c:v>
                </c:pt>
                <c:pt idx="24">
                  <c:v>2036</c:v>
                </c:pt>
                <c:pt idx="25">
                  <c:v>2037</c:v>
                </c:pt>
                <c:pt idx="26">
                  <c:v>2038</c:v>
                </c:pt>
                <c:pt idx="27">
                  <c:v>2039</c:v>
                </c:pt>
                <c:pt idx="28">
                  <c:v>2040</c:v>
                </c:pt>
                <c:pt idx="29">
                  <c:v>2041</c:v>
                </c:pt>
                <c:pt idx="30">
                  <c:v>2042</c:v>
                </c:pt>
                <c:pt idx="31">
                  <c:v>2043</c:v>
                </c:pt>
                <c:pt idx="32">
                  <c:v>2044</c:v>
                </c:pt>
                <c:pt idx="33">
                  <c:v>2045</c:v>
                </c:pt>
                <c:pt idx="34">
                  <c:v>2046</c:v>
                </c:pt>
                <c:pt idx="35">
                  <c:v>2047</c:v>
                </c:pt>
                <c:pt idx="36">
                  <c:v>2048</c:v>
                </c:pt>
                <c:pt idx="37">
                  <c:v>2049</c:v>
                </c:pt>
                <c:pt idx="38">
                  <c:v>2050</c:v>
                </c:pt>
              </c:numCache>
            </c:numRef>
          </c:cat>
          <c:val>
            <c:numRef>
              <c:f>Hárok1!$H$7:$AT$7</c:f>
              <c:numCache>
                <c:formatCode>#,##0</c:formatCode>
                <c:ptCount val="39"/>
                <c:pt idx="0">
                  <c:v>1237902.2860291104</c:v>
                </c:pt>
                <c:pt idx="1">
                  <c:v>1343512.8662229718</c:v>
                </c:pt>
                <c:pt idx="2">
                  <c:v>1683081.3180325874</c:v>
                </c:pt>
                <c:pt idx="3">
                  <c:v>2181877.6305834129</c:v>
                </c:pt>
                <c:pt idx="4">
                  <c:v>2321679.6216769731</c:v>
                </c:pt>
                <c:pt idx="5">
                  <c:v>2312697.4855939485</c:v>
                </c:pt>
                <c:pt idx="6">
                  <c:v>2317524.1493150657</c:v>
                </c:pt>
                <c:pt idx="7">
                  <c:v>2334875.367439792</c:v>
                </c:pt>
                <c:pt idx="8">
                  <c:v>2352226.5855645183</c:v>
                </c:pt>
                <c:pt idx="9">
                  <c:v>2371694.9757106192</c:v>
                </c:pt>
                <c:pt idx="10">
                  <c:v>2391163.3658567201</c:v>
                </c:pt>
                <c:pt idx="11">
                  <c:v>2410631.756002821</c:v>
                </c:pt>
                <c:pt idx="12">
                  <c:v>2430100.1461489219</c:v>
                </c:pt>
                <c:pt idx="13">
                  <c:v>2449568.5362950228</c:v>
                </c:pt>
                <c:pt idx="14">
                  <c:v>2468441.4997648522</c:v>
                </c:pt>
                <c:pt idx="15">
                  <c:v>2487314.4632346816</c:v>
                </c:pt>
                <c:pt idx="16">
                  <c:v>2506187.426704511</c:v>
                </c:pt>
                <c:pt idx="17">
                  <c:v>2525060.3901743405</c:v>
                </c:pt>
                <c:pt idx="18">
                  <c:v>2543933.3536441703</c:v>
                </c:pt>
                <c:pt idx="19">
                  <c:v>2528281.4082875573</c:v>
                </c:pt>
                <c:pt idx="20">
                  <c:v>2512629.4629309438</c:v>
                </c:pt>
                <c:pt idx="21">
                  <c:v>2496977.5175743308</c:v>
                </c:pt>
                <c:pt idx="22">
                  <c:v>2481325.5722177178</c:v>
                </c:pt>
                <c:pt idx="23">
                  <c:v>2465673.6268611047</c:v>
                </c:pt>
                <c:pt idx="24">
                  <c:v>2463282.4412665367</c:v>
                </c:pt>
                <c:pt idx="25">
                  <c:v>2460891.2556719691</c:v>
                </c:pt>
                <c:pt idx="26">
                  <c:v>2458500.0700774011</c:v>
                </c:pt>
                <c:pt idx="27">
                  <c:v>2456108.8844828336</c:v>
                </c:pt>
                <c:pt idx="28">
                  <c:v>2453717.6988882655</c:v>
                </c:pt>
                <c:pt idx="29">
                  <c:v>2452935.8250641711</c:v>
                </c:pt>
                <c:pt idx="30">
                  <c:v>2452153.9512400767</c:v>
                </c:pt>
                <c:pt idx="31">
                  <c:v>2451372.0774159823</c:v>
                </c:pt>
                <c:pt idx="32">
                  <c:v>2450590.2035918878</c:v>
                </c:pt>
                <c:pt idx="33">
                  <c:v>2449808.3297677939</c:v>
                </c:pt>
                <c:pt idx="34">
                  <c:v>2449577.2260006312</c:v>
                </c:pt>
                <c:pt idx="35">
                  <c:v>2449346.1222334681</c:v>
                </c:pt>
                <c:pt idx="36">
                  <c:v>2449115.0184663059</c:v>
                </c:pt>
                <c:pt idx="37">
                  <c:v>2448883.9146991428</c:v>
                </c:pt>
                <c:pt idx="38">
                  <c:v>2448652.8109319801</c:v>
                </c:pt>
              </c:numCache>
            </c:numRef>
          </c:val>
          <c:extLst>
            <c:ext xmlns:c16="http://schemas.microsoft.com/office/drawing/2014/chart" uri="{C3380CC4-5D6E-409C-BE32-E72D297353CC}">
              <c16:uniqueId val="{00000003-DCF4-4366-BA4E-27A9C17CA4CC}"/>
            </c:ext>
          </c:extLst>
        </c:ser>
        <c:dLbls>
          <c:showLegendKey val="0"/>
          <c:showVal val="0"/>
          <c:showCatName val="0"/>
          <c:showSerName val="0"/>
          <c:showPercent val="0"/>
          <c:showBubbleSize val="0"/>
        </c:dLbls>
        <c:axId val="222653864"/>
        <c:axId val="222658784"/>
      </c:areaChart>
      <c:catAx>
        <c:axId val="222653864"/>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k-SK"/>
          </a:p>
        </c:txPr>
        <c:crossAx val="222658784"/>
        <c:crosses val="autoZero"/>
        <c:auto val="1"/>
        <c:lblAlgn val="ctr"/>
        <c:lblOffset val="100"/>
        <c:noMultiLvlLbl val="0"/>
      </c:catAx>
      <c:valAx>
        <c:axId val="222658784"/>
        <c:scaling>
          <c:orientation val="minMax"/>
          <c:max val="4000000"/>
          <c:min val="100000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7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k-SK"/>
          </a:p>
        </c:txPr>
        <c:crossAx val="222653864"/>
        <c:crosses val="autoZero"/>
        <c:crossBetween val="midCat"/>
      </c:valAx>
      <c:spPr>
        <a:noFill/>
        <a:ln>
          <a:noFill/>
        </a:ln>
        <a:effectLst/>
      </c:spPr>
    </c:plotArea>
    <c:legend>
      <c:legendPos val="b"/>
      <c:layout>
        <c:manualLayout>
          <c:xMode val="edge"/>
          <c:yMode val="edge"/>
          <c:x val="1.9235356697664154E-2"/>
          <c:y val="0.88739729876666895"/>
          <c:w val="0.92586528436757953"/>
          <c:h val="9.0882879360793631E-2"/>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k-SK"/>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i="0" baseline="0">
                <a:effectLst/>
              </a:rPr>
              <a:t>ENPV</a:t>
            </a:r>
            <a:r>
              <a:rPr lang="cs-CZ" sz="1800" b="1" i="0" baseline="0">
                <a:effectLst/>
              </a:rPr>
              <a:t> </a:t>
            </a:r>
            <a:endParaRPr lang="en-US">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areaChart>
        <c:grouping val="standard"/>
        <c:varyColors val="0"/>
        <c:ser>
          <c:idx val="0"/>
          <c:order val="0"/>
          <c:tx>
            <c:v>ENPV &gt;= 0 (pravdepodobnosť 0.4995)</c:v>
          </c:tx>
          <c:spPr>
            <a:solidFill>
              <a:schemeClr val="accent1"/>
            </a:solidFill>
            <a:ln>
              <a:noFill/>
            </a:ln>
            <a:effectLst/>
          </c:spPr>
          <c:cat>
            <c:numLit>
              <c:formatCode>#\ ##0.0</c:formatCode>
              <c:ptCount val="69"/>
              <c:pt idx="0">
                <c:v>-508784625.70047742</c:v>
              </c:pt>
              <c:pt idx="1">
                <c:v>-488784625.70047742</c:v>
              </c:pt>
              <c:pt idx="2">
                <c:v>-468784625.70047742</c:v>
              </c:pt>
              <c:pt idx="3">
                <c:v>-448784625.70047742</c:v>
              </c:pt>
              <c:pt idx="4">
                <c:v>-428784625.70047742</c:v>
              </c:pt>
              <c:pt idx="5">
                <c:v>-408784625.70047742</c:v>
              </c:pt>
              <c:pt idx="6">
                <c:v>-388784625.70047742</c:v>
              </c:pt>
              <c:pt idx="7">
                <c:v>-368784625.70047742</c:v>
              </c:pt>
              <c:pt idx="8">
                <c:v>-348784625.70047742</c:v>
              </c:pt>
              <c:pt idx="9">
                <c:v>-328784625.70047742</c:v>
              </c:pt>
              <c:pt idx="10">
                <c:v>-308784625.70047742</c:v>
              </c:pt>
              <c:pt idx="11">
                <c:v>-288784625.70047742</c:v>
              </c:pt>
              <c:pt idx="12">
                <c:v>-268784625.70047742</c:v>
              </c:pt>
              <c:pt idx="13">
                <c:v>-248784625.70047742</c:v>
              </c:pt>
              <c:pt idx="14">
                <c:v>-228784625.70047742</c:v>
              </c:pt>
              <c:pt idx="15">
                <c:v>-208784625.70047742</c:v>
              </c:pt>
              <c:pt idx="16">
                <c:v>-188784625.70047742</c:v>
              </c:pt>
              <c:pt idx="17">
                <c:v>-168784625.70047742</c:v>
              </c:pt>
              <c:pt idx="18">
                <c:v>-148784625.70047742</c:v>
              </c:pt>
              <c:pt idx="19">
                <c:v>-128784625.70047742</c:v>
              </c:pt>
              <c:pt idx="20">
                <c:v>-108784625.70047742</c:v>
              </c:pt>
              <c:pt idx="21">
                <c:v>-88784625.700477421</c:v>
              </c:pt>
              <c:pt idx="22">
                <c:v>-68784625.700477421</c:v>
              </c:pt>
              <c:pt idx="23">
                <c:v>-48784625.700477421</c:v>
              </c:pt>
              <c:pt idx="24">
                <c:v>-28784625.700477421</c:v>
              </c:pt>
              <c:pt idx="25">
                <c:v>-8784625.7004774213</c:v>
              </c:pt>
              <c:pt idx="26">
                <c:v>11215374.299522579</c:v>
              </c:pt>
              <c:pt idx="27">
                <c:v>31215374.299522579</c:v>
              </c:pt>
              <c:pt idx="28">
                <c:v>51215374.299522579</c:v>
              </c:pt>
              <c:pt idx="29">
                <c:v>71215374.299522579</c:v>
              </c:pt>
              <c:pt idx="30">
                <c:v>91215374.299522579</c:v>
              </c:pt>
              <c:pt idx="31">
                <c:v>111215374.29952258</c:v>
              </c:pt>
              <c:pt idx="32">
                <c:v>131215374.29952258</c:v>
              </c:pt>
              <c:pt idx="33">
                <c:v>151215374.29952258</c:v>
              </c:pt>
              <c:pt idx="34">
                <c:v>171215374.29952258</c:v>
              </c:pt>
              <c:pt idx="35">
                <c:v>191215374.29952258</c:v>
              </c:pt>
              <c:pt idx="36">
                <c:v>211215374.29952258</c:v>
              </c:pt>
              <c:pt idx="37">
                <c:v>231215374.29952258</c:v>
              </c:pt>
              <c:pt idx="38">
                <c:v>251215374.29952258</c:v>
              </c:pt>
              <c:pt idx="39">
                <c:v>271215374.29952258</c:v>
              </c:pt>
              <c:pt idx="40">
                <c:v>291215374.29952258</c:v>
              </c:pt>
              <c:pt idx="41">
                <c:v>311215374.29952258</c:v>
              </c:pt>
              <c:pt idx="42">
                <c:v>331215374.29952258</c:v>
              </c:pt>
              <c:pt idx="43">
                <c:v>351215374.29952258</c:v>
              </c:pt>
              <c:pt idx="44">
                <c:v>371215374.29952258</c:v>
              </c:pt>
              <c:pt idx="45">
                <c:v>391215374.29952258</c:v>
              </c:pt>
              <c:pt idx="46">
                <c:v>411215374.29952258</c:v>
              </c:pt>
              <c:pt idx="47">
                <c:v>431215374.29952258</c:v>
              </c:pt>
              <c:pt idx="48">
                <c:v>451215374.29952258</c:v>
              </c:pt>
              <c:pt idx="49">
                <c:v>471215374.29952258</c:v>
              </c:pt>
              <c:pt idx="50">
                <c:v>491215374.29952258</c:v>
              </c:pt>
              <c:pt idx="51">
                <c:v>511215374.29952258</c:v>
              </c:pt>
              <c:pt idx="52">
                <c:v>531215374.29952258</c:v>
              </c:pt>
              <c:pt idx="53">
                <c:v>551215374.29952264</c:v>
              </c:pt>
              <c:pt idx="54">
                <c:v>571215374.29952264</c:v>
              </c:pt>
              <c:pt idx="55">
                <c:v>591215374.29952264</c:v>
              </c:pt>
              <c:pt idx="56">
                <c:v>611215374.29952264</c:v>
              </c:pt>
              <c:pt idx="57">
                <c:v>631215374.29952264</c:v>
              </c:pt>
              <c:pt idx="58">
                <c:v>651215374.29952264</c:v>
              </c:pt>
              <c:pt idx="59">
                <c:v>671215374.29952264</c:v>
              </c:pt>
              <c:pt idx="60">
                <c:v>691215374.29952264</c:v>
              </c:pt>
              <c:pt idx="61">
                <c:v>711215374.29952264</c:v>
              </c:pt>
              <c:pt idx="62">
                <c:v>731215374.29952264</c:v>
              </c:pt>
              <c:pt idx="63">
                <c:v>751215374.29952264</c:v>
              </c:pt>
              <c:pt idx="64">
                <c:v>771215374.29952264</c:v>
              </c:pt>
              <c:pt idx="65">
                <c:v>791215374.29952264</c:v>
              </c:pt>
              <c:pt idx="66">
                <c:v>811215374.29952264</c:v>
              </c:pt>
              <c:pt idx="67">
                <c:v>831215374.29952264</c:v>
              </c:pt>
              <c:pt idx="68">
                <c:v>851215374.29952264</c:v>
              </c:pt>
            </c:numLit>
          </c:cat>
          <c:val>
            <c:numLit>
              <c:formatCode>#\ ##0.0000000000000000000000</c:formatCode>
              <c:ptCount val="56"/>
              <c:pt idx="0">
                <c:v>3.9871754940805699E-13</c:v>
              </c:pt>
              <c:pt idx="1">
                <c:v>7.999230722311947E-13</c:v>
              </c:pt>
              <c:pt idx="2">
                <c:v>1.5606403187488276E-12</c:v>
              </c:pt>
              <c:pt idx="3">
                <c:v>2.9609368786176368E-12</c:v>
              </c:pt>
              <c:pt idx="4">
                <c:v>5.4629497160488836E-12</c:v>
              </c:pt>
              <c:pt idx="5">
                <c:v>9.8016002054270325E-12</c:v>
              </c:pt>
              <c:pt idx="6">
                <c:v>1.7101668851575088E-11</c:v>
              </c:pt>
              <c:pt idx="7">
                <c:v>2.9016947803003234E-11</c:v>
              </c:pt>
              <c:pt idx="8">
                <c:v>4.7878076199610619E-11</c:v>
              </c:pt>
              <c:pt idx="9">
                <c:v>7.6823374884467686E-11</c:v>
              </c:pt>
              <c:pt idx="10">
                <c:v>1.1987311741006014E-10</c:v>
              </c:pt>
              <c:pt idx="11">
                <c:v>1.8189549570053104E-10</c:v>
              </c:pt>
              <c:pt idx="12">
                <c:v>2.6840698706573682E-10</c:v>
              </c:pt>
              <c:pt idx="13">
                <c:v>3.8515666418034448E-10</c:v>
              </c:pt>
              <c:pt idx="14">
                <c:v>5.3746816265582567E-10</c:v>
              </c:pt>
              <c:pt idx="15">
                <c:v>7.2935639938085318E-10</c:v>
              </c:pt>
              <c:pt idx="16">
                <c:v>9.6249521553191231E-10</c:v>
              </c:pt>
              <c:pt idx="17">
                <c:v>1.2351766929661129E-9</c:v>
              </c:pt>
              <c:pt idx="18">
                <c:v>1.5414566807625212E-9</c:v>
              </c:pt>
              <c:pt idx="19">
                <c:v>1.8707049172089823E-9</c:v>
              </c:pt>
              <c:pt idx="20">
                <c:v>2.2077555162793843E-9</c:v>
              </c:pt>
              <c:pt idx="21">
                <c:v>2.5337770411355498E-9</c:v>
              </c:pt>
              <c:pt idx="22">
                <c:v>2.8278576372637048E-9</c:v>
              </c:pt>
              <c:pt idx="23">
                <c:v>3.0691521218930051E-9</c:v>
              </c:pt>
              <c:pt idx="24">
                <c:v>3.2392988338316757E-9</c:v>
              </c:pt>
              <c:pt idx="25">
                <c:v>3.3247220365270504E-9</c:v>
              </c:pt>
              <c:pt idx="26">
                <c:v>3.3184203389226544E-9</c:v>
              </c:pt>
              <c:pt idx="27">
                <c:v>3.220914366034533E-9</c:v>
              </c:pt>
              <c:pt idx="28">
                <c:v>3.0401757298723192E-9</c:v>
              </c:pt>
              <c:pt idx="29">
                <c:v>2.7905507435934984E-9</c:v>
              </c:pt>
              <c:pt idx="30">
                <c:v>2.490880472640649E-9</c:v>
              </c:pt>
              <c:pt idx="31">
                <c:v>2.1621587577495581E-9</c:v>
              </c:pt>
              <c:pt idx="32">
                <c:v>1.8251308144594645E-9</c:v>
              </c:pt>
              <c:pt idx="33">
                <c:v>1.4982081087505784E-9</c:v>
              </c:pt>
              <c:pt idx="34">
                <c:v>1.195974765421123E-9</c:v>
              </c:pt>
              <c:pt idx="35">
                <c:v>9.2841813846326383E-10</c:v>
              </c:pt>
              <c:pt idx="36">
                <c:v>7.0086915023884842E-10</c:v>
              </c:pt>
              <c:pt idx="37">
                <c:v>5.1451968995766817E-10</c:v>
              </c:pt>
              <c:pt idx="38">
                <c:v>3.6731509945273515E-10</c:v>
              </c:pt>
              <c:pt idx="39">
                <c:v>2.5500417512508427E-10</c:v>
              </c:pt>
              <c:pt idx="40">
                <c:v>1.7215812655565017E-10</c:v>
              </c:pt>
              <c:pt idx="41">
                <c:v>1.1302629512505124E-10</c:v>
              </c:pt>
              <c:pt idx="42">
                <c:v>7.2161106448162699E-11</c:v>
              </c:pt>
              <c:pt idx="43">
                <c:v>4.4802123866139385E-11</c:v>
              </c:pt>
              <c:pt idx="44">
                <c:v>2.7049905269611436E-11</c:v>
              </c:pt>
              <c:pt idx="45">
                <c:v>1.5881979163956868E-11</c:v>
              </c:pt>
              <c:pt idx="46">
                <c:v>9.068077489057857E-12</c:v>
              </c:pt>
              <c:pt idx="47">
                <c:v>5.0349776912449519E-12</c:v>
              </c:pt>
              <c:pt idx="48">
                <c:v>2.718639395739405E-12</c:v>
              </c:pt>
              <c:pt idx="49">
                <c:v>1.4275041798947057E-12</c:v>
              </c:pt>
              <c:pt idx="50">
                <c:v>7.2891166177597071E-13</c:v>
              </c:pt>
              <c:pt idx="51">
                <c:v>3.6194629528364644E-13</c:v>
              </c:pt>
              <c:pt idx="52">
                <c:v>1.7477732990398765E-13</c:v>
              </c:pt>
              <c:pt idx="53">
                <c:v>8.2072524476772799E-14</c:v>
              </c:pt>
              <c:pt idx="54">
                <c:v>3.7478500903368919E-14</c:v>
              </c:pt>
              <c:pt idx="55">
                <c:v>1.6643258466632268E-14</c:v>
              </c:pt>
            </c:numLit>
          </c:val>
          <c:extLst>
            <c:ext xmlns:c16="http://schemas.microsoft.com/office/drawing/2014/chart" uri="{C3380CC4-5D6E-409C-BE32-E72D297353CC}">
              <c16:uniqueId val="{00000000-490F-4CE4-ADF1-E3A9D5A36C2F}"/>
            </c:ext>
          </c:extLst>
        </c:ser>
        <c:dLbls>
          <c:showLegendKey val="0"/>
          <c:showVal val="0"/>
          <c:showCatName val="0"/>
          <c:showSerName val="0"/>
          <c:showPercent val="0"/>
          <c:showBubbleSize val="0"/>
        </c:dLbls>
        <c:axId val="673225808"/>
        <c:axId val="673228104"/>
      </c:areaChart>
      <c:areaChart>
        <c:grouping val="standard"/>
        <c:varyColors val="0"/>
        <c:ser>
          <c:idx val="1"/>
          <c:order val="1"/>
          <c:tx>
            <c:v>ENPV &lt;= 0 (pravdepodobnosť 0.5005)</c:v>
          </c:tx>
          <c:spPr>
            <a:solidFill>
              <a:schemeClr val="accent2"/>
            </a:solidFill>
            <a:ln w="25400">
              <a:noFill/>
            </a:ln>
            <a:effectLst/>
          </c:spPr>
          <c:cat>
            <c:numLit>
              <c:formatCode>#\ ##0.0</c:formatCode>
              <c:ptCount val="56"/>
              <c:pt idx="0">
                <c:v>-4.25</c:v>
              </c:pt>
              <c:pt idx="1">
                <c:v>-4.0828881215775032</c:v>
              </c:pt>
              <c:pt idx="2">
                <c:v>-3.9157762431550069</c:v>
              </c:pt>
              <c:pt idx="3">
                <c:v>-3.7486643647325106</c:v>
              </c:pt>
              <c:pt idx="4">
                <c:v>-3.5815524863100143</c:v>
              </c:pt>
              <c:pt idx="5">
                <c:v>-3.4144406078875176</c:v>
              </c:pt>
              <c:pt idx="6">
                <c:v>-3.2473287294650213</c:v>
              </c:pt>
              <c:pt idx="7">
                <c:v>-3.0802168510425245</c:v>
              </c:pt>
              <c:pt idx="8">
                <c:v>-2.9131049726200282</c:v>
              </c:pt>
              <c:pt idx="9">
                <c:v>-2.7459930941975315</c:v>
              </c:pt>
              <c:pt idx="10">
                <c:v>-2.5788812157750352</c:v>
              </c:pt>
              <c:pt idx="11">
                <c:v>-2.4117693373525384</c:v>
              </c:pt>
              <c:pt idx="12">
                <c:v>-2.2446574589300421</c:v>
              </c:pt>
              <c:pt idx="13">
                <c:v>-2.0775455805075458</c:v>
              </c:pt>
              <c:pt idx="14">
                <c:v>-1.910433702085049</c:v>
              </c:pt>
              <c:pt idx="15">
                <c:v>-1.7433218236625525</c:v>
              </c:pt>
              <c:pt idx="16">
                <c:v>-1.576209945240056</c:v>
              </c:pt>
              <c:pt idx="17">
                <c:v>-1.4090980668175597</c:v>
              </c:pt>
              <c:pt idx="18">
                <c:v>-1.2419861883950631</c:v>
              </c:pt>
              <c:pt idx="19">
                <c:v>-1.0748743099725666</c:v>
              </c:pt>
              <c:pt idx="20">
                <c:v>-0.90776243155007019</c:v>
              </c:pt>
              <c:pt idx="21">
                <c:v>-0.74065055312757366</c:v>
              </c:pt>
              <c:pt idx="22">
                <c:v>-0.57353867470507713</c:v>
              </c:pt>
              <c:pt idx="23">
                <c:v>-0.4064267962825806</c:v>
              </c:pt>
              <c:pt idx="24">
                <c:v>-0.23931491786008413</c:v>
              </c:pt>
              <c:pt idx="25">
                <c:v>-7.2203039437587629E-2</c:v>
              </c:pt>
              <c:pt idx="26">
                <c:v>9.4908838984908886E-2</c:v>
              </c:pt>
              <c:pt idx="27">
                <c:v>0.26202071740740535</c:v>
              </c:pt>
              <c:pt idx="28">
                <c:v>0.42913259582990188</c:v>
              </c:pt>
              <c:pt idx="29">
                <c:v>0.59624447425239835</c:v>
              </c:pt>
              <c:pt idx="30">
                <c:v>0.76335635267489488</c:v>
              </c:pt>
              <c:pt idx="31">
                <c:v>0.9304682310973913</c:v>
              </c:pt>
              <c:pt idx="32">
                <c:v>1.0975801095198878</c:v>
              </c:pt>
              <c:pt idx="33">
                <c:v>1.2646919879423846</c:v>
              </c:pt>
              <c:pt idx="34">
                <c:v>1.4318038663648809</c:v>
              </c:pt>
              <c:pt idx="35">
                <c:v>1.5989157447873774</c:v>
              </c:pt>
              <c:pt idx="36">
                <c:v>1.7660276232098739</c:v>
              </c:pt>
              <c:pt idx="37">
                <c:v>1.9331395016323705</c:v>
              </c:pt>
              <c:pt idx="38">
                <c:v>2.1002513800548668</c:v>
              </c:pt>
              <c:pt idx="39">
                <c:v>2.2673632584773635</c:v>
              </c:pt>
              <c:pt idx="40">
                <c:v>2.4344751368998598</c:v>
              </c:pt>
              <c:pt idx="41">
                <c:v>2.6015870153223566</c:v>
              </c:pt>
              <c:pt idx="42">
                <c:v>2.7686988937448529</c:v>
              </c:pt>
              <c:pt idx="43">
                <c:v>2.9358107721673496</c:v>
              </c:pt>
              <c:pt idx="44">
                <c:v>3.102922650589846</c:v>
              </c:pt>
              <c:pt idx="45">
                <c:v>3.2700345290123427</c:v>
              </c:pt>
              <c:pt idx="46">
                <c:v>3.437146407434839</c:v>
              </c:pt>
              <c:pt idx="47">
                <c:v>3.6042582858573353</c:v>
              </c:pt>
              <c:pt idx="48">
                <c:v>3.7713701642798321</c:v>
              </c:pt>
              <c:pt idx="49">
                <c:v>3.9384820427023284</c:v>
              </c:pt>
              <c:pt idx="50">
                <c:v>4.1055939211248251</c:v>
              </c:pt>
              <c:pt idx="51">
                <c:v>4.2727057995473219</c:v>
              </c:pt>
              <c:pt idx="52">
                <c:v>4.4398176779698177</c:v>
              </c:pt>
              <c:pt idx="53">
                <c:v>4.6069295563923145</c:v>
              </c:pt>
              <c:pt idx="54">
                <c:v>4.7740414348148112</c:v>
              </c:pt>
              <c:pt idx="55">
                <c:v>4.9411533132373071</c:v>
              </c:pt>
            </c:numLit>
          </c:cat>
          <c:val>
            <c:numLit>
              <c:formatCode>General</c:formatCode>
              <c:ptCount val="56"/>
              <c:pt idx="0">
                <c:v>3.9871754940805699E-13</c:v>
              </c:pt>
              <c:pt idx="1">
                <c:v>7.999230722311947E-13</c:v>
              </c:pt>
              <c:pt idx="2">
                <c:v>1.5606403187488276E-12</c:v>
              </c:pt>
              <c:pt idx="3">
                <c:v>2.9609368786176368E-12</c:v>
              </c:pt>
              <c:pt idx="4">
                <c:v>5.4629497160488836E-12</c:v>
              </c:pt>
              <c:pt idx="5">
                <c:v>9.8016002054270325E-12</c:v>
              </c:pt>
              <c:pt idx="6">
                <c:v>1.7101668851575088E-11</c:v>
              </c:pt>
              <c:pt idx="7">
                <c:v>2.9016947803003234E-11</c:v>
              </c:pt>
              <c:pt idx="8">
                <c:v>4.7878076199610619E-11</c:v>
              </c:pt>
              <c:pt idx="9">
                <c:v>7.6823374884467686E-11</c:v>
              </c:pt>
              <c:pt idx="10">
                <c:v>1.1987311741006014E-10</c:v>
              </c:pt>
              <c:pt idx="11">
                <c:v>1.8189549570053104E-10</c:v>
              </c:pt>
              <c:pt idx="12">
                <c:v>2.6840698706573682E-10</c:v>
              </c:pt>
              <c:pt idx="13">
                <c:v>3.8515666418034448E-10</c:v>
              </c:pt>
              <c:pt idx="14">
                <c:v>5.3746816265582567E-10</c:v>
              </c:pt>
              <c:pt idx="15">
                <c:v>7.2935639938085318E-10</c:v>
              </c:pt>
              <c:pt idx="16">
                <c:v>9.6249521553191231E-10</c:v>
              </c:pt>
              <c:pt idx="17">
                <c:v>1.2351766929661129E-9</c:v>
              </c:pt>
              <c:pt idx="18">
                <c:v>1.5414566807625212E-9</c:v>
              </c:pt>
              <c:pt idx="19">
                <c:v>1.8707049172089823E-9</c:v>
              </c:pt>
              <c:pt idx="20">
                <c:v>2.2077555162793843E-9</c:v>
              </c:pt>
              <c:pt idx="21">
                <c:v>2.5337770411355498E-9</c:v>
              </c:pt>
              <c:pt idx="22">
                <c:v>2.8278576372637048E-9</c:v>
              </c:pt>
              <c:pt idx="23">
                <c:v>3.0691521218930051E-9</c:v>
              </c:pt>
              <c:pt idx="24">
                <c:v>3.2392988338316757E-9</c:v>
              </c:pt>
              <c:pt idx="25">
                <c:v>3.3247220365270504E-9</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numLit>
          </c:val>
          <c:extLst>
            <c:ext xmlns:c16="http://schemas.microsoft.com/office/drawing/2014/chart" uri="{C3380CC4-5D6E-409C-BE32-E72D297353CC}">
              <c16:uniqueId val="{00000001-490F-4CE4-ADF1-E3A9D5A36C2F}"/>
            </c:ext>
          </c:extLst>
        </c:ser>
        <c:dLbls>
          <c:showLegendKey val="0"/>
          <c:showVal val="0"/>
          <c:showCatName val="0"/>
          <c:showSerName val="0"/>
          <c:showPercent val="0"/>
          <c:showBubbleSize val="0"/>
        </c:dLbls>
        <c:axId val="443362528"/>
        <c:axId val="443360888"/>
      </c:areaChart>
      <c:catAx>
        <c:axId val="673225808"/>
        <c:scaling>
          <c:orientation val="minMax"/>
        </c:scaling>
        <c:delete val="0"/>
        <c:axPos val="b"/>
        <c:numFmt formatCode="#\ ##0.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673228104"/>
        <c:crosses val="autoZero"/>
        <c:auto val="1"/>
        <c:lblAlgn val="ctr"/>
        <c:lblOffset val="100"/>
        <c:noMultiLvlLbl val="0"/>
      </c:catAx>
      <c:valAx>
        <c:axId val="673228104"/>
        <c:scaling>
          <c:orientation val="minMax"/>
        </c:scaling>
        <c:delete val="1"/>
        <c:axPos val="l"/>
        <c:majorGridlines>
          <c:spPr>
            <a:ln w="9525" cap="flat" cmpd="sng" algn="ctr">
              <a:solidFill>
                <a:schemeClr val="tx1">
                  <a:lumMod val="15000"/>
                  <a:lumOff val="85000"/>
                </a:schemeClr>
              </a:solidFill>
              <a:round/>
            </a:ln>
            <a:effectLst/>
          </c:spPr>
        </c:majorGridlines>
        <c:numFmt formatCode="#\ ##0.0000000000000000000000" sourceLinked="1"/>
        <c:majorTickMark val="none"/>
        <c:minorTickMark val="none"/>
        <c:tickLblPos val="nextTo"/>
        <c:crossAx val="673225808"/>
        <c:crosses val="autoZero"/>
        <c:crossBetween val="midCat"/>
      </c:valAx>
      <c:valAx>
        <c:axId val="443360888"/>
        <c:scaling>
          <c:orientation val="minMax"/>
        </c:scaling>
        <c:delete val="1"/>
        <c:axPos val="r"/>
        <c:numFmt formatCode="General" sourceLinked="1"/>
        <c:majorTickMark val="out"/>
        <c:minorTickMark val="none"/>
        <c:tickLblPos val="nextTo"/>
        <c:crossAx val="443362528"/>
        <c:crosses val="max"/>
        <c:crossBetween val="midCat"/>
      </c:valAx>
      <c:catAx>
        <c:axId val="443362528"/>
        <c:scaling>
          <c:orientation val="minMax"/>
        </c:scaling>
        <c:delete val="0"/>
        <c:axPos val="t"/>
        <c:numFmt formatCode="#\ ##0.0"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443360888"/>
        <c:crosses val="max"/>
        <c:auto val="1"/>
        <c:lblAlgn val="ctr"/>
        <c:lblOffset val="100"/>
        <c:tickLblSkip val="255"/>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sk-SK"/>
    </a:p>
  </c:txPr>
  <c:externalData r:id="rId3">
    <c:autoUpdate val="0"/>
  </c:externalData>
  <c:userShapes r:id="rId4"/>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0" i="0" u="none" strike="noStrike" baseline="0">
                <a:solidFill>
                  <a:srgbClr val="333333"/>
                </a:solidFill>
                <a:latin typeface="Calibri"/>
                <a:ea typeface="Calibri"/>
                <a:cs typeface="Calibri"/>
              </a:defRPr>
            </a:pPr>
            <a:r>
              <a:rPr lang="en-US"/>
              <a:t>Zmena FNPV_C (+/- 1% zmena)</a:t>
            </a:r>
          </a:p>
        </c:rich>
      </c:tx>
      <c:overlay val="0"/>
      <c:spPr>
        <a:noFill/>
        <a:ln w="25400">
          <a:noFill/>
        </a:ln>
      </c:spPr>
    </c:title>
    <c:autoTitleDeleted val="0"/>
    <c:plotArea>
      <c:layout/>
      <c:barChart>
        <c:barDir val="bar"/>
        <c:grouping val="clustered"/>
        <c:varyColors val="0"/>
        <c:ser>
          <c:idx val="0"/>
          <c:order val="0"/>
          <c:tx>
            <c:v>-1%</c:v>
          </c:tx>
          <c:spPr>
            <a:solidFill>
              <a:srgbClr val="4F81BD"/>
            </a:solidFill>
            <a:ln w="25400">
              <a:noFill/>
            </a:ln>
          </c:spPr>
          <c:invertIfNegative val="0"/>
          <c:cat>
            <c:strRef>
              <c:f>'15 AC FNPV_C-Optimal.'!$B$13:$B$16</c:f>
              <c:strCache>
                <c:ptCount val="4"/>
                <c:pt idx="0">
                  <c:v>Investičné výdavky</c:v>
                </c:pt>
                <c:pt idx="1">
                  <c:v>Prevádzkové výdavky</c:v>
                </c:pt>
                <c:pt idx="2">
                  <c:v>Prevádzkové príjmy</c:v>
                </c:pt>
                <c:pt idx="3">
                  <c:v>Zostatková hodnota</c:v>
                </c:pt>
              </c:strCache>
            </c:strRef>
          </c:cat>
          <c:val>
            <c:numRef>
              <c:f>'15 AC FNPV_C-Optimal.'!$E$13:$E$16</c:f>
              <c:numCache>
                <c:formatCode>0.000%</c:formatCode>
                <c:ptCount val="4"/>
                <c:pt idx="0">
                  <c:v>1.5279187537239336E-2</c:v>
                </c:pt>
                <c:pt idx="1">
                  <c:v>-5.0123804119406312E-3</c:v>
                </c:pt>
                <c:pt idx="2">
                  <c:v>-1.8231144279790001E-4</c:v>
                </c:pt>
                <c:pt idx="3">
                  <c:v>-8.449568250101791E-5</c:v>
                </c:pt>
              </c:numCache>
            </c:numRef>
          </c:val>
          <c:extLst>
            <c:ext xmlns:c16="http://schemas.microsoft.com/office/drawing/2014/chart" uri="{C3380CC4-5D6E-409C-BE32-E72D297353CC}">
              <c16:uniqueId val="{00000000-09A2-4AE4-A61F-863CF77AF156}"/>
            </c:ext>
          </c:extLst>
        </c:ser>
        <c:ser>
          <c:idx val="1"/>
          <c:order val="1"/>
          <c:tx>
            <c:v>+1%</c:v>
          </c:tx>
          <c:spPr>
            <a:solidFill>
              <a:srgbClr val="C0504D"/>
            </a:solidFill>
            <a:ln w="25400">
              <a:noFill/>
            </a:ln>
          </c:spPr>
          <c:invertIfNegative val="0"/>
          <c:cat>
            <c:strRef>
              <c:f>'15 AC FNPV_C-Optimal.'!$B$13:$B$16</c:f>
              <c:strCache>
                <c:ptCount val="4"/>
                <c:pt idx="0">
                  <c:v>Investičné výdavky</c:v>
                </c:pt>
                <c:pt idx="1">
                  <c:v>Prevádzkové výdavky</c:v>
                </c:pt>
                <c:pt idx="2">
                  <c:v>Prevádzkové príjmy</c:v>
                </c:pt>
                <c:pt idx="3">
                  <c:v>Zostatková hodnota</c:v>
                </c:pt>
              </c:strCache>
            </c:strRef>
          </c:cat>
          <c:val>
            <c:numRef>
              <c:f>'15 AC FNPV_C-Optimal.'!$G$13:$G$16</c:f>
              <c:numCache>
                <c:formatCode>0.000%</c:formatCode>
                <c:ptCount val="4"/>
                <c:pt idx="0">
                  <c:v>-1.5279187537239558E-2</c:v>
                </c:pt>
                <c:pt idx="1">
                  <c:v>5.0123804119406312E-3</c:v>
                </c:pt>
                <c:pt idx="2">
                  <c:v>1.823114427983441E-4</c:v>
                </c:pt>
                <c:pt idx="3">
                  <c:v>8.4495682500906888E-5</c:v>
                </c:pt>
              </c:numCache>
            </c:numRef>
          </c:val>
          <c:extLst>
            <c:ext xmlns:c16="http://schemas.microsoft.com/office/drawing/2014/chart" uri="{C3380CC4-5D6E-409C-BE32-E72D297353CC}">
              <c16:uniqueId val="{00000001-09A2-4AE4-A61F-863CF77AF156}"/>
            </c:ext>
          </c:extLst>
        </c:ser>
        <c:dLbls>
          <c:showLegendKey val="0"/>
          <c:showVal val="0"/>
          <c:showCatName val="0"/>
          <c:showSerName val="0"/>
          <c:showPercent val="0"/>
          <c:showBubbleSize val="0"/>
        </c:dLbls>
        <c:gapWidth val="182"/>
        <c:axId val="719747992"/>
        <c:axId val="1"/>
      </c:barChart>
      <c:catAx>
        <c:axId val="719747992"/>
        <c:scaling>
          <c:orientation val="minMax"/>
        </c:scaling>
        <c:delete val="0"/>
        <c:axPos val="l"/>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sk-SK"/>
          </a:p>
        </c:txPr>
        <c:crossAx val="1"/>
        <c:crosses val="autoZero"/>
        <c:auto val="1"/>
        <c:lblAlgn val="ctr"/>
        <c:lblOffset val="100"/>
        <c:noMultiLvlLbl val="0"/>
      </c:catAx>
      <c:valAx>
        <c:axId val="1"/>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out"/>
        <c:minorTickMark val="none"/>
        <c:tickLblPos val="nextTo"/>
        <c:spPr>
          <a:ln w="9525">
            <a:noFill/>
          </a:ln>
        </c:spPr>
        <c:txPr>
          <a:bodyPr rot="0" vert="horz"/>
          <a:lstStyle/>
          <a:p>
            <a:pPr>
              <a:defRPr sz="900" b="0" i="0" u="none" strike="noStrike" baseline="0">
                <a:solidFill>
                  <a:srgbClr val="333333"/>
                </a:solidFill>
                <a:latin typeface="Calibri"/>
                <a:ea typeface="Calibri"/>
                <a:cs typeface="Calibri"/>
              </a:defRPr>
            </a:pPr>
            <a:endParaRPr lang="sk-SK"/>
          </a:p>
        </c:txPr>
        <c:crossAx val="7197479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sk-SK"/>
    </a:p>
  </c:txPr>
  <c:externalData r:id="rId1">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i="0" baseline="0">
                <a:effectLst/>
              </a:rPr>
              <a:t>Citlivosť </a:t>
            </a:r>
            <a:r>
              <a:rPr lang="cs-CZ" sz="1800" b="1" i="0" baseline="0">
                <a:effectLst/>
              </a:rPr>
              <a:t>ENPV</a:t>
            </a:r>
            <a:r>
              <a:rPr lang="en-US" sz="1800" b="1" i="0" baseline="0">
                <a:effectLst/>
              </a:rPr>
              <a:t> na zmeny premenných </a:t>
            </a:r>
            <a:r>
              <a:rPr lang="cs-CZ" sz="1800" b="1" i="0" baseline="0">
                <a:effectLst/>
              </a:rPr>
              <a:t>ekonomického</a:t>
            </a:r>
            <a:r>
              <a:rPr lang="en-US" sz="1800" b="1" i="0" baseline="0">
                <a:effectLst/>
              </a:rPr>
              <a:t> modelu +1%/-1%</a:t>
            </a:r>
            <a:endParaRPr lang="en-US">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barChart>
        <c:barDir val="bar"/>
        <c:grouping val="clustered"/>
        <c:varyColors val="0"/>
        <c:ser>
          <c:idx val="0"/>
          <c:order val="0"/>
          <c:tx>
            <c:v>Zmena -1%</c:v>
          </c:tx>
          <c:spPr>
            <a:solidFill>
              <a:srgbClr val="FC8174"/>
            </a:solidFill>
            <a:ln>
              <a:noFill/>
            </a:ln>
            <a:effectLst/>
          </c:spPr>
          <c:invertIfNegative val="0"/>
          <c:cat>
            <c:strRef>
              <c:f>'15 CA_ENPV "rozvojový"'!$B$13:$B$21</c:f>
              <c:strCache>
                <c:ptCount val="8"/>
                <c:pt idx="0">
                  <c:v>Investičné výdavky - zmena v %</c:v>
                </c:pt>
                <c:pt idx="1">
                  <c:v>Prevádzkové náklady - zmena v %</c:v>
                </c:pt>
                <c:pt idx="2">
                  <c:v>Počet prepravených cestujúcich - zmena v %</c:v>
                </c:pt>
                <c:pt idx="3">
                  <c:v>úspora času - zmena v %</c:v>
                </c:pt>
                <c:pt idx="4">
                  <c:v>Prevedená doprava z ciest úspora vzkm - zmena v %</c:v>
                </c:pt>
                <c:pt idx="5">
                  <c:v>Cena PHM v EUR - zmena v %</c:v>
                </c:pt>
                <c:pt idx="6">
                  <c:v>Rast HDP - zmena v %</c:v>
                </c:pt>
                <c:pt idx="7">
                  <c:v>Zostatková hodnota - zmena v %</c:v>
                </c:pt>
              </c:strCache>
              <c:extLst/>
            </c:strRef>
          </c:cat>
          <c:val>
            <c:numRef>
              <c:f>'15 CA_ENPV "rozvojový"'!$C$13:$C$21</c:f>
              <c:numCache>
                <c:formatCode>0.000%</c:formatCode>
                <c:ptCount val="8"/>
                <c:pt idx="0">
                  <c:v>1.4183099457862891E-2</c:v>
                </c:pt>
                <c:pt idx="1">
                  <c:v>2.0476657550416721E-3</c:v>
                </c:pt>
                <c:pt idx="2">
                  <c:v>-3.0524091684247523E-6</c:v>
                </c:pt>
                <c:pt idx="3">
                  <c:v>-2.5426695218284334E-2</c:v>
                </c:pt>
                <c:pt idx="4">
                  <c:v>-1.3490315861064417E-5</c:v>
                </c:pt>
                <c:pt idx="5" formatCode="0.0000%">
                  <c:v>-4.0987310305773406E-6</c:v>
                </c:pt>
                <c:pt idx="6">
                  <c:v>-4.7538298421329062E-3</c:v>
                </c:pt>
                <c:pt idx="7">
                  <c:v>-7.9057967875895141E-4</c:v>
                </c:pt>
              </c:numCache>
              <c:extLst/>
            </c:numRef>
          </c:val>
          <c:extLst>
            <c:ext xmlns:c16="http://schemas.microsoft.com/office/drawing/2014/chart" uri="{C3380CC4-5D6E-409C-BE32-E72D297353CC}">
              <c16:uniqueId val="{00000000-A27C-4D20-B971-D1DDABF40A02}"/>
            </c:ext>
          </c:extLst>
        </c:ser>
        <c:ser>
          <c:idx val="2"/>
          <c:order val="1"/>
          <c:tx>
            <c:v>Zmena +1%</c:v>
          </c:tx>
          <c:spPr>
            <a:solidFill>
              <a:srgbClr val="3399FF"/>
            </a:solidFill>
            <a:ln>
              <a:noFill/>
            </a:ln>
            <a:effectLst/>
          </c:spPr>
          <c:invertIfNegative val="0"/>
          <c:cat>
            <c:strRef>
              <c:f>'15 CA_ENPV "rozvojový"'!$B$13:$B$21</c:f>
              <c:strCache>
                <c:ptCount val="8"/>
                <c:pt idx="0">
                  <c:v>Investičné výdavky - zmena v %</c:v>
                </c:pt>
                <c:pt idx="1">
                  <c:v>Prevádzkové náklady - zmena v %</c:v>
                </c:pt>
                <c:pt idx="2">
                  <c:v>Počet prepravených cestujúcich - zmena v %</c:v>
                </c:pt>
                <c:pt idx="3">
                  <c:v>úspora času - zmena v %</c:v>
                </c:pt>
                <c:pt idx="4">
                  <c:v>Prevedená doprava z ciest úspora vzkm - zmena v %</c:v>
                </c:pt>
                <c:pt idx="5">
                  <c:v>Cena PHM v EUR - zmena v %</c:v>
                </c:pt>
                <c:pt idx="6">
                  <c:v>Rast HDP - zmena v %</c:v>
                </c:pt>
                <c:pt idx="7">
                  <c:v>Zostatková hodnota - zmena v %</c:v>
                </c:pt>
              </c:strCache>
              <c:extLst/>
            </c:strRef>
          </c:cat>
          <c:val>
            <c:numRef>
              <c:f>'15 CA_ENPV "rozvojový"'!$E$13:$E$21</c:f>
              <c:numCache>
                <c:formatCode>0.000%</c:formatCode>
                <c:ptCount val="8"/>
                <c:pt idx="0">
                  <c:v>-1.4183099457863446E-2</c:v>
                </c:pt>
                <c:pt idx="1">
                  <c:v>-2.0476657550417832E-3</c:v>
                </c:pt>
                <c:pt idx="2">
                  <c:v>3.0524091700900868E-6</c:v>
                </c:pt>
                <c:pt idx="3">
                  <c:v>2.5426695218285111E-2</c:v>
                </c:pt>
                <c:pt idx="4">
                  <c:v>1.3490315860398283E-5</c:v>
                </c:pt>
                <c:pt idx="5" formatCode="0.0000%">
                  <c:v>4.098731030355296E-6</c:v>
                </c:pt>
                <c:pt idx="6">
                  <c:v>2.5546175828998763E-3</c:v>
                </c:pt>
                <c:pt idx="7">
                  <c:v>7.9057967875928448E-4</c:v>
                </c:pt>
              </c:numCache>
              <c:extLst/>
            </c:numRef>
          </c:val>
          <c:extLst>
            <c:ext xmlns:c16="http://schemas.microsoft.com/office/drawing/2014/chart" uri="{C3380CC4-5D6E-409C-BE32-E72D297353CC}">
              <c16:uniqueId val="{00000001-A27C-4D20-B971-D1DDABF40A02}"/>
            </c:ext>
          </c:extLst>
        </c:ser>
        <c:dLbls>
          <c:showLegendKey val="0"/>
          <c:showVal val="0"/>
          <c:showCatName val="0"/>
          <c:showSerName val="0"/>
          <c:showPercent val="0"/>
          <c:showBubbleSize val="0"/>
        </c:dLbls>
        <c:gapWidth val="182"/>
        <c:axId val="777269288"/>
        <c:axId val="777269616"/>
      </c:barChart>
      <c:catAx>
        <c:axId val="777269288"/>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777269616"/>
        <c:crosses val="autoZero"/>
        <c:auto val="1"/>
        <c:lblAlgn val="ctr"/>
        <c:lblOffset val="100"/>
        <c:noMultiLvlLbl val="0"/>
      </c:catAx>
      <c:valAx>
        <c:axId val="777269616"/>
        <c:scaling>
          <c:orientation val="minMax"/>
        </c:scaling>
        <c:delete val="0"/>
        <c:axPos val="b"/>
        <c:majorGridlines>
          <c:spPr>
            <a:ln w="9525" cap="flat" cmpd="sng" algn="ctr">
              <a:solidFill>
                <a:schemeClr val="tx1">
                  <a:lumMod val="15000"/>
                  <a:lumOff val="85000"/>
                </a:schemeClr>
              </a:solidFill>
              <a:round/>
            </a:ln>
            <a:effectLst/>
          </c:spPr>
        </c:majorGridlines>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777269288"/>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sk-SK"/>
          </a:p>
        </c:txPr>
      </c:dTable>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sk-SK"/>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i="0" baseline="0">
                <a:effectLst/>
              </a:rPr>
              <a:t>FNP</a:t>
            </a:r>
            <a:r>
              <a:rPr lang="cs-CZ" sz="1800" b="1" i="0" baseline="0">
                <a:effectLst/>
              </a:rPr>
              <a:t>V_C</a:t>
            </a:r>
            <a:endParaRPr lang="en-US">
              <a:effectLst/>
            </a:endParaRPr>
          </a:p>
        </c:rich>
      </c:tx>
      <c:layout>
        <c:manualLayout>
          <c:xMode val="edge"/>
          <c:yMode val="edge"/>
          <c:x val="0.40968296715599667"/>
          <c:y val="1.418439716312056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manualLayout>
          <c:layoutTarget val="inner"/>
          <c:xMode val="edge"/>
          <c:yMode val="edge"/>
          <c:x val="4.5439559039436722E-2"/>
          <c:y val="0.16980292565621882"/>
          <c:w val="0.72181933508311469"/>
          <c:h val="0.5847378973461651"/>
        </c:manualLayout>
      </c:layout>
      <c:areaChart>
        <c:grouping val="standard"/>
        <c:varyColors val="0"/>
        <c:ser>
          <c:idx val="0"/>
          <c:order val="0"/>
          <c:tx>
            <c:v>FNPV_C &gt;= 0 (pravdepodobnosť 0.0321)</c:v>
          </c:tx>
          <c:spPr>
            <a:solidFill>
              <a:schemeClr val="accent1"/>
            </a:solidFill>
            <a:ln>
              <a:noFill/>
            </a:ln>
            <a:effectLst/>
          </c:spPr>
          <c:cat>
            <c:numLit>
              <c:formatCode>#,##0</c:formatCode>
              <c:ptCount val="90"/>
              <c:pt idx="0">
                <c:v>-493293308.43203843</c:v>
              </c:pt>
              <c:pt idx="1">
                <c:v>-486293308.43203843</c:v>
              </c:pt>
              <c:pt idx="2">
                <c:v>-479293308.43203843</c:v>
              </c:pt>
              <c:pt idx="3">
                <c:v>-472293308.43203843</c:v>
              </c:pt>
              <c:pt idx="4">
                <c:v>-465293308.43203843</c:v>
              </c:pt>
              <c:pt idx="5">
                <c:v>-458293308.43203843</c:v>
              </c:pt>
              <c:pt idx="6">
                <c:v>-451293308.43203843</c:v>
              </c:pt>
              <c:pt idx="7">
                <c:v>-444293308.43203843</c:v>
              </c:pt>
              <c:pt idx="8">
                <c:v>-437293308.43203843</c:v>
              </c:pt>
              <c:pt idx="9">
                <c:v>-430293308.43203843</c:v>
              </c:pt>
              <c:pt idx="10">
                <c:v>-423293308.43203843</c:v>
              </c:pt>
              <c:pt idx="11">
                <c:v>-416293308.43203843</c:v>
              </c:pt>
              <c:pt idx="12">
                <c:v>-409293308.43203843</c:v>
              </c:pt>
              <c:pt idx="13">
                <c:v>-402293308.43203843</c:v>
              </c:pt>
              <c:pt idx="14">
                <c:v>-395293308.43203843</c:v>
              </c:pt>
              <c:pt idx="15">
                <c:v>-388293308.43203843</c:v>
              </c:pt>
              <c:pt idx="16">
                <c:v>-381293308.43203843</c:v>
              </c:pt>
              <c:pt idx="17">
                <c:v>-374293308.43203843</c:v>
              </c:pt>
              <c:pt idx="18">
                <c:v>-367293308.43203843</c:v>
              </c:pt>
              <c:pt idx="19">
                <c:v>-360293308.43203843</c:v>
              </c:pt>
              <c:pt idx="20">
                <c:v>-353293308.43203843</c:v>
              </c:pt>
              <c:pt idx="21">
                <c:v>-346293308.43203843</c:v>
              </c:pt>
              <c:pt idx="22">
                <c:v>-339293308.43203843</c:v>
              </c:pt>
              <c:pt idx="23">
                <c:v>-332293308.43203843</c:v>
              </c:pt>
              <c:pt idx="24">
                <c:v>-325293308.43203843</c:v>
              </c:pt>
              <c:pt idx="25">
                <c:v>-318293308.43203843</c:v>
              </c:pt>
              <c:pt idx="26">
                <c:v>-311293308.43203843</c:v>
              </c:pt>
              <c:pt idx="27">
                <c:v>-304293308.43203843</c:v>
              </c:pt>
              <c:pt idx="28">
                <c:v>-297293308.43203843</c:v>
              </c:pt>
              <c:pt idx="29">
                <c:v>-290293308.43203843</c:v>
              </c:pt>
              <c:pt idx="30">
                <c:v>-283293308.43203843</c:v>
              </c:pt>
              <c:pt idx="31">
                <c:v>-276293308.43203843</c:v>
              </c:pt>
              <c:pt idx="32">
                <c:v>-269293308.43203843</c:v>
              </c:pt>
              <c:pt idx="33">
                <c:v>-262293308.43203843</c:v>
              </c:pt>
              <c:pt idx="34">
                <c:v>-255293308.43203843</c:v>
              </c:pt>
              <c:pt idx="35">
                <c:v>-248293308.43203843</c:v>
              </c:pt>
              <c:pt idx="36">
                <c:v>-241293308.43203843</c:v>
              </c:pt>
              <c:pt idx="37">
                <c:v>-234293308.43203843</c:v>
              </c:pt>
              <c:pt idx="38">
                <c:v>-227293308.43203843</c:v>
              </c:pt>
              <c:pt idx="39">
                <c:v>-220293308.43203843</c:v>
              </c:pt>
              <c:pt idx="40">
                <c:v>-213293308.43203843</c:v>
              </c:pt>
              <c:pt idx="41">
                <c:v>-206293308.43203843</c:v>
              </c:pt>
              <c:pt idx="42">
                <c:v>-199293308.43203843</c:v>
              </c:pt>
              <c:pt idx="43">
                <c:v>-192293308.43203843</c:v>
              </c:pt>
              <c:pt idx="44">
                <c:v>-185293308.43203843</c:v>
              </c:pt>
              <c:pt idx="45">
                <c:v>-178293308.43203843</c:v>
              </c:pt>
              <c:pt idx="46">
                <c:v>-171293308.43203843</c:v>
              </c:pt>
              <c:pt idx="47">
                <c:v>-164293308.43203843</c:v>
              </c:pt>
              <c:pt idx="48">
                <c:v>-157293308.43203843</c:v>
              </c:pt>
              <c:pt idx="49">
                <c:v>-150293308.43203843</c:v>
              </c:pt>
              <c:pt idx="50">
                <c:v>-143293308.43203843</c:v>
              </c:pt>
              <c:pt idx="51">
                <c:v>-136293308.43203843</c:v>
              </c:pt>
              <c:pt idx="52">
                <c:v>-129293308.43203843</c:v>
              </c:pt>
              <c:pt idx="53">
                <c:v>-122293308.43203843</c:v>
              </c:pt>
              <c:pt idx="54">
                <c:v>-115293308.43203843</c:v>
              </c:pt>
              <c:pt idx="55">
                <c:v>-108293308.43203843</c:v>
              </c:pt>
              <c:pt idx="56">
                <c:v>-101293308.43203843</c:v>
              </c:pt>
              <c:pt idx="57">
                <c:v>-94293308.432038426</c:v>
              </c:pt>
              <c:pt idx="58">
                <c:v>-87293308.432038426</c:v>
              </c:pt>
              <c:pt idx="59">
                <c:v>-80293308.432038426</c:v>
              </c:pt>
              <c:pt idx="60">
                <c:v>-73293308.432038426</c:v>
              </c:pt>
              <c:pt idx="61">
                <c:v>-66293308.432038426</c:v>
              </c:pt>
              <c:pt idx="62">
                <c:v>-59293308.432038426</c:v>
              </c:pt>
              <c:pt idx="63">
                <c:v>-52293308.432038426</c:v>
              </c:pt>
              <c:pt idx="64">
                <c:v>-45293308.432038426</c:v>
              </c:pt>
              <c:pt idx="65">
                <c:v>-38293308.432038426</c:v>
              </c:pt>
              <c:pt idx="66">
                <c:v>-31293308.432038426</c:v>
              </c:pt>
              <c:pt idx="67">
                <c:v>-24293308.432038426</c:v>
              </c:pt>
              <c:pt idx="68">
                <c:v>-17293308.432038426</c:v>
              </c:pt>
              <c:pt idx="69">
                <c:v>-10293308.432038426</c:v>
              </c:pt>
              <c:pt idx="70">
                <c:v>-3293308.4320384264</c:v>
              </c:pt>
              <c:pt idx="71">
                <c:v>3706691.5679615736</c:v>
              </c:pt>
              <c:pt idx="72">
                <c:v>10706691.567961574</c:v>
              </c:pt>
              <c:pt idx="73">
                <c:v>17706691.567961574</c:v>
              </c:pt>
              <c:pt idx="74">
                <c:v>24706691.567961574</c:v>
              </c:pt>
              <c:pt idx="75">
                <c:v>31706691.567961574</c:v>
              </c:pt>
              <c:pt idx="76">
                <c:v>38706691.567961574</c:v>
              </c:pt>
              <c:pt idx="77">
                <c:v>45706691.567961574</c:v>
              </c:pt>
              <c:pt idx="78">
                <c:v>52706691.567961574</c:v>
              </c:pt>
              <c:pt idx="79">
                <c:v>59706691.567961574</c:v>
              </c:pt>
              <c:pt idx="80">
                <c:v>66706691.567961574</c:v>
              </c:pt>
              <c:pt idx="81">
                <c:v>73706691.567961574</c:v>
              </c:pt>
              <c:pt idx="82">
                <c:v>80706691.567961574</c:v>
              </c:pt>
              <c:pt idx="83">
                <c:v>87706691.567961574</c:v>
              </c:pt>
              <c:pt idx="84">
                <c:v>94706691.567961574</c:v>
              </c:pt>
              <c:pt idx="85">
                <c:v>101706691.56796157</c:v>
              </c:pt>
              <c:pt idx="86">
                <c:v>108706691.56796157</c:v>
              </c:pt>
              <c:pt idx="87">
                <c:v>115706691.56796157</c:v>
              </c:pt>
              <c:pt idx="88">
                <c:v>122706691.56796157</c:v>
              </c:pt>
              <c:pt idx="89">
                <c:v>129706691.56796157</c:v>
              </c:pt>
            </c:numLit>
          </c:cat>
          <c:val>
            <c:numLit>
              <c:formatCode>#\ ##0.0000000000000000000000</c:formatCode>
              <c:ptCount val="90"/>
              <c:pt idx="0">
                <c:v>1.5873191106515432E-12</c:v>
              </c:pt>
              <c:pt idx="1">
                <c:v>2.2049378388601261E-12</c:v>
              </c:pt>
              <c:pt idx="2">
                <c:v>3.0418290961642662E-12</c:v>
              </c:pt>
              <c:pt idx="3">
                <c:v>4.1675385230406508E-12</c:v>
              </c:pt>
              <c:pt idx="4">
                <c:v>5.6706231958907446E-12</c:v>
              </c:pt>
              <c:pt idx="5">
                <c:v>7.6628144763940525E-12</c:v>
              </c:pt>
              <c:pt idx="6">
                <c:v>1.0283765997006267E-11</c:v>
              </c:pt>
              <c:pt idx="7">
                <c:v>1.3706368842424313E-11</c:v>
              </c:pt>
              <c:pt idx="8">
                <c:v>1.8142577931132035E-11</c:v>
              </c:pt>
              <c:pt idx="9">
                <c:v>2.3849645812301988E-11</c:v>
              </c:pt>
              <c:pt idx="10">
                <c:v>3.1136602630367408E-11</c:v>
              </c:pt>
              <c:pt idx="11">
                <c:v>4.0370754716924766E-11</c:v>
              </c:pt>
              <c:pt idx="12">
                <c:v>5.198390096697802E-11</c:v>
              </c:pt>
              <c:pt idx="13">
                <c:v>6.647788879932552E-11</c:v>
              </c:pt>
              <c:pt idx="14">
                <c:v>8.4429054285502974E-11</c:v>
              </c:pt>
              <c:pt idx="15">
                <c:v>1.0649101941727391E-10</c:v>
              </c:pt>
              <c:pt idx="16">
                <c:v>1.3339526010157005E-10</c:v>
              </c:pt>
              <c:pt idx="17">
                <c:v>1.6594881890467318E-10</c:v>
              </c:pt>
              <c:pt idx="18">
                <c:v>2.0502852496612709E-10</c:v>
              </c:pt>
              <c:pt idx="19">
                <c:v>2.5157110805616974E-10</c:v>
              </c:pt>
              <c:pt idx="20">
                <c:v>3.0655866200351525E-10</c:v>
              </c:pt>
              <c:pt idx="21">
                <c:v>3.7099903077626675E-10</c:v>
              </c:pt>
              <c:pt idx="22">
                <c:v>4.4590086215239911E-10</c:v>
              </c:pt>
              <c:pt idx="23">
                <c:v>5.3224329978777092E-10</c:v>
              </c:pt>
              <c:pt idx="24">
                <c:v>6.3094056124401689E-10</c:v>
              </c:pt>
              <c:pt idx="25">
                <c:v>7.4280196928702961E-10</c:v>
              </c:pt>
              <c:pt idx="26">
                <c:v>8.6848835374792078E-10</c:v>
              </c:pt>
              <c:pt idx="27">
                <c:v>1.0084661038715191E-9</c:v>
              </c:pt>
              <c:pt idx="28">
                <c:v>1.1629605044567057E-9</c:v>
              </c:pt>
              <c:pt idx="29">
                <c:v>1.3319103079620258E-9</c:v>
              </c:pt>
              <c:pt idx="30">
                <c:v>1.5149257519547874E-9</c:v>
              </c:pt>
              <c:pt idx="31">
                <c:v>1.7112523996455719E-9</c:v>
              </c:pt>
              <c:pt idx="32">
                <c:v>1.9197432357662475E-9</c:v>
              </c:pt>
              <c:pt idx="33">
                <c:v>2.1388413702344752E-9</c:v>
              </c:pt>
              <c:pt idx="34">
                <c:v>2.3665754742547778E-9</c:v>
              </c:pt>
              <c:pt idx="35">
                <c:v>2.6005696929771863E-9</c:v>
              </c:pt>
              <c:pt idx="36">
                <c:v>2.8380692512568832E-9</c:v>
              </c:pt>
              <c:pt idx="37">
                <c:v>3.0759823114186405E-9</c:v>
              </c:pt>
              <c:pt idx="38">
                <c:v>3.3109378824931941E-9</c:v>
              </c:pt>
              <c:pt idx="39">
                <c:v>3.5393587577092196E-9</c:v>
              </c:pt>
              <c:pt idx="40">
                <c:v>3.7575476179494927E-9</c:v>
              </c:pt>
              <c:pt idx="41">
                <c:v>3.9617836356878446E-9</c:v>
              </c:pt>
              <c:pt idx="42">
                <c:v>4.148426200701289E-9</c:v>
              </c:pt>
              <c:pt idx="43">
                <c:v>4.3140218174351228E-9</c:v>
              </c:pt>
              <c:pt idx="44">
                <c:v>4.455409839693227E-9</c:v>
              </c:pt>
              <c:pt idx="45">
                <c:v>4.5698225463818477E-9</c:v>
              </c:pt>
              <c:pt idx="46">
                <c:v>4.6549751437543328E-9</c:v>
              </c:pt>
              <c:pt idx="47">
                <c:v>4.7091416104094706E-9</c:v>
              </c:pt>
              <c:pt idx="48">
                <c:v>4.7312128695262828E-9</c:v>
              </c:pt>
              <c:pt idx="49">
                <c:v>4.7207345499999722E-9</c:v>
              </c:pt>
              <c:pt idx="50">
                <c:v>4.677922540664782E-9</c:v>
              </c:pt>
              <c:pt idx="51">
                <c:v>4.6036555938647043E-9</c:v>
              </c:pt>
              <c:pt idx="52">
                <c:v>4.499445332327062E-9</c:v>
              </c:pt>
              <c:pt idx="53">
                <c:v>4.3673850892597635E-9</c:v>
              </c:pt>
              <c:pt idx="54">
                <c:v>4.2100800001098281E-9</c:v>
              </c:pt>
              <c:pt idx="55">
                <c:v>4.0305616062893775E-9</c:v>
              </c:pt>
              <c:pt idx="56">
                <c:v>3.8321908780400683E-9</c:v>
              </c:pt>
              <c:pt idx="57">
                <c:v>3.618553981331559E-9</c:v>
              </c:pt>
              <c:pt idx="58">
                <c:v>3.3933552845116031E-9</c:v>
              </c:pt>
              <c:pt idx="59">
                <c:v>3.1603120237310235E-9</c:v>
              </c:pt>
              <c:pt idx="60">
                <c:v>2.9230547378666311E-9</c:v>
              </c:pt>
              <c:pt idx="61">
                <c:v>2.6850370742753347E-9</c:v>
              </c:pt>
              <c:pt idx="62">
                <c:v>2.4494578983705622E-9</c:v>
              </c:pt>
              <c:pt idx="63">
                <c:v>2.2191978627341582E-9</c:v>
              </c:pt>
              <c:pt idx="64">
                <c:v>1.9967717590268426E-9</c:v>
              </c:pt>
              <c:pt idx="65">
                <c:v>1.7842971417032038E-9</c:v>
              </c:pt>
              <c:pt idx="66">
                <c:v>1.5834789256347483E-9</c:v>
              </c:pt>
              <c:pt idx="67">
                <c:v>1.3956089619861922E-9</c:v>
              </c:pt>
              <c:pt idx="68">
                <c:v>1.2215790201756282E-9</c:v>
              </c:pt>
              <c:pt idx="69">
                <c:v>1.0619051695393023E-9</c:v>
              </c:pt>
              <c:pt idx="70">
                <c:v>9.1676127207896691E-10</c:v>
              </c:pt>
              <c:pt idx="71">
                <c:v>7.8601916621545355E-10</c:v>
              </c:pt>
              <c:pt idx="72">
                <c:v>6.6929313011558769E-10</c:v>
              </c:pt>
              <c:pt idx="73">
                <c:v>5.6598634359908813E-10</c:v>
              </c:pt>
              <c:pt idx="74">
                <c:v>4.7533729620197251E-10</c:v>
              </c:pt>
              <c:pt idx="75">
                <c:v>3.9646438900689172E-10</c:v>
              </c:pt>
              <c:pt idx="76">
                <c:v>3.2840732195209151E-10</c:v>
              </c:pt>
              <c:pt idx="77">
                <c:v>2.7016422037585733E-10</c:v>
              </c:pt>
              <c:pt idx="78">
                <c:v>2.2072381130418543E-10</c:v>
              </c:pt>
              <c:pt idx="79">
                <c:v>1.7909229224130575E-10</c:v>
              </c:pt>
              <c:pt idx="80">
                <c:v>1.4431482846743895E-10</c:v>
              </c:pt>
              <c:pt idx="81">
                <c:v>1.1549185947809796E-10</c:v>
              </c:pt>
              <c:pt idx="82">
                <c:v>9.1790586311155674E-11</c:v>
              </c:pt>
              <c:pt idx="83">
                <c:v>7.2452148393412533E-11</c:v>
              </c:pt>
              <c:pt idx="84">
                <c:v>5.679508395680634E-11</c:v>
              </c:pt>
              <c:pt idx="85">
                <c:v>4.421570740653896E-11</c:v>
              </c:pt>
              <c:pt idx="86">
                <c:v>3.4186037396406637E-11</c:v>
              </c:pt>
              <c:pt idx="87">
                <c:v>2.6249878824745083E-11</c:v>
              </c:pt>
              <c:pt idx="88">
                <c:v>2.0017608741926624E-11</c:v>
              </c:pt>
              <c:pt idx="89">
                <c:v>1.5160148093118372E-11</c:v>
              </c:pt>
            </c:numLit>
          </c:val>
          <c:extLst>
            <c:ext xmlns:c16="http://schemas.microsoft.com/office/drawing/2014/chart" uri="{C3380CC4-5D6E-409C-BE32-E72D297353CC}">
              <c16:uniqueId val="{00000000-337C-4035-B7A2-286016F25BE4}"/>
            </c:ext>
          </c:extLst>
        </c:ser>
        <c:dLbls>
          <c:showLegendKey val="0"/>
          <c:showVal val="0"/>
          <c:showCatName val="0"/>
          <c:showSerName val="0"/>
          <c:showPercent val="0"/>
          <c:showBubbleSize val="0"/>
        </c:dLbls>
        <c:axId val="451185584"/>
        <c:axId val="442330840"/>
      </c:areaChart>
      <c:areaChart>
        <c:grouping val="standard"/>
        <c:varyColors val="0"/>
        <c:ser>
          <c:idx val="1"/>
          <c:order val="1"/>
          <c:tx>
            <c:v>FNPV_C &lt;= 0 (pravdepodobnosť 0.9679)</c:v>
          </c:tx>
          <c:spPr>
            <a:solidFill>
              <a:schemeClr val="accent2"/>
            </a:solidFill>
            <a:ln w="25400">
              <a:noFill/>
            </a:ln>
            <a:effectLst/>
          </c:spPr>
          <c:cat>
            <c:numLit>
              <c:formatCode>#\ ##0.0</c:formatCode>
              <c:ptCount val="90"/>
              <c:pt idx="0">
                <c:v>-4</c:v>
              </c:pt>
              <c:pt idx="1">
                <c:v>-3.9169751548198</c:v>
              </c:pt>
              <c:pt idx="2">
                <c:v>-3.8339503096396004</c:v>
              </c:pt>
              <c:pt idx="3">
                <c:v>-3.7509254644594003</c:v>
              </c:pt>
              <c:pt idx="4">
                <c:v>-3.6679006192792007</c:v>
              </c:pt>
              <c:pt idx="5">
                <c:v>-3.5848757740990007</c:v>
              </c:pt>
              <c:pt idx="6">
                <c:v>-3.5018509289188007</c:v>
              </c:pt>
              <c:pt idx="7">
                <c:v>-3.4188260837386011</c:v>
              </c:pt>
              <c:pt idx="8">
                <c:v>-3.335801238558401</c:v>
              </c:pt>
              <c:pt idx="9">
                <c:v>-3.252776393378201</c:v>
              </c:pt>
              <c:pt idx="10">
                <c:v>-3.1697515481980014</c:v>
              </c:pt>
              <c:pt idx="11">
                <c:v>-3.0867267030178014</c:v>
              </c:pt>
              <c:pt idx="12">
                <c:v>-3.0037018578376018</c:v>
              </c:pt>
              <c:pt idx="13">
                <c:v>-2.9206770126574018</c:v>
              </c:pt>
              <c:pt idx="14">
                <c:v>-2.8376521674772017</c:v>
              </c:pt>
              <c:pt idx="15">
                <c:v>-2.7546273222970021</c:v>
              </c:pt>
              <c:pt idx="16">
                <c:v>-2.6716024771168021</c:v>
              </c:pt>
              <c:pt idx="17">
                <c:v>-2.5885776319366025</c:v>
              </c:pt>
              <c:pt idx="18">
                <c:v>-2.5055527867564025</c:v>
              </c:pt>
              <c:pt idx="19">
                <c:v>-2.4225279415762024</c:v>
              </c:pt>
              <c:pt idx="20">
                <c:v>-2.3395030963960028</c:v>
              </c:pt>
              <c:pt idx="21">
                <c:v>-2.2564782512158028</c:v>
              </c:pt>
              <c:pt idx="22">
                <c:v>-2.1734534060356028</c:v>
              </c:pt>
              <c:pt idx="23">
                <c:v>-2.0904285608554032</c:v>
              </c:pt>
              <c:pt idx="24">
                <c:v>-2.0074037156752031</c:v>
              </c:pt>
              <c:pt idx="25">
                <c:v>-1.9243788704950033</c:v>
              </c:pt>
              <c:pt idx="26">
                <c:v>-1.8413540253148035</c:v>
              </c:pt>
              <c:pt idx="27">
                <c:v>-1.7583291801346037</c:v>
              </c:pt>
              <c:pt idx="28">
                <c:v>-1.6753043349544037</c:v>
              </c:pt>
              <c:pt idx="29">
                <c:v>-1.5922794897742039</c:v>
              </c:pt>
              <c:pt idx="30">
                <c:v>-1.509254644594004</c:v>
              </c:pt>
              <c:pt idx="31">
                <c:v>-1.4262297994138042</c:v>
              </c:pt>
              <c:pt idx="32">
                <c:v>-1.3432049542336044</c:v>
              </c:pt>
              <c:pt idx="33">
                <c:v>-1.2601801090534044</c:v>
              </c:pt>
              <c:pt idx="34">
                <c:v>-1.1771552638732046</c:v>
              </c:pt>
              <c:pt idx="35">
                <c:v>-1.0941304186930048</c:v>
              </c:pt>
              <c:pt idx="36">
                <c:v>-1.0111055735128049</c:v>
              </c:pt>
              <c:pt idx="37">
                <c:v>-0.92808072833260502</c:v>
              </c:pt>
              <c:pt idx="38">
                <c:v>-0.8450558831524051</c:v>
              </c:pt>
              <c:pt idx="39">
                <c:v>-0.76203103797220528</c:v>
              </c:pt>
              <c:pt idx="40">
                <c:v>-0.67900619279200536</c:v>
              </c:pt>
              <c:pt idx="41">
                <c:v>-0.59598134761180555</c:v>
              </c:pt>
              <c:pt idx="42">
                <c:v>-0.51295650243160562</c:v>
              </c:pt>
              <c:pt idx="43">
                <c:v>-0.42993165725140581</c:v>
              </c:pt>
              <c:pt idx="44">
                <c:v>-0.34690681207120594</c:v>
              </c:pt>
              <c:pt idx="45">
                <c:v>-0.26388196689100607</c:v>
              </c:pt>
              <c:pt idx="46">
                <c:v>-0.1808571217108062</c:v>
              </c:pt>
              <c:pt idx="47">
                <c:v>-9.7832276530606346E-2</c:v>
              </c:pt>
              <c:pt idx="48">
                <c:v>-1.4807431350406481E-2</c:v>
              </c:pt>
              <c:pt idx="49">
                <c:v>6.8217413829793377E-2</c:v>
              </c:pt>
              <c:pt idx="50">
                <c:v>0.15124225900999325</c:v>
              </c:pt>
              <c:pt idx="51">
                <c:v>0.23426710419019312</c:v>
              </c:pt>
              <c:pt idx="52">
                <c:v>0.31729194937039296</c:v>
              </c:pt>
              <c:pt idx="53">
                <c:v>0.40031679455059282</c:v>
              </c:pt>
              <c:pt idx="54">
                <c:v>0.48334163973079269</c:v>
              </c:pt>
              <c:pt idx="55">
                <c:v>0.56636648491099262</c:v>
              </c:pt>
              <c:pt idx="56">
                <c:v>0.64939133009119243</c:v>
              </c:pt>
              <c:pt idx="57">
                <c:v>0.73241617527139236</c:v>
              </c:pt>
              <c:pt idx="58">
                <c:v>0.81544102045159217</c:v>
              </c:pt>
              <c:pt idx="59">
                <c:v>0.89846586563179198</c:v>
              </c:pt>
              <c:pt idx="60">
                <c:v>0.98149071081199191</c:v>
              </c:pt>
              <c:pt idx="61">
                <c:v>1.0645155559921917</c:v>
              </c:pt>
              <c:pt idx="62">
                <c:v>1.1475404011723915</c:v>
              </c:pt>
              <c:pt idx="63">
                <c:v>1.2305652463525916</c:v>
              </c:pt>
              <c:pt idx="64">
                <c:v>1.3135900915327914</c:v>
              </c:pt>
              <c:pt idx="65">
                <c:v>1.3966149367129912</c:v>
              </c:pt>
              <c:pt idx="66">
                <c:v>1.479639781893191</c:v>
              </c:pt>
              <c:pt idx="67">
                <c:v>1.562664627073391</c:v>
              </c:pt>
              <c:pt idx="68">
                <c:v>1.6456894722535909</c:v>
              </c:pt>
              <c:pt idx="69">
                <c:v>1.7287143174337907</c:v>
              </c:pt>
              <c:pt idx="70">
                <c:v>1.8117391626139905</c:v>
              </c:pt>
              <c:pt idx="71">
                <c:v>1.8947640077941905</c:v>
              </c:pt>
              <c:pt idx="72">
                <c:v>1.9777888529743903</c:v>
              </c:pt>
              <c:pt idx="73">
                <c:v>2.0608136981545901</c:v>
              </c:pt>
              <c:pt idx="74">
                <c:v>2.1438385433347902</c:v>
              </c:pt>
              <c:pt idx="75">
                <c:v>2.2268633885149898</c:v>
              </c:pt>
              <c:pt idx="76">
                <c:v>2.3098882336951898</c:v>
              </c:pt>
              <c:pt idx="77">
                <c:v>2.3929130788753894</c:v>
              </c:pt>
              <c:pt idx="78">
                <c:v>2.4759379240555894</c:v>
              </c:pt>
              <c:pt idx="79">
                <c:v>2.5589627692357895</c:v>
              </c:pt>
              <c:pt idx="80">
                <c:v>2.6419876144159891</c:v>
              </c:pt>
              <c:pt idx="81">
                <c:v>2.7250124595961891</c:v>
              </c:pt>
              <c:pt idx="82">
                <c:v>2.8080373047763891</c:v>
              </c:pt>
              <c:pt idx="83">
                <c:v>2.8910621499565887</c:v>
              </c:pt>
              <c:pt idx="84">
                <c:v>2.9740869951367888</c:v>
              </c:pt>
              <c:pt idx="85">
                <c:v>3.0571118403169883</c:v>
              </c:pt>
              <c:pt idx="86">
                <c:v>3.1401366854971884</c:v>
              </c:pt>
              <c:pt idx="87">
                <c:v>3.2231615306773884</c:v>
              </c:pt>
              <c:pt idx="88">
                <c:v>3.306186375857588</c:v>
              </c:pt>
              <c:pt idx="89">
                <c:v>3.389211221037788</c:v>
              </c:pt>
            </c:numLit>
          </c:cat>
          <c:val>
            <c:numLit>
              <c:formatCode>General</c:formatCode>
              <c:ptCount val="90"/>
              <c:pt idx="0">
                <c:v>1.5873191106515432E-12</c:v>
              </c:pt>
              <c:pt idx="1">
                <c:v>2.2049378388601261E-12</c:v>
              </c:pt>
              <c:pt idx="2">
                <c:v>3.0418290961642662E-12</c:v>
              </c:pt>
              <c:pt idx="3">
                <c:v>4.1675385230406508E-12</c:v>
              </c:pt>
              <c:pt idx="4">
                <c:v>5.6706231958907446E-12</c:v>
              </c:pt>
              <c:pt idx="5">
                <c:v>7.6628144763940525E-12</c:v>
              </c:pt>
              <c:pt idx="6">
                <c:v>1.0283765997006267E-11</c:v>
              </c:pt>
              <c:pt idx="7">
                <c:v>1.3706368842424313E-11</c:v>
              </c:pt>
              <c:pt idx="8">
                <c:v>1.8142577931132035E-11</c:v>
              </c:pt>
              <c:pt idx="9">
                <c:v>2.3849645812301988E-11</c:v>
              </c:pt>
              <c:pt idx="10">
                <c:v>3.1136602630367408E-11</c:v>
              </c:pt>
              <c:pt idx="11">
                <c:v>4.0370754716924766E-11</c:v>
              </c:pt>
              <c:pt idx="12">
                <c:v>5.198390096697802E-11</c:v>
              </c:pt>
              <c:pt idx="13">
                <c:v>6.647788879932552E-11</c:v>
              </c:pt>
              <c:pt idx="14">
                <c:v>8.4429054285502974E-11</c:v>
              </c:pt>
              <c:pt idx="15">
                <c:v>1.0649101941727391E-10</c:v>
              </c:pt>
              <c:pt idx="16">
                <c:v>1.3339526010157005E-10</c:v>
              </c:pt>
              <c:pt idx="17">
                <c:v>1.6594881890467318E-10</c:v>
              </c:pt>
              <c:pt idx="18">
                <c:v>2.0502852496612709E-10</c:v>
              </c:pt>
              <c:pt idx="19">
                <c:v>2.5157110805616974E-10</c:v>
              </c:pt>
              <c:pt idx="20">
                <c:v>3.0655866200351525E-10</c:v>
              </c:pt>
              <c:pt idx="21">
                <c:v>3.7099903077626675E-10</c:v>
              </c:pt>
              <c:pt idx="22">
                <c:v>4.4590086215239911E-10</c:v>
              </c:pt>
              <c:pt idx="23">
                <c:v>5.3224329978777092E-10</c:v>
              </c:pt>
              <c:pt idx="24">
                <c:v>6.3094056124401689E-10</c:v>
              </c:pt>
              <c:pt idx="25">
                <c:v>7.4280196928702961E-10</c:v>
              </c:pt>
              <c:pt idx="26">
                <c:v>8.6848835374792078E-10</c:v>
              </c:pt>
              <c:pt idx="27">
                <c:v>1.0084661038715191E-9</c:v>
              </c:pt>
              <c:pt idx="28">
                <c:v>1.1629605044567057E-9</c:v>
              </c:pt>
              <c:pt idx="29">
                <c:v>1.3319103079620258E-9</c:v>
              </c:pt>
              <c:pt idx="30">
                <c:v>1.5149257519547874E-9</c:v>
              </c:pt>
              <c:pt idx="31">
                <c:v>1.7112523996455719E-9</c:v>
              </c:pt>
              <c:pt idx="32">
                <c:v>1.9197432357662475E-9</c:v>
              </c:pt>
              <c:pt idx="33">
                <c:v>2.1388413702344752E-9</c:v>
              </c:pt>
              <c:pt idx="34">
                <c:v>2.3665754742547778E-9</c:v>
              </c:pt>
              <c:pt idx="35">
                <c:v>2.6005696929771863E-9</c:v>
              </c:pt>
              <c:pt idx="36">
                <c:v>2.8380692512568832E-9</c:v>
              </c:pt>
              <c:pt idx="37">
                <c:v>3.0759823114186405E-9</c:v>
              </c:pt>
              <c:pt idx="38">
                <c:v>3.3109378824931941E-9</c:v>
              </c:pt>
              <c:pt idx="39">
                <c:v>3.5393587577092196E-9</c:v>
              </c:pt>
              <c:pt idx="40">
                <c:v>3.7575476179494927E-9</c:v>
              </c:pt>
              <c:pt idx="41">
                <c:v>3.9617836356878446E-9</c:v>
              </c:pt>
              <c:pt idx="42">
                <c:v>4.148426200701289E-9</c:v>
              </c:pt>
              <c:pt idx="43">
                <c:v>4.3140218174351228E-9</c:v>
              </c:pt>
              <c:pt idx="44">
                <c:v>4.455409839693227E-9</c:v>
              </c:pt>
              <c:pt idx="45">
                <c:v>4.5698225463818477E-9</c:v>
              </c:pt>
              <c:pt idx="46">
                <c:v>4.6549751437543328E-9</c:v>
              </c:pt>
              <c:pt idx="47">
                <c:v>4.7091416104094706E-9</c:v>
              </c:pt>
              <c:pt idx="48">
                <c:v>4.7312128695262828E-9</c:v>
              </c:pt>
              <c:pt idx="49">
                <c:v>4.7207345499999722E-9</c:v>
              </c:pt>
              <c:pt idx="50">
                <c:v>4.677922540664782E-9</c:v>
              </c:pt>
              <c:pt idx="51">
                <c:v>4.6036555938647043E-9</c:v>
              </c:pt>
              <c:pt idx="52">
                <c:v>4.499445332327062E-9</c:v>
              </c:pt>
              <c:pt idx="53">
                <c:v>4.3673850892597635E-9</c:v>
              </c:pt>
              <c:pt idx="54">
                <c:v>4.2100800001098281E-9</c:v>
              </c:pt>
              <c:pt idx="55">
                <c:v>4.0305616062893775E-9</c:v>
              </c:pt>
              <c:pt idx="56">
                <c:v>3.8321908780400683E-9</c:v>
              </c:pt>
              <c:pt idx="57">
                <c:v>3.618553981331559E-9</c:v>
              </c:pt>
              <c:pt idx="58">
                <c:v>3.3933552845116031E-9</c:v>
              </c:pt>
              <c:pt idx="59">
                <c:v>3.1603120237310235E-9</c:v>
              </c:pt>
              <c:pt idx="60">
                <c:v>2.9230547378666311E-9</c:v>
              </c:pt>
              <c:pt idx="61">
                <c:v>2.6850370742753347E-9</c:v>
              </c:pt>
              <c:pt idx="62">
                <c:v>2.4494578983705622E-9</c:v>
              </c:pt>
              <c:pt idx="63">
                <c:v>2.2191978627341582E-9</c:v>
              </c:pt>
              <c:pt idx="64">
                <c:v>1.9967717590268426E-9</c:v>
              </c:pt>
              <c:pt idx="65">
                <c:v>1.7842971417032038E-9</c:v>
              </c:pt>
              <c:pt idx="66">
                <c:v>1.5834789256347483E-9</c:v>
              </c:pt>
              <c:pt idx="67">
                <c:v>1.3956089619861922E-9</c:v>
              </c:pt>
              <c:pt idx="68">
                <c:v>1.2215790201756282E-9</c:v>
              </c:pt>
              <c:pt idx="69">
                <c:v>1.0619051695393023E-9</c:v>
              </c:pt>
              <c:pt idx="70">
                <c:v>9.1676127207896691E-10</c:v>
              </c:pt>
              <c:pt idx="71">
                <c:v>0</c:v>
              </c:pt>
              <c:pt idx="72">
                <c:v>0</c:v>
              </c:pt>
              <c:pt idx="73">
                <c:v>0</c:v>
              </c:pt>
              <c:pt idx="74">
                <c:v>0</c:v>
              </c:pt>
              <c:pt idx="75">
                <c:v>0</c:v>
              </c:pt>
              <c:pt idx="76">
                <c:v>0</c:v>
              </c:pt>
              <c:pt idx="77">
                <c:v>0</c:v>
              </c:pt>
              <c:pt idx="78">
                <c:v>0</c:v>
              </c:pt>
            </c:numLit>
          </c:val>
          <c:extLst>
            <c:ext xmlns:c16="http://schemas.microsoft.com/office/drawing/2014/chart" uri="{C3380CC4-5D6E-409C-BE32-E72D297353CC}">
              <c16:uniqueId val="{00000001-337C-4035-B7A2-286016F25BE4}"/>
            </c:ext>
          </c:extLst>
        </c:ser>
        <c:dLbls>
          <c:showLegendKey val="0"/>
          <c:showVal val="0"/>
          <c:showCatName val="0"/>
          <c:showSerName val="0"/>
          <c:showPercent val="0"/>
          <c:showBubbleSize val="0"/>
        </c:dLbls>
        <c:axId val="606951240"/>
        <c:axId val="682944704"/>
      </c:areaChart>
      <c:catAx>
        <c:axId val="451185584"/>
        <c:scaling>
          <c:orientation val="minMax"/>
        </c:scaling>
        <c:delete val="0"/>
        <c:axPos val="b"/>
        <c:numFmt formatCode="#,##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442330840"/>
        <c:crosses val="autoZero"/>
        <c:auto val="1"/>
        <c:lblAlgn val="ctr"/>
        <c:lblOffset val="100"/>
        <c:noMultiLvlLbl val="0"/>
      </c:catAx>
      <c:valAx>
        <c:axId val="442330840"/>
        <c:scaling>
          <c:orientation val="minMax"/>
        </c:scaling>
        <c:delete val="1"/>
        <c:axPos val="l"/>
        <c:majorGridlines>
          <c:spPr>
            <a:ln w="9525" cap="flat" cmpd="sng" algn="ctr">
              <a:solidFill>
                <a:schemeClr val="tx1">
                  <a:lumMod val="15000"/>
                  <a:lumOff val="85000"/>
                </a:schemeClr>
              </a:solidFill>
              <a:round/>
            </a:ln>
            <a:effectLst/>
          </c:spPr>
        </c:majorGridlines>
        <c:numFmt formatCode="#\ ##0.0000000000000000000000" sourceLinked="1"/>
        <c:majorTickMark val="none"/>
        <c:minorTickMark val="none"/>
        <c:tickLblPos val="nextTo"/>
        <c:crossAx val="451185584"/>
        <c:crosses val="autoZero"/>
        <c:crossBetween val="midCat"/>
      </c:valAx>
      <c:valAx>
        <c:axId val="682944704"/>
        <c:scaling>
          <c:orientation val="minMax"/>
        </c:scaling>
        <c:delete val="1"/>
        <c:axPos val="r"/>
        <c:numFmt formatCode="General" sourceLinked="1"/>
        <c:majorTickMark val="out"/>
        <c:minorTickMark val="none"/>
        <c:tickLblPos val="nextTo"/>
        <c:crossAx val="606951240"/>
        <c:crosses val="max"/>
        <c:crossBetween val="midCat"/>
      </c:valAx>
      <c:catAx>
        <c:axId val="606951240"/>
        <c:scaling>
          <c:orientation val="minMax"/>
        </c:scaling>
        <c:delete val="1"/>
        <c:axPos val="t"/>
        <c:numFmt formatCode="#\ ##0.0" sourceLinked="1"/>
        <c:majorTickMark val="out"/>
        <c:minorTickMark val="none"/>
        <c:tickLblPos val="nextTo"/>
        <c:crossAx val="682944704"/>
        <c:crosses val="max"/>
        <c:auto val="1"/>
        <c:lblAlgn val="ctr"/>
        <c:lblOffset val="100"/>
        <c:tickLblSkip val="255"/>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sk-SK"/>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i="0" baseline="0">
                <a:effectLst/>
              </a:rPr>
              <a:t>ENPV</a:t>
            </a:r>
            <a:r>
              <a:rPr lang="cs-CZ" sz="1800" b="1" i="0" baseline="0">
                <a:effectLst/>
              </a:rPr>
              <a:t> </a:t>
            </a:r>
            <a:endParaRPr lang="en-US">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areaChart>
        <c:grouping val="standard"/>
        <c:varyColors val="0"/>
        <c:ser>
          <c:idx val="0"/>
          <c:order val="0"/>
          <c:tx>
            <c:v>ENPV &gt;= 0 (pravdepodobnosť 0.5857)</c:v>
          </c:tx>
          <c:spPr>
            <a:solidFill>
              <a:schemeClr val="accent1"/>
            </a:solidFill>
            <a:ln>
              <a:noFill/>
            </a:ln>
            <a:effectLst/>
          </c:spPr>
          <c:cat>
            <c:numLit>
              <c:formatCode>General</c:formatCode>
              <c:ptCount val="69"/>
              <c:pt idx="0">
                <c:v>-326980495.49443066</c:v>
              </c:pt>
              <c:pt idx="1">
                <c:v>-314980495.49443066</c:v>
              </c:pt>
              <c:pt idx="2">
                <c:v>-302980495.49443066</c:v>
              </c:pt>
              <c:pt idx="3">
                <c:v>-290980495.49443066</c:v>
              </c:pt>
              <c:pt idx="4">
                <c:v>-278980495.49443066</c:v>
              </c:pt>
              <c:pt idx="5">
                <c:v>-266980495.49443066</c:v>
              </c:pt>
              <c:pt idx="6">
                <c:v>-254980495.49443066</c:v>
              </c:pt>
              <c:pt idx="7">
                <c:v>-242980495.49443066</c:v>
              </c:pt>
              <c:pt idx="8">
                <c:v>-230980495.49443066</c:v>
              </c:pt>
              <c:pt idx="9">
                <c:v>-218980495.49443066</c:v>
              </c:pt>
              <c:pt idx="10">
                <c:v>-206980495.49443066</c:v>
              </c:pt>
              <c:pt idx="11">
                <c:v>-194980495.49443066</c:v>
              </c:pt>
              <c:pt idx="12">
                <c:v>-182980495.49443066</c:v>
              </c:pt>
              <c:pt idx="13">
                <c:v>-170980495.49443066</c:v>
              </c:pt>
              <c:pt idx="14">
                <c:v>-158980495.49443066</c:v>
              </c:pt>
              <c:pt idx="15">
                <c:v>-146980495.49443066</c:v>
              </c:pt>
              <c:pt idx="16">
                <c:v>-134980495.49443066</c:v>
              </c:pt>
              <c:pt idx="17">
                <c:v>-122980495.49443066</c:v>
              </c:pt>
              <c:pt idx="18">
                <c:v>-110980495.49443066</c:v>
              </c:pt>
              <c:pt idx="19">
                <c:v>-98980495.494430661</c:v>
              </c:pt>
              <c:pt idx="20">
                <c:v>-86980495.494430661</c:v>
              </c:pt>
              <c:pt idx="21">
                <c:v>-74980495.494430661</c:v>
              </c:pt>
              <c:pt idx="22">
                <c:v>-62980495.494430661</c:v>
              </c:pt>
              <c:pt idx="23">
                <c:v>-50980495.494430661</c:v>
              </c:pt>
              <c:pt idx="24">
                <c:v>-38980495.494430661</c:v>
              </c:pt>
              <c:pt idx="25">
                <c:v>-26980495.494430661</c:v>
              </c:pt>
              <c:pt idx="26">
                <c:v>-14980495.494430661</c:v>
              </c:pt>
              <c:pt idx="27">
                <c:v>-2980495.4944306612</c:v>
              </c:pt>
              <c:pt idx="28">
                <c:v>9019504.5055693388</c:v>
              </c:pt>
              <c:pt idx="29">
                <c:v>21019504.505569339</c:v>
              </c:pt>
              <c:pt idx="30">
                <c:v>33019504.505569339</c:v>
              </c:pt>
              <c:pt idx="31">
                <c:v>45019504.505569339</c:v>
              </c:pt>
              <c:pt idx="32">
                <c:v>57019504.505569339</c:v>
              </c:pt>
              <c:pt idx="33">
                <c:v>69019504.505569339</c:v>
              </c:pt>
              <c:pt idx="34">
                <c:v>81019504.505569339</c:v>
              </c:pt>
              <c:pt idx="35">
                <c:v>93019504.505569339</c:v>
              </c:pt>
              <c:pt idx="36">
                <c:v>105019504.50556934</c:v>
              </c:pt>
              <c:pt idx="37">
                <c:v>117019504.50556934</c:v>
              </c:pt>
              <c:pt idx="38">
                <c:v>129019504.50556934</c:v>
              </c:pt>
              <c:pt idx="39">
                <c:v>141019504.50556934</c:v>
              </c:pt>
              <c:pt idx="40">
                <c:v>153019504.50556934</c:v>
              </c:pt>
              <c:pt idx="41">
                <c:v>165019504.50556934</c:v>
              </c:pt>
              <c:pt idx="42">
                <c:v>177019504.50556934</c:v>
              </c:pt>
              <c:pt idx="43">
                <c:v>189019504.50556934</c:v>
              </c:pt>
              <c:pt idx="44">
                <c:v>201019504.50556934</c:v>
              </c:pt>
              <c:pt idx="45">
                <c:v>213019504.50556934</c:v>
              </c:pt>
              <c:pt idx="46">
                <c:v>225019504.50556934</c:v>
              </c:pt>
              <c:pt idx="47">
                <c:v>237019504.50556934</c:v>
              </c:pt>
              <c:pt idx="48">
                <c:v>249019504.50556934</c:v>
              </c:pt>
              <c:pt idx="49">
                <c:v>261019504.50556934</c:v>
              </c:pt>
              <c:pt idx="50">
                <c:v>273019504.50556934</c:v>
              </c:pt>
              <c:pt idx="51">
                <c:v>285019504.50556934</c:v>
              </c:pt>
              <c:pt idx="52">
                <c:v>297019504.50556934</c:v>
              </c:pt>
              <c:pt idx="53">
                <c:v>309019504.50556934</c:v>
              </c:pt>
              <c:pt idx="54">
                <c:v>321019504.50556934</c:v>
              </c:pt>
              <c:pt idx="55">
                <c:v>333019504.50556934</c:v>
              </c:pt>
              <c:pt idx="56">
                <c:v>345019504.50556934</c:v>
              </c:pt>
              <c:pt idx="57">
                <c:v>357019504.50556934</c:v>
              </c:pt>
              <c:pt idx="58">
                <c:v>369019504.50556934</c:v>
              </c:pt>
              <c:pt idx="59">
                <c:v>381019504.50556934</c:v>
              </c:pt>
              <c:pt idx="60">
                <c:v>393019504.50556934</c:v>
              </c:pt>
              <c:pt idx="61">
                <c:v>405019504.50556934</c:v>
              </c:pt>
              <c:pt idx="62">
                <c:v>417019504.50556934</c:v>
              </c:pt>
              <c:pt idx="63">
                <c:v>429019504.50556934</c:v>
              </c:pt>
              <c:pt idx="64">
                <c:v>441019504.50556934</c:v>
              </c:pt>
              <c:pt idx="65">
                <c:v>453019504.50556934</c:v>
              </c:pt>
              <c:pt idx="66">
                <c:v>465019504.50556934</c:v>
              </c:pt>
              <c:pt idx="67">
                <c:v>477019504.50556934</c:v>
              </c:pt>
              <c:pt idx="68">
                <c:v>489019504.50556934</c:v>
              </c:pt>
            </c:numLit>
          </c:cat>
          <c:val>
            <c:numLit>
              <c:formatCode>General</c:formatCode>
              <c:ptCount val="56"/>
              <c:pt idx="0">
                <c:v>5.8863725053774871E-13</c:v>
              </c:pt>
              <c:pt idx="1">
                <c:v>1.0922214273830114E-12</c:v>
              </c:pt>
              <c:pt idx="2">
                <c:v>1.9827017236762309E-12</c:v>
              </c:pt>
              <c:pt idx="3">
                <c:v>3.5211766832502435E-12</c:v>
              </c:pt>
              <c:pt idx="4">
                <c:v>6.117894618954234E-12</c:v>
              </c:pt>
              <c:pt idx="5">
                <c:v>1.039919945504678E-11</c:v>
              </c:pt>
              <c:pt idx="6">
                <c:v>1.7293446927206437E-11</c:v>
              </c:pt>
              <c:pt idx="7">
                <c:v>2.8135002899174261E-11</c:v>
              </c:pt>
              <c:pt idx="8">
                <c:v>4.4781238905084253E-11</c:v>
              </c:pt>
              <c:pt idx="9">
                <c:v>6.9731496575039159E-11</c:v>
              </c:pt>
              <c:pt idx="10">
                <c:v>1.0622961540734394E-10</c:v>
              </c:pt>
              <c:pt idx="11">
                <c:v>1.5832371564173836E-10</c:v>
              </c:pt>
              <c:pt idx="12">
                <c:v>2.3085010662283092E-10</c:v>
              </c:pt>
              <c:pt idx="13">
                <c:v>3.2930469811636012E-10</c:v>
              </c:pt>
              <c:pt idx="14">
                <c:v>4.595677190785232E-10</c:v>
              </c:pt>
              <c:pt idx="15">
                <c:v>6.2745826673007725E-10</c:v>
              </c:pt>
              <c:pt idx="16">
                <c:v>8.3811558577169352E-10</c:v>
              </c:pt>
              <c:pt idx="17">
                <c:v>1.0952335270222986E-9</c:v>
              </c:pt>
              <c:pt idx="18">
                <c:v>1.4002103519823106E-9</c:v>
              </c:pt>
              <c:pt idx="19">
                <c:v>1.751312227280437E-9</c:v>
              </c:pt>
              <c:pt idx="20">
                <c:v>2.1429775281555112E-9</c:v>
              </c:pt>
              <c:pt idx="21">
                <c:v>2.5654018018920685E-9</c:v>
              </c:pt>
              <c:pt idx="22">
                <c:v>3.0045325638020339E-9</c:v>
              </c:pt>
              <c:pt idx="23">
                <c:v>3.4425652190740117E-9</c:v>
              </c:pt>
              <c:pt idx="24">
                <c:v>3.8589680190541829E-9</c:v>
              </c:pt>
              <c:pt idx="25">
                <c:v>4.2319830884005586E-9</c:v>
              </c:pt>
              <c:pt idx="26">
                <c:v>4.5404658027323505E-9</c:v>
              </c:pt>
              <c:pt idx="27">
                <c:v>4.765852927043171E-9</c:v>
              </c:pt>
              <c:pt idx="28">
                <c:v>4.8940072045793849E-9</c:v>
              </c:pt>
              <c:pt idx="29">
                <c:v>4.916684197427961E-9</c:v>
              </c:pt>
              <c:pt idx="30">
                <c:v>4.832409898657623E-9</c:v>
              </c:pt>
              <c:pt idx="31">
                <c:v>4.646639263378491E-9</c:v>
              </c:pt>
              <c:pt idx="32">
                <c:v>4.371171960102443E-9</c:v>
              </c:pt>
              <c:pt idx="33">
                <c:v>4.0229123200641931E-9</c:v>
              </c:pt>
              <c:pt idx="34">
                <c:v>3.6221546092624746E-9</c:v>
              </c:pt>
              <c:pt idx="35">
                <c:v>3.1906351264162699E-9</c:v>
              </c:pt>
              <c:pt idx="36">
                <c:v>2.7496096398299644E-9</c:v>
              </c:pt>
              <c:pt idx="37">
                <c:v>2.3181881565264009E-9</c:v>
              </c:pt>
              <c:pt idx="38">
                <c:v>1.9120976384676995E-9</c:v>
              </c:pt>
              <c:pt idx="39">
                <c:v>1.5429618526160945E-9</c:v>
              </c:pt>
              <c:pt idx="40">
                <c:v>1.2181031159557035E-9</c:v>
              </c:pt>
              <c:pt idx="41">
                <c:v>9.4079859631009666E-10</c:v>
              </c:pt>
              <c:pt idx="42">
                <c:v>7.1087461946562659E-10</c:v>
              </c:pt>
              <c:pt idx="43">
                <c:v>5.2550045719656453E-10</c:v>
              </c:pt>
              <c:pt idx="44">
                <c:v>3.8004666779774334E-10</c:v>
              </c:pt>
              <c:pt idx="45">
                <c:v>2.6889609870711434E-10</c:v>
              </c:pt>
              <c:pt idx="46">
                <c:v>1.861297589603771E-10</c:v>
              </c:pt>
              <c:pt idx="47">
                <c:v>1.2604652295390612E-10</c:v>
              </c:pt>
              <c:pt idx="48">
                <c:v>8.3508304559050787E-11</c:v>
              </c:pt>
              <c:pt idx="49">
                <c:v>5.4126781570889415E-11</c:v>
              </c:pt>
              <c:pt idx="50">
                <c:v>3.4322466007078778E-11</c:v>
              </c:pt>
              <c:pt idx="51">
                <c:v>2.1292590619560564E-11</c:v>
              </c:pt>
              <c:pt idx="52">
                <c:v>1.292296792268378E-11</c:v>
              </c:pt>
              <c:pt idx="53">
                <c:v>7.6732574516199275E-12</c:v>
              </c:pt>
              <c:pt idx="54">
                <c:v>4.4573939031095057E-12</c:v>
              </c:pt>
              <c:pt idx="55">
                <c:v>2.5331797111180738E-12</c:v>
              </c:pt>
            </c:numLit>
          </c:val>
          <c:extLst>
            <c:ext xmlns:c16="http://schemas.microsoft.com/office/drawing/2014/chart" uri="{C3380CC4-5D6E-409C-BE32-E72D297353CC}">
              <c16:uniqueId val="{00000000-8819-4378-A5B8-34ED10692A84}"/>
            </c:ext>
          </c:extLst>
        </c:ser>
        <c:dLbls>
          <c:showLegendKey val="0"/>
          <c:showVal val="0"/>
          <c:showCatName val="0"/>
          <c:showSerName val="0"/>
          <c:showPercent val="0"/>
          <c:showBubbleSize val="0"/>
        </c:dLbls>
        <c:axId val="673225808"/>
        <c:axId val="673228104"/>
      </c:areaChart>
      <c:areaChart>
        <c:grouping val="standard"/>
        <c:varyColors val="0"/>
        <c:ser>
          <c:idx val="1"/>
          <c:order val="1"/>
          <c:tx>
            <c:v>ENPV &lt;= 0 (pravdepodobnosť 0.4143)</c:v>
          </c:tx>
          <c:spPr>
            <a:solidFill>
              <a:schemeClr val="accent2"/>
            </a:solidFill>
            <a:ln w="25400">
              <a:noFill/>
            </a:ln>
            <a:effectLst/>
          </c:spPr>
          <c:cat>
            <c:numLit>
              <c:formatCode>General</c:formatCode>
              <c:ptCount val="56"/>
              <c:pt idx="0">
                <c:v>-4.25</c:v>
              </c:pt>
              <c:pt idx="1">
                <c:v>-4.1019729917187906</c:v>
              </c:pt>
              <c:pt idx="2">
                <c:v>-3.9539459834375803</c:v>
              </c:pt>
              <c:pt idx="3">
                <c:v>-3.8059189751563705</c:v>
              </c:pt>
              <c:pt idx="4">
                <c:v>-3.657891966875161</c:v>
              </c:pt>
              <c:pt idx="5">
                <c:v>-3.5098649585939512</c:v>
              </c:pt>
              <c:pt idx="6">
                <c:v>-3.3618379503127414</c:v>
              </c:pt>
              <c:pt idx="7">
                <c:v>-3.2138109420315319</c:v>
              </c:pt>
              <c:pt idx="8">
                <c:v>-3.0657839337503221</c:v>
              </c:pt>
              <c:pt idx="9">
                <c:v>-2.9177569254691123</c:v>
              </c:pt>
              <c:pt idx="10">
                <c:v>-2.7697299171879024</c:v>
              </c:pt>
              <c:pt idx="11">
                <c:v>-2.6217029089066926</c:v>
              </c:pt>
              <c:pt idx="12">
                <c:v>-2.4736759006254831</c:v>
              </c:pt>
              <c:pt idx="13">
                <c:v>-2.3256488923442733</c:v>
              </c:pt>
              <c:pt idx="14">
                <c:v>-2.1776218840630635</c:v>
              </c:pt>
              <c:pt idx="15">
                <c:v>-2.0295948757818536</c:v>
              </c:pt>
              <c:pt idx="16">
                <c:v>-1.8815678675006438</c:v>
              </c:pt>
              <c:pt idx="17">
                <c:v>-1.7335408592194341</c:v>
              </c:pt>
              <c:pt idx="18">
                <c:v>-1.5855138509382243</c:v>
              </c:pt>
              <c:pt idx="19">
                <c:v>-1.4374868426570144</c:v>
              </c:pt>
              <c:pt idx="20">
                <c:v>-1.2894598343758046</c:v>
              </c:pt>
              <c:pt idx="21">
                <c:v>-1.141432826094595</c:v>
              </c:pt>
              <c:pt idx="22">
                <c:v>-0.99340581781338511</c:v>
              </c:pt>
              <c:pt idx="23">
                <c:v>-0.84537880953217526</c:v>
              </c:pt>
              <c:pt idx="24">
                <c:v>-0.69735180125096552</c:v>
              </c:pt>
              <c:pt idx="25">
                <c:v>-0.54932479296975578</c:v>
              </c:pt>
              <c:pt idx="26">
                <c:v>-0.40129778468854593</c:v>
              </c:pt>
              <c:pt idx="27">
                <c:v>-0.25327077640733614</c:v>
              </c:pt>
              <c:pt idx="28">
                <c:v>-0.10524376812612637</c:v>
              </c:pt>
              <c:pt idx="29">
                <c:v>4.2783240155083405E-2</c:v>
              </c:pt>
              <c:pt idx="30">
                <c:v>0.19081024843629318</c:v>
              </c:pt>
              <c:pt idx="31">
                <c:v>0.33883725671750298</c:v>
              </c:pt>
              <c:pt idx="32">
                <c:v>0.48686426499871277</c:v>
              </c:pt>
              <c:pt idx="33">
                <c:v>0.63489127327992256</c:v>
              </c:pt>
              <c:pt idx="34">
                <c:v>0.7829182815611323</c:v>
              </c:pt>
              <c:pt idx="35">
                <c:v>0.93094528984234215</c:v>
              </c:pt>
              <c:pt idx="36">
                <c:v>1.0789722981235519</c:v>
              </c:pt>
              <c:pt idx="37">
                <c:v>1.2269993064047617</c:v>
              </c:pt>
              <c:pt idx="38">
                <c:v>1.3750263146859714</c:v>
              </c:pt>
              <c:pt idx="39">
                <c:v>1.5230533229671812</c:v>
              </c:pt>
              <c:pt idx="40">
                <c:v>1.6710803312483911</c:v>
              </c:pt>
              <c:pt idx="41">
                <c:v>1.8191073395296009</c:v>
              </c:pt>
              <c:pt idx="42">
                <c:v>1.9671343478108105</c:v>
              </c:pt>
              <c:pt idx="43">
                <c:v>2.1151613560920204</c:v>
              </c:pt>
              <c:pt idx="44">
                <c:v>2.2631883643732302</c:v>
              </c:pt>
              <c:pt idx="45">
                <c:v>2.4112153726544401</c:v>
              </c:pt>
              <c:pt idx="46">
                <c:v>2.5592423809356499</c:v>
              </c:pt>
              <c:pt idx="47">
                <c:v>2.7072693892168593</c:v>
              </c:pt>
              <c:pt idx="48">
                <c:v>2.8552963974980692</c:v>
              </c:pt>
              <c:pt idx="49">
                <c:v>3.003323405779279</c:v>
              </c:pt>
              <c:pt idx="50">
                <c:v>3.1513504140604889</c:v>
              </c:pt>
              <c:pt idx="51">
                <c:v>3.2993774223416987</c:v>
              </c:pt>
              <c:pt idx="52">
                <c:v>3.447404430622909</c:v>
              </c:pt>
              <c:pt idx="53">
                <c:v>3.5954314389041184</c:v>
              </c:pt>
              <c:pt idx="54">
                <c:v>3.7434584471853283</c:v>
              </c:pt>
              <c:pt idx="55">
                <c:v>3.8914854554665381</c:v>
              </c:pt>
            </c:numLit>
          </c:cat>
          <c:val>
            <c:numLit>
              <c:formatCode>General</c:formatCode>
              <c:ptCount val="56"/>
              <c:pt idx="0">
                <c:v>5.8863725053774871E-13</c:v>
              </c:pt>
              <c:pt idx="1">
                <c:v>1.0922214273830114E-12</c:v>
              </c:pt>
              <c:pt idx="2">
                <c:v>1.9827017236762309E-12</c:v>
              </c:pt>
              <c:pt idx="3">
                <c:v>3.5211766832502435E-12</c:v>
              </c:pt>
              <c:pt idx="4">
                <c:v>6.117894618954234E-12</c:v>
              </c:pt>
              <c:pt idx="5">
                <c:v>1.039919945504678E-11</c:v>
              </c:pt>
              <c:pt idx="6">
                <c:v>1.7293446927206437E-11</c:v>
              </c:pt>
              <c:pt idx="7">
                <c:v>2.8135002899174261E-11</c:v>
              </c:pt>
              <c:pt idx="8">
                <c:v>4.4781238905084253E-11</c:v>
              </c:pt>
              <c:pt idx="9">
                <c:v>6.9731496575039159E-11</c:v>
              </c:pt>
              <c:pt idx="10">
                <c:v>1.0622961540734394E-10</c:v>
              </c:pt>
              <c:pt idx="11">
                <c:v>1.5832371564173836E-10</c:v>
              </c:pt>
              <c:pt idx="12">
                <c:v>2.3085010662283092E-10</c:v>
              </c:pt>
              <c:pt idx="13">
                <c:v>3.2930469811636012E-10</c:v>
              </c:pt>
              <c:pt idx="14">
                <c:v>4.595677190785232E-10</c:v>
              </c:pt>
              <c:pt idx="15">
                <c:v>6.2745826673007725E-10</c:v>
              </c:pt>
              <c:pt idx="16">
                <c:v>8.3811558577169352E-10</c:v>
              </c:pt>
              <c:pt idx="17">
                <c:v>1.0952335270222986E-9</c:v>
              </c:pt>
              <c:pt idx="18">
                <c:v>1.4002103519823106E-9</c:v>
              </c:pt>
              <c:pt idx="19">
                <c:v>1.751312227280437E-9</c:v>
              </c:pt>
              <c:pt idx="20">
                <c:v>2.1429775281555112E-9</c:v>
              </c:pt>
              <c:pt idx="21">
                <c:v>2.5654018018920685E-9</c:v>
              </c:pt>
              <c:pt idx="22">
                <c:v>3.0045325638020339E-9</c:v>
              </c:pt>
              <c:pt idx="23">
                <c:v>3.4425652190740117E-9</c:v>
              </c:pt>
              <c:pt idx="24">
                <c:v>3.8589680190541829E-9</c:v>
              </c:pt>
              <c:pt idx="25">
                <c:v>4.2319830884005586E-9</c:v>
              </c:pt>
              <c:pt idx="26">
                <c:v>4.5404658027323505E-9</c:v>
              </c:pt>
              <c:pt idx="27">
                <c:v>4.765852927043171E-9</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numLit>
          </c:val>
          <c:extLst>
            <c:ext xmlns:c16="http://schemas.microsoft.com/office/drawing/2014/chart" uri="{C3380CC4-5D6E-409C-BE32-E72D297353CC}">
              <c16:uniqueId val="{00000001-8819-4378-A5B8-34ED10692A84}"/>
            </c:ext>
          </c:extLst>
        </c:ser>
        <c:dLbls>
          <c:showLegendKey val="0"/>
          <c:showVal val="0"/>
          <c:showCatName val="0"/>
          <c:showSerName val="0"/>
          <c:showPercent val="0"/>
          <c:showBubbleSize val="0"/>
        </c:dLbls>
        <c:axId val="443362528"/>
        <c:axId val="443360888"/>
      </c:areaChart>
      <c:catAx>
        <c:axId val="673225808"/>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673228104"/>
        <c:crosses val="autoZero"/>
        <c:auto val="1"/>
        <c:lblAlgn val="ctr"/>
        <c:lblOffset val="100"/>
        <c:noMultiLvlLbl val="0"/>
      </c:catAx>
      <c:valAx>
        <c:axId val="673228104"/>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crossAx val="673225808"/>
        <c:crosses val="autoZero"/>
        <c:crossBetween val="midCat"/>
      </c:valAx>
      <c:valAx>
        <c:axId val="443360888"/>
        <c:scaling>
          <c:orientation val="minMax"/>
        </c:scaling>
        <c:delete val="1"/>
        <c:axPos val="r"/>
        <c:numFmt formatCode="General" sourceLinked="1"/>
        <c:majorTickMark val="out"/>
        <c:minorTickMark val="none"/>
        <c:tickLblPos val="nextTo"/>
        <c:crossAx val="443362528"/>
        <c:crosses val="max"/>
        <c:crossBetween val="midCat"/>
      </c:valAx>
      <c:catAx>
        <c:axId val="443362528"/>
        <c:scaling>
          <c:orientation val="minMax"/>
        </c:scaling>
        <c:delete val="0"/>
        <c:axPos val="t"/>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443360888"/>
        <c:crosses val="max"/>
        <c:auto val="1"/>
        <c:lblAlgn val="ctr"/>
        <c:lblOffset val="100"/>
        <c:tickLblSkip val="255"/>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sk-SK"/>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1"/>
          <c:order val="0"/>
          <c:tx>
            <c:strRef>
              <c:f>Hárok1!$F$43</c:f>
              <c:strCache>
                <c:ptCount val="1"/>
                <c:pt idx="0">
                  <c:v>Počet cestujúcich modernizácia</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Hárok1!$F$44:$F$46</c:f>
              <c:numCache>
                <c:formatCode>#,##0</c:formatCode>
                <c:ptCount val="3"/>
                <c:pt idx="0">
                  <c:v>492488.97618367989</c:v>
                </c:pt>
                <c:pt idx="1">
                  <c:v>493791.91421506251</c:v>
                </c:pt>
                <c:pt idx="2">
                  <c:v>613885.11538025131</c:v>
                </c:pt>
              </c:numCache>
            </c:numRef>
          </c:val>
          <c:extLst>
            <c:ext xmlns:c15="http://schemas.microsoft.com/office/drawing/2012/chart" uri="{02D57815-91ED-43cb-92C2-25804820EDAC}">
              <c15:filteredCategoryTitle>
                <c15:cat>
                  <c:multiLvlStrRef>
                    <c:extLst>
                      <c:ext uri="{02D57815-91ED-43cb-92C2-25804820EDAC}">
                        <c15:formulaRef>
                          <c15:sqref>Hárok1!#REF!</c15:sqref>
                        </c15:formulaRef>
                      </c:ext>
                    </c:extLst>
                  </c:multiLvlStrRef>
                </c15:cat>
              </c15:filteredCategoryTitle>
            </c:ext>
            <c:ext xmlns:c16="http://schemas.microsoft.com/office/drawing/2014/chart" uri="{C3380CC4-5D6E-409C-BE32-E72D297353CC}">
              <c16:uniqueId val="{00000000-FACB-4CB0-A91A-426B333375A1}"/>
            </c:ext>
          </c:extLst>
        </c:ser>
        <c:ser>
          <c:idx val="0"/>
          <c:order val="1"/>
          <c:tx>
            <c:strRef>
              <c:f>Hárok1!$E$43</c:f>
              <c:strCache>
                <c:ptCount val="1"/>
                <c:pt idx="0">
                  <c:v>Počet cestujúcich  z TIOP</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sk-SK"/>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Hárok1!$E$44:$E$46</c:f>
              <c:numCache>
                <c:formatCode>#,##0</c:formatCode>
                <c:ptCount val="3"/>
                <c:pt idx="0">
                  <c:v>239888</c:v>
                </c:pt>
                <c:pt idx="1">
                  <c:v>495088</c:v>
                </c:pt>
                <c:pt idx="2">
                  <c:v>635448</c:v>
                </c:pt>
              </c:numCache>
            </c:numRef>
          </c:val>
          <c:extLst>
            <c:ext xmlns:c15="http://schemas.microsoft.com/office/drawing/2012/chart" uri="{02D57815-91ED-43cb-92C2-25804820EDAC}">
              <c15:filteredCategoryTitle>
                <c15:cat>
                  <c:multiLvlStrRef>
                    <c:extLst>
                      <c:ext uri="{02D57815-91ED-43cb-92C2-25804820EDAC}">
                        <c15:formulaRef>
                          <c15:sqref>Hárok1!#REF!</c15:sqref>
                        </c15:formulaRef>
                      </c:ext>
                    </c:extLst>
                  </c:multiLvlStrRef>
                </c15:cat>
              </c15:filteredCategoryTitle>
            </c:ext>
            <c:ext xmlns:c16="http://schemas.microsoft.com/office/drawing/2014/chart" uri="{C3380CC4-5D6E-409C-BE32-E72D297353CC}">
              <c16:uniqueId val="{00000001-FACB-4CB0-A91A-426B333375A1}"/>
            </c:ext>
          </c:extLst>
        </c:ser>
        <c:dLbls>
          <c:showLegendKey val="0"/>
          <c:showVal val="0"/>
          <c:showCatName val="0"/>
          <c:showSerName val="0"/>
          <c:showPercent val="0"/>
          <c:showBubbleSize val="0"/>
        </c:dLbls>
        <c:gapWidth val="150"/>
        <c:overlap val="100"/>
        <c:axId val="913005248"/>
        <c:axId val="913001312"/>
      </c:barChart>
      <c:catAx>
        <c:axId val="91300524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913001312"/>
        <c:crosses val="autoZero"/>
        <c:auto val="1"/>
        <c:lblAlgn val="ctr"/>
        <c:lblOffset val="100"/>
        <c:noMultiLvlLbl val="0"/>
      </c:catAx>
      <c:valAx>
        <c:axId val="9130013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k-SK"/>
          </a:p>
        </c:txPr>
        <c:crossAx val="91300524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sk-SK"/>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sk-SK"/>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0" i="0" u="none" strike="noStrike" baseline="0">
                <a:solidFill>
                  <a:srgbClr val="333333"/>
                </a:solidFill>
                <a:latin typeface="Calibri"/>
                <a:ea typeface="Calibri"/>
                <a:cs typeface="Calibri"/>
              </a:defRPr>
            </a:pPr>
            <a:r>
              <a:rPr lang="en-US"/>
              <a:t>Zmena FNPV_C (+/- 1% zmena)</a:t>
            </a:r>
          </a:p>
        </c:rich>
      </c:tx>
      <c:overlay val="0"/>
      <c:spPr>
        <a:noFill/>
        <a:ln w="25400">
          <a:noFill/>
        </a:ln>
      </c:spPr>
    </c:title>
    <c:autoTitleDeleted val="0"/>
    <c:plotArea>
      <c:layout/>
      <c:barChart>
        <c:barDir val="bar"/>
        <c:grouping val="clustered"/>
        <c:varyColors val="0"/>
        <c:ser>
          <c:idx val="0"/>
          <c:order val="0"/>
          <c:tx>
            <c:v>-1%</c:v>
          </c:tx>
          <c:spPr>
            <a:solidFill>
              <a:srgbClr val="4F81BD"/>
            </a:solidFill>
            <a:ln w="25400">
              <a:noFill/>
            </a:ln>
          </c:spPr>
          <c:invertIfNegative val="0"/>
          <c:cat>
            <c:strRef>
              <c:f>'15 AC FNPV_C-KR'!$B$13:$B$16</c:f>
              <c:strCache>
                <c:ptCount val="4"/>
                <c:pt idx="0">
                  <c:v>Investičné výdavky</c:v>
                </c:pt>
                <c:pt idx="1">
                  <c:v>Prevádzkové výdavky</c:v>
                </c:pt>
                <c:pt idx="2">
                  <c:v>Prevádzkové príjmy</c:v>
                </c:pt>
                <c:pt idx="3">
                  <c:v>Zostatková hodnota</c:v>
                </c:pt>
              </c:strCache>
            </c:strRef>
          </c:cat>
          <c:val>
            <c:numRef>
              <c:f>'15 AC FNPV_C-KR'!$E$13:$E$16</c:f>
              <c:numCache>
                <c:formatCode>0.000%</c:formatCode>
                <c:ptCount val="4"/>
                <c:pt idx="0">
                  <c:v>1.7135372379539326E-2</c:v>
                </c:pt>
                <c:pt idx="1">
                  <c:v>-6.7949683007242356E-3</c:v>
                </c:pt>
                <c:pt idx="2">
                  <c:v>-2.2968477859119929E-4</c:v>
                </c:pt>
                <c:pt idx="3">
                  <c:v>-1.107193002241047E-4</c:v>
                </c:pt>
              </c:numCache>
            </c:numRef>
          </c:val>
          <c:extLst>
            <c:ext xmlns:c16="http://schemas.microsoft.com/office/drawing/2014/chart" uri="{C3380CC4-5D6E-409C-BE32-E72D297353CC}">
              <c16:uniqueId val="{00000000-0B8F-4BA2-ACE0-EE2C66CA590B}"/>
            </c:ext>
          </c:extLst>
        </c:ser>
        <c:ser>
          <c:idx val="1"/>
          <c:order val="1"/>
          <c:tx>
            <c:v>+1%</c:v>
          </c:tx>
          <c:spPr>
            <a:solidFill>
              <a:srgbClr val="C0504D"/>
            </a:solidFill>
            <a:ln w="25400">
              <a:noFill/>
            </a:ln>
          </c:spPr>
          <c:invertIfNegative val="0"/>
          <c:cat>
            <c:strRef>
              <c:f>'15 AC FNPV_C-KR'!$B$13:$B$16</c:f>
              <c:strCache>
                <c:ptCount val="4"/>
                <c:pt idx="0">
                  <c:v>Investičné výdavky</c:v>
                </c:pt>
                <c:pt idx="1">
                  <c:v>Prevádzkové výdavky</c:v>
                </c:pt>
                <c:pt idx="2">
                  <c:v>Prevádzkové príjmy</c:v>
                </c:pt>
                <c:pt idx="3">
                  <c:v>Zostatková hodnota</c:v>
                </c:pt>
              </c:strCache>
            </c:strRef>
          </c:cat>
          <c:val>
            <c:numRef>
              <c:f>'15 AC FNPV_C-KR'!$G$13:$G$16</c:f>
              <c:numCache>
                <c:formatCode>0.000%</c:formatCode>
                <c:ptCount val="4"/>
                <c:pt idx="0">
                  <c:v>-1.7135372379539326E-2</c:v>
                </c:pt>
                <c:pt idx="1">
                  <c:v>6.7949683007242356E-3</c:v>
                </c:pt>
                <c:pt idx="2">
                  <c:v>2.2968477859086622E-4</c:v>
                </c:pt>
                <c:pt idx="3">
                  <c:v>1.1071930022399368E-4</c:v>
                </c:pt>
              </c:numCache>
            </c:numRef>
          </c:val>
          <c:extLst>
            <c:ext xmlns:c16="http://schemas.microsoft.com/office/drawing/2014/chart" uri="{C3380CC4-5D6E-409C-BE32-E72D297353CC}">
              <c16:uniqueId val="{00000001-0B8F-4BA2-ACE0-EE2C66CA590B}"/>
            </c:ext>
          </c:extLst>
        </c:ser>
        <c:dLbls>
          <c:showLegendKey val="0"/>
          <c:showVal val="0"/>
          <c:showCatName val="0"/>
          <c:showSerName val="0"/>
          <c:showPercent val="0"/>
          <c:showBubbleSize val="0"/>
        </c:dLbls>
        <c:gapWidth val="182"/>
        <c:axId val="719747992"/>
        <c:axId val="1"/>
      </c:barChart>
      <c:catAx>
        <c:axId val="719747992"/>
        <c:scaling>
          <c:orientation val="minMax"/>
        </c:scaling>
        <c:delete val="0"/>
        <c:axPos val="l"/>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sk-SK"/>
          </a:p>
        </c:txPr>
        <c:crossAx val="1"/>
        <c:crosses val="autoZero"/>
        <c:auto val="1"/>
        <c:lblAlgn val="ctr"/>
        <c:lblOffset val="100"/>
        <c:noMultiLvlLbl val="0"/>
      </c:catAx>
      <c:valAx>
        <c:axId val="1"/>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out"/>
        <c:minorTickMark val="none"/>
        <c:tickLblPos val="nextTo"/>
        <c:spPr>
          <a:ln w="9525">
            <a:noFill/>
          </a:ln>
        </c:spPr>
        <c:txPr>
          <a:bodyPr rot="0" vert="horz"/>
          <a:lstStyle/>
          <a:p>
            <a:pPr>
              <a:defRPr sz="900" b="0" i="0" u="none" strike="noStrike" baseline="0">
                <a:solidFill>
                  <a:srgbClr val="333333"/>
                </a:solidFill>
                <a:latin typeface="Calibri"/>
                <a:ea typeface="Calibri"/>
                <a:cs typeface="Calibri"/>
              </a:defRPr>
            </a:pPr>
            <a:endParaRPr lang="sk-SK"/>
          </a:p>
        </c:txPr>
        <c:crossAx val="7197479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sk-SK"/>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0" i="0" u="none" strike="noStrike" baseline="0">
                <a:solidFill>
                  <a:srgbClr val="333333"/>
                </a:solidFill>
                <a:latin typeface="Calibri"/>
                <a:ea typeface="Calibri"/>
                <a:cs typeface="Calibri"/>
              </a:defRPr>
            </a:pPr>
            <a:r>
              <a:rPr lang="en-US"/>
              <a:t>Zmena ENPV (+/- 1% zmena)</a:t>
            </a:r>
          </a:p>
        </c:rich>
      </c:tx>
      <c:overlay val="0"/>
      <c:spPr>
        <a:noFill/>
        <a:ln w="25400">
          <a:noFill/>
        </a:ln>
      </c:spPr>
    </c:title>
    <c:autoTitleDeleted val="0"/>
    <c:plotArea>
      <c:layout/>
      <c:barChart>
        <c:barDir val="bar"/>
        <c:grouping val="stacked"/>
        <c:varyColors val="0"/>
        <c:ser>
          <c:idx val="0"/>
          <c:order val="0"/>
          <c:tx>
            <c:v>-1%</c:v>
          </c:tx>
          <c:spPr>
            <a:solidFill>
              <a:srgbClr val="4F81BD"/>
            </a:solidFill>
            <a:ln w="25400">
              <a:noFill/>
            </a:ln>
          </c:spPr>
          <c:invertIfNegative val="0"/>
          <c:cat>
            <c:strRef>
              <c:f>'16 AC ENPV-KR'!$B$18:$B$26</c:f>
              <c:strCache>
                <c:ptCount val="9"/>
                <c:pt idx="0">
                  <c:v>Investičné náklady</c:v>
                </c:pt>
                <c:pt idx="1">
                  <c:v>Prevádzkové náklady</c:v>
                </c:pt>
                <c:pt idx="2">
                  <c:v>Úspora času - osobná doprava</c:v>
                </c:pt>
                <c:pt idx="3">
                  <c:v>vlkm - osobná doprava</c:v>
                </c:pt>
                <c:pt idx="4">
                  <c:v>vzkm - prevedená doprava</c:v>
                </c:pt>
                <c:pt idx="5">
                  <c:v>Úspora času - nákladná doprava</c:v>
                </c:pt>
                <c:pt idx="6">
                  <c:v>vlkm - nákladná doprava</c:v>
                </c:pt>
                <c:pt idx="7">
                  <c:v>množstvo prepraveného tovaru - nákladná doprava</c:v>
                </c:pt>
                <c:pt idx="8">
                  <c:v>Zostatková hodnota</c:v>
                </c:pt>
              </c:strCache>
            </c:strRef>
          </c:cat>
          <c:val>
            <c:numRef>
              <c:f>'16 AC ENPV-KR'!$E$18:$E$26</c:f>
              <c:numCache>
                <c:formatCode>0.000%</c:formatCode>
                <c:ptCount val="9"/>
                <c:pt idx="0">
                  <c:v>8.0893734270360618E-2</c:v>
                </c:pt>
                <c:pt idx="1">
                  <c:v>-3.1522534004160496E-2</c:v>
                </c:pt>
                <c:pt idx="2">
                  <c:v>-1.9523316200462659E-3</c:v>
                </c:pt>
                <c:pt idx="3">
                  <c:v>-6.8731671761512736E-4</c:v>
                </c:pt>
                <c:pt idx="4">
                  <c:v>-2.148344621254461E-3</c:v>
                </c:pt>
                <c:pt idx="5">
                  <c:v>-4.811461900078251E-2</c:v>
                </c:pt>
                <c:pt idx="6">
                  <c:v>-4.8870976956353118E-2</c:v>
                </c:pt>
                <c:pt idx="7">
                  <c:v>-4.8114619000787173E-2</c:v>
                </c:pt>
                <c:pt idx="8">
                  <c:v>-5.1622216225841733E-3</c:v>
                </c:pt>
              </c:numCache>
            </c:numRef>
          </c:val>
          <c:extLst>
            <c:ext xmlns:c16="http://schemas.microsoft.com/office/drawing/2014/chart" uri="{C3380CC4-5D6E-409C-BE32-E72D297353CC}">
              <c16:uniqueId val="{00000000-2CD8-421D-A3E1-4068D6535A59}"/>
            </c:ext>
          </c:extLst>
        </c:ser>
        <c:ser>
          <c:idx val="1"/>
          <c:order val="1"/>
          <c:tx>
            <c:v>1%</c:v>
          </c:tx>
          <c:spPr>
            <a:solidFill>
              <a:srgbClr val="C0504D"/>
            </a:solidFill>
            <a:ln w="25400">
              <a:noFill/>
            </a:ln>
          </c:spPr>
          <c:invertIfNegative val="0"/>
          <c:cat>
            <c:strRef>
              <c:f>'16 AC ENPV-KR'!$B$18:$B$26</c:f>
              <c:strCache>
                <c:ptCount val="9"/>
                <c:pt idx="0">
                  <c:v>Investičné náklady</c:v>
                </c:pt>
                <c:pt idx="1">
                  <c:v>Prevádzkové náklady</c:v>
                </c:pt>
                <c:pt idx="2">
                  <c:v>Úspora času - osobná doprava</c:v>
                </c:pt>
                <c:pt idx="3">
                  <c:v>vlkm - osobná doprava</c:v>
                </c:pt>
                <c:pt idx="4">
                  <c:v>vzkm - prevedená doprava</c:v>
                </c:pt>
                <c:pt idx="5">
                  <c:v>Úspora času - nákladná doprava</c:v>
                </c:pt>
                <c:pt idx="6">
                  <c:v>vlkm - nákladná doprava</c:v>
                </c:pt>
                <c:pt idx="7">
                  <c:v>množstvo prepraveného tovaru - nákladná doprava</c:v>
                </c:pt>
                <c:pt idx="8">
                  <c:v>Zostatková hodnota</c:v>
                </c:pt>
              </c:strCache>
            </c:strRef>
          </c:cat>
          <c:val>
            <c:numRef>
              <c:f>'16 AC ENPV-KR'!$G$18:$G$26</c:f>
              <c:numCache>
                <c:formatCode>0.000%</c:formatCode>
                <c:ptCount val="9"/>
                <c:pt idx="0">
                  <c:v>-8.0893734270360618E-2</c:v>
                </c:pt>
                <c:pt idx="1">
                  <c:v>3.1522534004160496E-2</c:v>
                </c:pt>
                <c:pt idx="2">
                  <c:v>1.9523316200444896E-3</c:v>
                </c:pt>
                <c:pt idx="3">
                  <c:v>6.8731671761290691E-4</c:v>
                </c:pt>
                <c:pt idx="4">
                  <c:v>2.1483446212526847E-3</c:v>
                </c:pt>
                <c:pt idx="5">
                  <c:v>4.8114619000780623E-2</c:v>
                </c:pt>
                <c:pt idx="6">
                  <c:v>4.8870976956393086E-2</c:v>
                </c:pt>
                <c:pt idx="7">
                  <c:v>4.8114619000781289E-2</c:v>
                </c:pt>
                <c:pt idx="8">
                  <c:v>5.1622216225843953E-3</c:v>
                </c:pt>
              </c:numCache>
            </c:numRef>
          </c:val>
          <c:extLst>
            <c:ext xmlns:c16="http://schemas.microsoft.com/office/drawing/2014/chart" uri="{C3380CC4-5D6E-409C-BE32-E72D297353CC}">
              <c16:uniqueId val="{00000001-2CD8-421D-A3E1-4068D6535A59}"/>
            </c:ext>
          </c:extLst>
        </c:ser>
        <c:dLbls>
          <c:showLegendKey val="0"/>
          <c:showVal val="0"/>
          <c:showCatName val="0"/>
          <c:showSerName val="0"/>
          <c:showPercent val="0"/>
          <c:showBubbleSize val="0"/>
        </c:dLbls>
        <c:gapWidth val="150"/>
        <c:overlap val="100"/>
        <c:axId val="760547832"/>
        <c:axId val="1"/>
      </c:barChart>
      <c:catAx>
        <c:axId val="76054783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sk-SK"/>
          </a:p>
        </c:txPr>
        <c:crossAx val="1"/>
        <c:crosses val="autoZero"/>
        <c:auto val="1"/>
        <c:lblAlgn val="ctr"/>
        <c:lblOffset val="100"/>
        <c:noMultiLvlLbl val="0"/>
      </c:catAx>
      <c:valAx>
        <c:axId val="1"/>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ln w="9525">
            <a:noFill/>
          </a:ln>
        </c:spPr>
        <c:txPr>
          <a:bodyPr rot="0" vert="horz"/>
          <a:lstStyle/>
          <a:p>
            <a:pPr>
              <a:defRPr sz="900" b="0" i="0" u="none" strike="noStrike" baseline="0">
                <a:solidFill>
                  <a:srgbClr val="333333"/>
                </a:solidFill>
                <a:latin typeface="Calibri"/>
                <a:ea typeface="Calibri"/>
                <a:cs typeface="Calibri"/>
              </a:defRPr>
            </a:pPr>
            <a:endParaRPr lang="sk-SK"/>
          </a:p>
        </c:txPr>
        <c:crossAx val="7605478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sk-SK"/>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i="0" baseline="0">
                <a:effectLst/>
              </a:rPr>
              <a:t>FNP</a:t>
            </a:r>
            <a:r>
              <a:rPr lang="cs-CZ" sz="1800" b="1" i="0" baseline="0">
                <a:effectLst/>
              </a:rPr>
              <a:t>V_C</a:t>
            </a:r>
            <a:endParaRPr lang="en-US">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manualLayout>
          <c:layoutTarget val="inner"/>
          <c:xMode val="edge"/>
          <c:yMode val="edge"/>
          <c:x val="4.5439559039436722E-2"/>
          <c:y val="0.16980292565621882"/>
          <c:w val="0.72181933508311469"/>
          <c:h val="0.5847378973461651"/>
        </c:manualLayout>
      </c:layout>
      <c:areaChart>
        <c:grouping val="standard"/>
        <c:varyColors val="0"/>
        <c:ser>
          <c:idx val="0"/>
          <c:order val="0"/>
          <c:tx>
            <c:v>FNPV_C &gt;= 0 (pravdepodobnosť 0.1429)</c:v>
          </c:tx>
          <c:spPr>
            <a:solidFill>
              <a:schemeClr val="accent1"/>
            </a:solidFill>
            <a:ln>
              <a:noFill/>
            </a:ln>
            <a:effectLst/>
          </c:spPr>
          <c:cat>
            <c:numLit>
              <c:formatCode>#,##0</c:formatCode>
              <c:ptCount val="90"/>
              <c:pt idx="0">
                <c:v>-466544745.01086169</c:v>
              </c:pt>
              <c:pt idx="1">
                <c:v>-458544745.01086169</c:v>
              </c:pt>
              <c:pt idx="2">
                <c:v>-450544745.01086169</c:v>
              </c:pt>
              <c:pt idx="3">
                <c:v>-442544745.01086169</c:v>
              </c:pt>
              <c:pt idx="4">
                <c:v>-434544745.01086169</c:v>
              </c:pt>
              <c:pt idx="5">
                <c:v>-426544745.01086169</c:v>
              </c:pt>
              <c:pt idx="6">
                <c:v>-418544745.01086169</c:v>
              </c:pt>
              <c:pt idx="7">
                <c:v>-410544745.01086169</c:v>
              </c:pt>
              <c:pt idx="8">
                <c:v>-402544745.01086169</c:v>
              </c:pt>
              <c:pt idx="9">
                <c:v>-394544745.01086169</c:v>
              </c:pt>
              <c:pt idx="10">
                <c:v>-386544745.01086169</c:v>
              </c:pt>
              <c:pt idx="11">
                <c:v>-378544745.01086169</c:v>
              </c:pt>
              <c:pt idx="12">
                <c:v>-370544745.01086169</c:v>
              </c:pt>
              <c:pt idx="13">
                <c:v>-362544745.01086169</c:v>
              </c:pt>
              <c:pt idx="14">
                <c:v>-354544745.01086169</c:v>
              </c:pt>
              <c:pt idx="15">
                <c:v>-346544745.01086169</c:v>
              </c:pt>
              <c:pt idx="16">
                <c:v>-338544745.01086169</c:v>
              </c:pt>
              <c:pt idx="17">
                <c:v>-330544745.01086169</c:v>
              </c:pt>
              <c:pt idx="18">
                <c:v>-322544745.01086169</c:v>
              </c:pt>
              <c:pt idx="19">
                <c:v>-314544745.01086169</c:v>
              </c:pt>
              <c:pt idx="20">
                <c:v>-306544745.01086169</c:v>
              </c:pt>
              <c:pt idx="21">
                <c:v>-298544745.01086169</c:v>
              </c:pt>
              <c:pt idx="22">
                <c:v>-290544745.01086169</c:v>
              </c:pt>
              <c:pt idx="23">
                <c:v>-282544745.01086169</c:v>
              </c:pt>
              <c:pt idx="24">
                <c:v>-274544745.01086169</c:v>
              </c:pt>
              <c:pt idx="25">
                <c:v>-266544745.01086169</c:v>
              </c:pt>
              <c:pt idx="26">
                <c:v>-258544745.01086169</c:v>
              </c:pt>
              <c:pt idx="27">
                <c:v>-250544745.01086169</c:v>
              </c:pt>
              <c:pt idx="28">
                <c:v>-242544745.01086169</c:v>
              </c:pt>
              <c:pt idx="29">
                <c:v>-234544745.01086169</c:v>
              </c:pt>
              <c:pt idx="30">
                <c:v>-226544745.01086169</c:v>
              </c:pt>
              <c:pt idx="31">
                <c:v>-218544745.01086169</c:v>
              </c:pt>
              <c:pt idx="32">
                <c:v>-210544745.01086169</c:v>
              </c:pt>
              <c:pt idx="33">
                <c:v>-202544745.01086169</c:v>
              </c:pt>
              <c:pt idx="34">
                <c:v>-194544745.01086169</c:v>
              </c:pt>
              <c:pt idx="35">
                <c:v>-186544745.01086169</c:v>
              </c:pt>
              <c:pt idx="36">
                <c:v>-178544745.01086169</c:v>
              </c:pt>
              <c:pt idx="37">
                <c:v>-170544745.01086169</c:v>
              </c:pt>
              <c:pt idx="38">
                <c:v>-162544745.01086169</c:v>
              </c:pt>
              <c:pt idx="39">
                <c:v>-154544745.01086169</c:v>
              </c:pt>
              <c:pt idx="40">
                <c:v>-146544745.01086169</c:v>
              </c:pt>
              <c:pt idx="41">
                <c:v>-138544745.01086169</c:v>
              </c:pt>
              <c:pt idx="42">
                <c:v>-130544745.01086169</c:v>
              </c:pt>
              <c:pt idx="43">
                <c:v>-122544745.01086169</c:v>
              </c:pt>
              <c:pt idx="44">
                <c:v>-114544745.01086169</c:v>
              </c:pt>
              <c:pt idx="45">
                <c:v>-106544745.01086169</c:v>
              </c:pt>
              <c:pt idx="46">
                <c:v>-98544745.010861695</c:v>
              </c:pt>
              <c:pt idx="47">
                <c:v>-90544745.010861695</c:v>
              </c:pt>
              <c:pt idx="48">
                <c:v>-82544745.010861695</c:v>
              </c:pt>
              <c:pt idx="49">
                <c:v>-74544745.010861695</c:v>
              </c:pt>
              <c:pt idx="50">
                <c:v>-66544745.010861695</c:v>
              </c:pt>
              <c:pt idx="51">
                <c:v>-58544745.010861695</c:v>
              </c:pt>
              <c:pt idx="52">
                <c:v>-50544745.010861695</c:v>
              </c:pt>
              <c:pt idx="53">
                <c:v>-42544745.010861695</c:v>
              </c:pt>
              <c:pt idx="54">
                <c:v>-34544745.010861695</c:v>
              </c:pt>
              <c:pt idx="55">
                <c:v>-26544745.010861695</c:v>
              </c:pt>
              <c:pt idx="56">
                <c:v>-18544745.010861695</c:v>
              </c:pt>
              <c:pt idx="57">
                <c:v>-10544745.010861695</c:v>
              </c:pt>
              <c:pt idx="58">
                <c:v>-2544745.0108616948</c:v>
              </c:pt>
              <c:pt idx="59">
                <c:v>5455254.9891383052</c:v>
              </c:pt>
              <c:pt idx="60">
                <c:v>13455254.989138305</c:v>
              </c:pt>
              <c:pt idx="61">
                <c:v>21455254.989138305</c:v>
              </c:pt>
              <c:pt idx="62">
                <c:v>29455254.989138305</c:v>
              </c:pt>
              <c:pt idx="63">
                <c:v>37455254.989138305</c:v>
              </c:pt>
              <c:pt idx="64">
                <c:v>45455254.989138305</c:v>
              </c:pt>
              <c:pt idx="65">
                <c:v>53455254.989138305</c:v>
              </c:pt>
              <c:pt idx="66">
                <c:v>61455254.989138305</c:v>
              </c:pt>
              <c:pt idx="67">
                <c:v>69455254.989138305</c:v>
              </c:pt>
              <c:pt idx="68">
                <c:v>77455254.989138305</c:v>
              </c:pt>
              <c:pt idx="69">
                <c:v>85455254.989138305</c:v>
              </c:pt>
              <c:pt idx="70">
                <c:v>93455254.989138305</c:v>
              </c:pt>
              <c:pt idx="71">
                <c:v>101455254.98913831</c:v>
              </c:pt>
              <c:pt idx="72">
                <c:v>109455254.98913831</c:v>
              </c:pt>
              <c:pt idx="73">
                <c:v>117455254.98913831</c:v>
              </c:pt>
              <c:pt idx="74">
                <c:v>125455254.98913831</c:v>
              </c:pt>
              <c:pt idx="75">
                <c:v>133455254.98913831</c:v>
              </c:pt>
              <c:pt idx="76">
                <c:v>141455254.98913831</c:v>
              </c:pt>
              <c:pt idx="77">
                <c:v>149455254.98913831</c:v>
              </c:pt>
              <c:pt idx="78">
                <c:v>157455254.98913831</c:v>
              </c:pt>
              <c:pt idx="79">
                <c:v>165455254.98913831</c:v>
              </c:pt>
              <c:pt idx="80">
                <c:v>173455254.98913831</c:v>
              </c:pt>
              <c:pt idx="81">
                <c:v>181455254.98913831</c:v>
              </c:pt>
              <c:pt idx="82">
                <c:v>189455254.98913831</c:v>
              </c:pt>
              <c:pt idx="83">
                <c:v>197455254.98913831</c:v>
              </c:pt>
              <c:pt idx="84">
                <c:v>205455254.98913831</c:v>
              </c:pt>
              <c:pt idx="85">
                <c:v>213455254.98913831</c:v>
              </c:pt>
              <c:pt idx="86">
                <c:v>221455254.98913831</c:v>
              </c:pt>
              <c:pt idx="87">
                <c:v>229455254.98913831</c:v>
              </c:pt>
              <c:pt idx="88">
                <c:v>237455254.98913831</c:v>
              </c:pt>
              <c:pt idx="89">
                <c:v>245455254.98913831</c:v>
              </c:pt>
            </c:numLit>
          </c:cat>
          <c:val>
            <c:numLit>
              <c:formatCode>#\ ##0.0000000000000000000000</c:formatCode>
              <c:ptCount val="90"/>
              <c:pt idx="0">
                <c:v>1.4535351291533176E-12</c:v>
              </c:pt>
              <c:pt idx="1">
                <c:v>2.0498713348935785E-12</c:v>
              </c:pt>
              <c:pt idx="2">
                <c:v>2.8691214532714931E-12</c:v>
              </c:pt>
              <c:pt idx="3">
                <c:v>3.9855891110377192E-12</c:v>
              </c:pt>
              <c:pt idx="4">
                <c:v>5.4948694018714049E-12</c:v>
              </c:pt>
              <c:pt idx="5">
                <c:v>7.5187126360093372E-12</c:v>
              </c:pt>
              <c:pt idx="6">
                <c:v>1.0210590487626836E-11</c:v>
              </c:pt>
              <c:pt idx="7">
                <c:v>1.3761934636928305E-11</c:v>
              </c:pt>
              <c:pt idx="8">
                <c:v>1.8408965488444094E-11</c:v>
              </c:pt>
              <c:pt idx="9">
                <c:v>2.4439962582166063E-11</c:v>
              </c:pt>
              <c:pt idx="10">
                <c:v>3.2202749234662105E-11</c:v>
              </c:pt>
              <c:pt idx="11">
                <c:v>4.2112073348991512E-11</c:v>
              </c:pt>
              <c:pt idx="12">
                <c:v>5.4656467361045278E-11</c:v>
              </c:pt>
              <c:pt idx="13">
                <c:v>7.0404067869850388E-11</c:v>
              </c:pt>
              <c:pt idx="14">
                <c:v>9.0006776452768315E-11</c:v>
              </c:pt>
              <c:pt idx="15">
                <c:v>1.1420205617801673E-10</c:v>
              </c:pt>
              <c:pt idx="16">
                <c:v>1.4381159370491647E-10</c:v>
              </c:pt>
              <c:pt idx="17">
                <c:v>1.7973602606158402E-10</c:v>
              </c:pt>
              <c:pt idx="18">
                <c:v>2.2294494607692178E-10</c:v>
              </c:pt>
              <c:pt idx="19">
                <c:v>2.7446147231025939E-10</c:v>
              </c:pt>
              <c:pt idx="20">
                <c:v>3.3534080768357922E-10</c:v>
              </c:pt>
              <c:pt idx="21">
                <c:v>4.0664242227560223E-10</c:v>
              </c:pt>
              <c:pt idx="22">
                <c:v>4.893957817887727E-10</c:v>
              </c:pt>
              <c:pt idx="23">
                <c:v>5.8455990019418899E-10</c:v>
              </c:pt>
              <c:pt idx="24">
                <c:v>6.9297741238437889E-10</c:v>
              </c:pt>
              <c:pt idx="25">
                <c:v>8.1532432239692534E-10</c:v>
              </c:pt>
              <c:pt idx="26">
                <c:v>9.520570597231973E-10</c:v>
              </c:pt>
              <c:pt idx="27">
                <c:v>1.1033589386962577E-9</c:v>
              </c:pt>
              <c:pt idx="28">
                <c:v>1.269088527329962E-9</c:v>
              </c:pt>
              <c:pt idx="29">
                <c:v>1.4487327530279123E-9</c:v>
              </c:pt>
              <c:pt idx="30">
                <c:v>1.6413677644924076E-9</c:v>
              </c:pt>
              <c:pt idx="31">
                <c:v>1.8456305970749638E-9</c:v>
              </c:pt>
              <c:pt idx="32">
                <c:v>2.0597045255134827E-9</c:v>
              </c:pt>
              <c:pt idx="33">
                <c:v>2.2813206175141783E-9</c:v>
              </c:pt>
              <c:pt idx="34">
                <c:v>2.5077774222283384E-9</c:v>
              </c:pt>
              <c:pt idx="35">
                <c:v>2.7359799539588582E-9</c:v>
              </c:pt>
              <c:pt idx="36">
                <c:v>2.9624981951847826E-9</c:v>
              </c:pt>
              <c:pt idx="37">
                <c:v>3.1836442924457546E-9</c:v>
              </c:pt>
              <c:pt idx="38">
                <c:v>3.3955665161331675E-9</c:v>
              </c:pt>
              <c:pt idx="39">
                <c:v>3.5943569733490243E-9</c:v>
              </c:pt>
              <c:pt idx="40">
                <c:v>3.7761690792305788E-9</c:v>
              </c:pt>
              <c:pt idx="41">
                <c:v>3.9373399827801105E-9</c:v>
              </c:pt>
              <c:pt idx="42">
                <c:v>4.0745125767528419E-9</c:v>
              </c:pt>
              <c:pt idx="43">
                <c:v>4.1847514518500168E-9</c:v>
              </c:pt>
              <c:pt idx="44">
                <c:v>4.2656472180251705E-9</c:v>
              </c:pt>
              <c:pt idx="45">
                <c:v>4.3154040212263684E-9</c:v>
              </c:pt>
              <c:pt idx="46">
                <c:v>4.3329058178313774E-9</c:v>
              </c:pt>
              <c:pt idx="47">
                <c:v>4.3177579914579258E-9</c:v>
              </c:pt>
              <c:pt idx="48">
                <c:v>4.2703021449627529E-9</c:v>
              </c:pt>
              <c:pt idx="49">
                <c:v>4.1916032933123635E-9</c:v>
              </c:pt>
              <c:pt idx="50">
                <c:v>4.0834101278615566E-9</c:v>
              </c:pt>
              <c:pt idx="51">
                <c:v>3.9480904224042695E-9</c:v>
              </c:pt>
              <c:pt idx="52">
                <c:v>3.7885449128423584E-9</c:v>
              </c:pt>
              <c:pt idx="53">
                <c:v>3.6081040233999271E-9</c:v>
              </c:pt>
              <c:pt idx="54">
                <c:v>3.4104125687154556E-9</c:v>
              </c:pt>
              <c:pt idx="55">
                <c:v>3.1993079911795948E-9</c:v>
              </c:pt>
              <c:pt idx="56">
                <c:v>2.978697780149075E-9</c:v>
              </c:pt>
              <c:pt idx="57">
                <c:v>2.7524414734347403E-9</c:v>
              </c:pt>
              <c:pt idx="58">
                <c:v>2.5242420948282822E-9</c:v>
              </c:pt>
              <c:pt idx="59">
                <c:v>2.2975510874571971E-9</c:v>
              </c:pt>
              <c:pt idx="60">
                <c:v>2.0754898290917202E-9</c:v>
              </c:pt>
              <c:pt idx="61">
                <c:v>1.8607897381095209E-9</c:v>
              </c:pt>
              <c:pt idx="62">
                <c:v>1.6557518752938455E-9</c:v>
              </c:pt>
              <c:pt idx="63">
                <c:v>1.4622258901043454E-9</c:v>
              </c:pt>
              <c:pt idx="64">
                <c:v>1.2816072137542422E-9</c:v>
              </c:pt>
              <c:pt idx="65">
                <c:v>1.114850614702346E-9</c:v>
              </c:pt>
              <c:pt idx="66">
                <c:v>9.6249763803106526E-10</c:v>
              </c:pt>
              <c:pt idx="67">
                <c:v>8.2471506447509141E-10</c:v>
              </c:pt>
              <c:pt idx="68">
                <c:v>7.0134134698339617E-10</c:v>
              </c:pt>
              <c:pt idx="69">
                <c:v>5.9193799759402743E-10</c:v>
              </c:pt>
              <c:pt idx="70">
                <c:v>4.9584307856445998E-10</c:v>
              </c:pt>
              <c:pt idx="71">
                <c:v>4.1222426469322164E-10</c:v>
              </c:pt>
              <c:pt idx="72">
                <c:v>3.4012934994982864E-10</c:v>
              </c:pt>
              <c:pt idx="73">
                <c:v>2.7853253159245598E-10</c:v>
              </c:pt>
              <c:pt idx="74">
                <c:v>2.2637528199065361E-10</c:v>
              </c:pt>
              <c:pt idx="75">
                <c:v>1.8260108027542087E-10</c:v>
              </c:pt>
              <c:pt idx="76">
                <c:v>1.4618369701656307E-10</c:v>
              </c:pt>
              <c:pt idx="77">
                <c:v>1.1614908692034122E-10</c:v>
              </c:pt>
              <c:pt idx="78">
                <c:v>9.1591235921794487E-11</c:v>
              </c:pt>
              <c:pt idx="79">
                <c:v>7.1682525701627516E-11</c:v>
              </c:pt>
              <c:pt idx="80">
                <c:v>5.5679322116018386E-11</c:v>
              </c:pt>
              <c:pt idx="81">
                <c:v>4.2923570407887637E-11</c:v>
              </c:pt>
              <c:pt idx="82">
                <c:v>3.2841198706659796E-11</c:v>
              </c:pt>
              <c:pt idx="83">
                <c:v>2.4938103426053892E-11</c:v>
              </c:pt>
              <c:pt idx="84">
                <c:v>1.8794427596819624E-11</c:v>
              </c:pt>
              <c:pt idx="85">
                <c:v>1.4057757435942284E-11</c:v>
              </c:pt>
              <c:pt idx="86">
                <c:v>1.0435763965867957E-11</c:v>
              </c:pt>
              <c:pt idx="87">
                <c:v>7.688714069344028E-12</c:v>
              </c:pt>
              <c:pt idx="88">
                <c:v>5.6221759577985262E-12</c:v>
              </c:pt>
              <c:pt idx="89">
                <c:v>4.0801527024665432E-12</c:v>
              </c:pt>
            </c:numLit>
          </c:val>
          <c:extLst>
            <c:ext xmlns:c16="http://schemas.microsoft.com/office/drawing/2014/chart" uri="{C3380CC4-5D6E-409C-BE32-E72D297353CC}">
              <c16:uniqueId val="{00000000-FE6F-42DB-BA84-ACBC311E2339}"/>
            </c:ext>
          </c:extLst>
        </c:ser>
        <c:dLbls>
          <c:showLegendKey val="0"/>
          <c:showVal val="0"/>
          <c:showCatName val="0"/>
          <c:showSerName val="0"/>
          <c:showPercent val="0"/>
          <c:showBubbleSize val="0"/>
        </c:dLbls>
        <c:axId val="451185584"/>
        <c:axId val="442330840"/>
      </c:areaChart>
      <c:areaChart>
        <c:grouping val="standard"/>
        <c:varyColors val="0"/>
        <c:ser>
          <c:idx val="1"/>
          <c:order val="1"/>
          <c:tx>
            <c:v>FNPV_C &lt;= 0 (pravdepodobnosť 0.8571)</c:v>
          </c:tx>
          <c:spPr>
            <a:solidFill>
              <a:schemeClr val="accent2"/>
            </a:solidFill>
            <a:ln w="25400">
              <a:noFill/>
            </a:ln>
            <a:effectLst/>
          </c:spPr>
          <c:cat>
            <c:numLit>
              <c:formatCode>#\ ##0.0</c:formatCode>
              <c:ptCount val="90"/>
              <c:pt idx="0">
                <c:v>-4</c:v>
              </c:pt>
              <c:pt idx="1">
                <c:v>-3.9131116982971004</c:v>
              </c:pt>
              <c:pt idx="2">
                <c:v>-3.8262233965942007</c:v>
              </c:pt>
              <c:pt idx="3">
                <c:v>-3.7393350948913007</c:v>
              </c:pt>
              <c:pt idx="4">
                <c:v>-3.652446793188401</c:v>
              </c:pt>
              <c:pt idx="5">
                <c:v>-3.5655584914855014</c:v>
              </c:pt>
              <c:pt idx="6">
                <c:v>-3.4786701897826018</c:v>
              </c:pt>
              <c:pt idx="7">
                <c:v>-3.3917818880797022</c:v>
              </c:pt>
              <c:pt idx="8">
                <c:v>-3.3048935863768025</c:v>
              </c:pt>
              <c:pt idx="9">
                <c:v>-3.2180052846739025</c:v>
              </c:pt>
              <c:pt idx="10">
                <c:v>-3.1311169829710028</c:v>
              </c:pt>
              <c:pt idx="11">
                <c:v>-3.0442286812681032</c:v>
              </c:pt>
              <c:pt idx="12">
                <c:v>-2.9573403795652036</c:v>
              </c:pt>
              <c:pt idx="13">
                <c:v>-2.8704520778623039</c:v>
              </c:pt>
              <c:pt idx="14">
                <c:v>-2.7835637761594043</c:v>
              </c:pt>
              <c:pt idx="15">
                <c:v>-2.6966754744565042</c:v>
              </c:pt>
              <c:pt idx="16">
                <c:v>-2.6097871727536046</c:v>
              </c:pt>
              <c:pt idx="17">
                <c:v>-2.522898871050705</c:v>
              </c:pt>
              <c:pt idx="18">
                <c:v>-2.4360105693478054</c:v>
              </c:pt>
              <c:pt idx="19">
                <c:v>-2.3491222676449057</c:v>
              </c:pt>
              <c:pt idx="20">
                <c:v>-2.2622339659420061</c:v>
              </c:pt>
              <c:pt idx="21">
                <c:v>-2.175345664239106</c:v>
              </c:pt>
              <c:pt idx="22">
                <c:v>-2.0884573625362064</c:v>
              </c:pt>
              <c:pt idx="23">
                <c:v>-2.0015690608333068</c:v>
              </c:pt>
              <c:pt idx="24">
                <c:v>-1.9146807591304071</c:v>
              </c:pt>
              <c:pt idx="25">
                <c:v>-1.8277924574275073</c:v>
              </c:pt>
              <c:pt idx="26">
                <c:v>-1.7409041557246077</c:v>
              </c:pt>
              <c:pt idx="27">
                <c:v>-1.654015854021708</c:v>
              </c:pt>
              <c:pt idx="28">
                <c:v>-1.5671275523188082</c:v>
              </c:pt>
              <c:pt idx="29">
                <c:v>-1.4802392506159086</c:v>
              </c:pt>
              <c:pt idx="30">
                <c:v>-1.3933509489130089</c:v>
              </c:pt>
              <c:pt idx="31">
                <c:v>-1.3064626472101093</c:v>
              </c:pt>
              <c:pt idx="32">
                <c:v>-1.2195743455072097</c:v>
              </c:pt>
              <c:pt idx="33">
                <c:v>-1.1326860438043098</c:v>
              </c:pt>
              <c:pt idx="34">
                <c:v>-1.0457977421014102</c:v>
              </c:pt>
              <c:pt idx="35">
                <c:v>-0.95890944039851056</c:v>
              </c:pt>
              <c:pt idx="36">
                <c:v>-0.87202113869561082</c:v>
              </c:pt>
              <c:pt idx="37">
                <c:v>-0.78513283699271108</c:v>
              </c:pt>
              <c:pt idx="38">
                <c:v>-0.69824453528981134</c:v>
              </c:pt>
              <c:pt idx="39">
                <c:v>-0.61135623358691171</c:v>
              </c:pt>
              <c:pt idx="40">
                <c:v>-0.52446793188401197</c:v>
              </c:pt>
              <c:pt idx="41">
                <c:v>-0.43757963018111229</c:v>
              </c:pt>
              <c:pt idx="42">
                <c:v>-0.35069132847821255</c:v>
              </c:pt>
              <c:pt idx="43">
                <c:v>-0.26380302677531287</c:v>
              </c:pt>
              <c:pt idx="44">
                <c:v>-0.17691472507241318</c:v>
              </c:pt>
              <c:pt idx="45">
                <c:v>-9.002642336951347E-2</c:v>
              </c:pt>
              <c:pt idx="46">
                <c:v>-3.1381216666137596E-3</c:v>
              </c:pt>
              <c:pt idx="47">
                <c:v>8.375018003628594E-2</c:v>
              </c:pt>
              <c:pt idx="48">
                <c:v>0.17063848173918564</c:v>
              </c:pt>
              <c:pt idx="49">
                <c:v>0.25752678344208535</c:v>
              </c:pt>
              <c:pt idx="50">
                <c:v>0.34441508514498503</c:v>
              </c:pt>
              <c:pt idx="51">
                <c:v>0.43130338684788477</c:v>
              </c:pt>
              <c:pt idx="52">
                <c:v>0.51819168855078446</c:v>
              </c:pt>
              <c:pt idx="53">
                <c:v>0.6050799902536842</c:v>
              </c:pt>
              <c:pt idx="54">
                <c:v>0.69196829195658383</c:v>
              </c:pt>
              <c:pt idx="55">
                <c:v>0.77885659365948356</c:v>
              </c:pt>
              <c:pt idx="56">
                <c:v>0.8657448953623833</c:v>
              </c:pt>
              <c:pt idx="57">
                <c:v>0.95263319706528304</c:v>
              </c:pt>
              <c:pt idx="58">
                <c:v>1.0395214987681827</c:v>
              </c:pt>
              <c:pt idx="59">
                <c:v>1.1264098004710823</c:v>
              </c:pt>
              <c:pt idx="60">
                <c:v>1.2132981021739822</c:v>
              </c:pt>
              <c:pt idx="61">
                <c:v>1.3001864038768818</c:v>
              </c:pt>
              <c:pt idx="62">
                <c:v>1.3870747055797814</c:v>
              </c:pt>
              <c:pt idx="63">
                <c:v>1.4739630072826815</c:v>
              </c:pt>
              <c:pt idx="64">
                <c:v>1.5608513089855811</c:v>
              </c:pt>
              <c:pt idx="65">
                <c:v>1.6477396106884807</c:v>
              </c:pt>
              <c:pt idx="66">
                <c:v>1.7346279123913806</c:v>
              </c:pt>
              <c:pt idx="67">
                <c:v>1.8215162140942802</c:v>
              </c:pt>
              <c:pt idx="68">
                <c:v>1.9084045157971798</c:v>
              </c:pt>
              <c:pt idx="69">
                <c:v>1.9952928175000797</c:v>
              </c:pt>
              <c:pt idx="70">
                <c:v>2.0821811192029793</c:v>
              </c:pt>
              <c:pt idx="71">
                <c:v>2.169069420905879</c:v>
              </c:pt>
              <c:pt idx="72">
                <c:v>2.2559577226087786</c:v>
              </c:pt>
              <c:pt idx="73">
                <c:v>2.3428460243116782</c:v>
              </c:pt>
              <c:pt idx="74">
                <c:v>2.4297343260145783</c:v>
              </c:pt>
              <c:pt idx="75">
                <c:v>2.5166226277174779</c:v>
              </c:pt>
              <c:pt idx="76">
                <c:v>2.6035109294203775</c:v>
              </c:pt>
              <c:pt idx="77">
                <c:v>2.6903992311232772</c:v>
              </c:pt>
              <c:pt idx="78">
                <c:v>2.7772875328261768</c:v>
              </c:pt>
              <c:pt idx="79">
                <c:v>2.8641758345290764</c:v>
              </c:pt>
              <c:pt idx="80">
                <c:v>2.9510641362319765</c:v>
              </c:pt>
              <c:pt idx="81">
                <c:v>3.0379524379348761</c:v>
              </c:pt>
              <c:pt idx="82">
                <c:v>3.1248407396377758</c:v>
              </c:pt>
              <c:pt idx="83">
                <c:v>3.2117290413406754</c:v>
              </c:pt>
              <c:pt idx="84">
                <c:v>3.298617343043575</c:v>
              </c:pt>
              <c:pt idx="85">
                <c:v>3.3855056447464751</c:v>
              </c:pt>
              <c:pt idx="86">
                <c:v>3.4723939464493747</c:v>
              </c:pt>
              <c:pt idx="87">
                <c:v>3.5592822481522743</c:v>
              </c:pt>
              <c:pt idx="88">
                <c:v>3.646170549855174</c:v>
              </c:pt>
              <c:pt idx="89">
                <c:v>3.7330588515580736</c:v>
              </c:pt>
            </c:numLit>
          </c:cat>
          <c:val>
            <c:numLit>
              <c:formatCode>General</c:formatCode>
              <c:ptCount val="90"/>
              <c:pt idx="0">
                <c:v>1.4535351291533176E-12</c:v>
              </c:pt>
              <c:pt idx="1">
                <c:v>2.0498713348935785E-12</c:v>
              </c:pt>
              <c:pt idx="2">
                <c:v>2.8691214532714931E-12</c:v>
              </c:pt>
              <c:pt idx="3">
                <c:v>3.9855891110377192E-12</c:v>
              </c:pt>
              <c:pt idx="4">
                <c:v>5.4948694018714049E-12</c:v>
              </c:pt>
              <c:pt idx="5">
                <c:v>7.5187126360093372E-12</c:v>
              </c:pt>
              <c:pt idx="6">
                <c:v>1.0210590487626836E-11</c:v>
              </c:pt>
              <c:pt idx="7">
                <c:v>1.3761934636928305E-11</c:v>
              </c:pt>
              <c:pt idx="8">
                <c:v>1.8408965488444094E-11</c:v>
              </c:pt>
              <c:pt idx="9">
                <c:v>2.4439962582166063E-11</c:v>
              </c:pt>
              <c:pt idx="10">
                <c:v>3.2202749234662105E-11</c:v>
              </c:pt>
              <c:pt idx="11">
                <c:v>4.2112073348991512E-11</c:v>
              </c:pt>
              <c:pt idx="12">
                <c:v>5.4656467361045278E-11</c:v>
              </c:pt>
              <c:pt idx="13">
                <c:v>7.0404067869850388E-11</c:v>
              </c:pt>
              <c:pt idx="14">
                <c:v>9.0006776452768315E-11</c:v>
              </c:pt>
              <c:pt idx="15">
                <c:v>1.1420205617801673E-10</c:v>
              </c:pt>
              <c:pt idx="16">
                <c:v>1.4381159370491647E-10</c:v>
              </c:pt>
              <c:pt idx="17">
                <c:v>1.7973602606158402E-10</c:v>
              </c:pt>
              <c:pt idx="18">
                <c:v>2.2294494607692178E-10</c:v>
              </c:pt>
              <c:pt idx="19">
                <c:v>2.7446147231025939E-10</c:v>
              </c:pt>
              <c:pt idx="20">
                <c:v>3.3534080768357922E-10</c:v>
              </c:pt>
              <c:pt idx="21">
                <c:v>4.0664242227560223E-10</c:v>
              </c:pt>
              <c:pt idx="22">
                <c:v>4.893957817887727E-10</c:v>
              </c:pt>
              <c:pt idx="23">
                <c:v>5.8455990019418899E-10</c:v>
              </c:pt>
              <c:pt idx="24">
                <c:v>6.9297741238437889E-10</c:v>
              </c:pt>
              <c:pt idx="25">
                <c:v>8.1532432239692534E-10</c:v>
              </c:pt>
              <c:pt idx="26">
                <c:v>9.520570597231973E-10</c:v>
              </c:pt>
              <c:pt idx="27">
                <c:v>1.1033589386962577E-9</c:v>
              </c:pt>
              <c:pt idx="28">
                <c:v>1.269088527329962E-9</c:v>
              </c:pt>
              <c:pt idx="29">
                <c:v>1.4487327530279123E-9</c:v>
              </c:pt>
              <c:pt idx="30">
                <c:v>1.6413677644924076E-9</c:v>
              </c:pt>
              <c:pt idx="31">
                <c:v>1.8456305970749638E-9</c:v>
              </c:pt>
              <c:pt idx="32">
                <c:v>2.0597045255134827E-9</c:v>
              </c:pt>
              <c:pt idx="33">
                <c:v>2.2813206175141783E-9</c:v>
              </c:pt>
              <c:pt idx="34">
                <c:v>2.5077774222283384E-9</c:v>
              </c:pt>
              <c:pt idx="35">
                <c:v>2.7359799539588582E-9</c:v>
              </c:pt>
              <c:pt idx="36">
                <c:v>2.9624981951847826E-9</c:v>
              </c:pt>
              <c:pt idx="37">
                <c:v>3.1836442924457546E-9</c:v>
              </c:pt>
              <c:pt idx="38">
                <c:v>3.3955665161331675E-9</c:v>
              </c:pt>
              <c:pt idx="39">
                <c:v>3.5943569733490243E-9</c:v>
              </c:pt>
              <c:pt idx="40">
                <c:v>3.7761690792305788E-9</c:v>
              </c:pt>
              <c:pt idx="41">
                <c:v>3.9373399827801105E-9</c:v>
              </c:pt>
              <c:pt idx="42">
                <c:v>4.0745125767528419E-9</c:v>
              </c:pt>
              <c:pt idx="43">
                <c:v>4.1847514518500168E-9</c:v>
              </c:pt>
              <c:pt idx="44">
                <c:v>4.2656472180251705E-9</c:v>
              </c:pt>
              <c:pt idx="45">
                <c:v>4.3154040212263684E-9</c:v>
              </c:pt>
              <c:pt idx="46">
                <c:v>4.3329058178313774E-9</c:v>
              </c:pt>
              <c:pt idx="47">
                <c:v>4.3177579914579258E-9</c:v>
              </c:pt>
              <c:pt idx="48">
                <c:v>4.2703021449627529E-9</c:v>
              </c:pt>
              <c:pt idx="49">
                <c:v>4.1916032933123635E-9</c:v>
              </c:pt>
              <c:pt idx="50">
                <c:v>4.0834101278615566E-9</c:v>
              </c:pt>
              <c:pt idx="51">
                <c:v>3.9480904224042695E-9</c:v>
              </c:pt>
              <c:pt idx="52">
                <c:v>3.7885449128423584E-9</c:v>
              </c:pt>
              <c:pt idx="53">
                <c:v>3.6081040233999271E-9</c:v>
              </c:pt>
              <c:pt idx="54">
                <c:v>3.4104125687154556E-9</c:v>
              </c:pt>
              <c:pt idx="55">
                <c:v>3.1993079911795948E-9</c:v>
              </c:pt>
              <c:pt idx="56">
                <c:v>2.978697780149075E-9</c:v>
              </c:pt>
              <c:pt idx="57">
                <c:v>2.7524414734347403E-9</c:v>
              </c:pt>
              <c:pt idx="58">
                <c:v>2.5242420948282822E-9</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numLit>
          </c:val>
          <c:extLst>
            <c:ext xmlns:c16="http://schemas.microsoft.com/office/drawing/2014/chart" uri="{C3380CC4-5D6E-409C-BE32-E72D297353CC}">
              <c16:uniqueId val="{00000001-FE6F-42DB-BA84-ACBC311E2339}"/>
            </c:ext>
          </c:extLst>
        </c:ser>
        <c:dLbls>
          <c:showLegendKey val="0"/>
          <c:showVal val="0"/>
          <c:showCatName val="0"/>
          <c:showSerName val="0"/>
          <c:showPercent val="0"/>
          <c:showBubbleSize val="0"/>
        </c:dLbls>
        <c:axId val="606951240"/>
        <c:axId val="682944704"/>
      </c:areaChart>
      <c:catAx>
        <c:axId val="451185584"/>
        <c:scaling>
          <c:orientation val="minMax"/>
        </c:scaling>
        <c:delete val="0"/>
        <c:axPos val="b"/>
        <c:numFmt formatCode="#,##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442330840"/>
        <c:crosses val="autoZero"/>
        <c:auto val="1"/>
        <c:lblAlgn val="ctr"/>
        <c:lblOffset val="100"/>
        <c:noMultiLvlLbl val="0"/>
      </c:catAx>
      <c:valAx>
        <c:axId val="442330840"/>
        <c:scaling>
          <c:orientation val="minMax"/>
        </c:scaling>
        <c:delete val="1"/>
        <c:axPos val="l"/>
        <c:majorGridlines>
          <c:spPr>
            <a:ln w="9525" cap="flat" cmpd="sng" algn="ctr">
              <a:solidFill>
                <a:schemeClr val="tx1">
                  <a:lumMod val="15000"/>
                  <a:lumOff val="85000"/>
                </a:schemeClr>
              </a:solidFill>
              <a:round/>
            </a:ln>
            <a:effectLst/>
          </c:spPr>
        </c:majorGridlines>
        <c:numFmt formatCode="#\ ##0.0000000000000000000000" sourceLinked="1"/>
        <c:majorTickMark val="none"/>
        <c:minorTickMark val="none"/>
        <c:tickLblPos val="nextTo"/>
        <c:crossAx val="451185584"/>
        <c:crosses val="autoZero"/>
        <c:crossBetween val="midCat"/>
      </c:valAx>
      <c:valAx>
        <c:axId val="682944704"/>
        <c:scaling>
          <c:orientation val="minMax"/>
        </c:scaling>
        <c:delete val="1"/>
        <c:axPos val="r"/>
        <c:numFmt formatCode="General" sourceLinked="1"/>
        <c:majorTickMark val="out"/>
        <c:minorTickMark val="none"/>
        <c:tickLblPos val="nextTo"/>
        <c:crossAx val="606951240"/>
        <c:crosses val="max"/>
        <c:crossBetween val="midCat"/>
      </c:valAx>
      <c:catAx>
        <c:axId val="606951240"/>
        <c:scaling>
          <c:orientation val="minMax"/>
        </c:scaling>
        <c:delete val="1"/>
        <c:axPos val="t"/>
        <c:numFmt formatCode="#\ ##0.0" sourceLinked="1"/>
        <c:majorTickMark val="out"/>
        <c:minorTickMark val="none"/>
        <c:tickLblPos val="nextTo"/>
        <c:crossAx val="682944704"/>
        <c:crosses val="max"/>
        <c:auto val="1"/>
        <c:lblAlgn val="ctr"/>
        <c:lblOffset val="100"/>
        <c:tickLblSkip val="255"/>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sk-SK"/>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i="0" baseline="0">
                <a:effectLst/>
              </a:rPr>
              <a:t>ENPV</a:t>
            </a:r>
            <a:r>
              <a:rPr lang="cs-CZ" sz="1800" b="1" i="0" baseline="0">
                <a:effectLst/>
              </a:rPr>
              <a:t> </a:t>
            </a:r>
            <a:endParaRPr lang="en-US">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areaChart>
        <c:grouping val="standard"/>
        <c:varyColors val="0"/>
        <c:ser>
          <c:idx val="0"/>
          <c:order val="0"/>
          <c:tx>
            <c:v>ENPV &gt;= 0 (pravdepodobnosť 0.4872)</c:v>
          </c:tx>
          <c:spPr>
            <a:solidFill>
              <a:schemeClr val="accent1"/>
            </a:solidFill>
            <a:ln>
              <a:noFill/>
            </a:ln>
            <a:effectLst/>
          </c:spPr>
          <c:cat>
            <c:numLit>
              <c:formatCode>#\ ##0.0</c:formatCode>
              <c:ptCount val="69"/>
              <c:pt idx="0">
                <c:v>-321159215.11955643</c:v>
              </c:pt>
              <c:pt idx="1">
                <c:v>-310159215.11955643</c:v>
              </c:pt>
              <c:pt idx="2">
                <c:v>-299159215.11955643</c:v>
              </c:pt>
              <c:pt idx="3">
                <c:v>-288159215.11955643</c:v>
              </c:pt>
              <c:pt idx="4">
                <c:v>-277159215.11955643</c:v>
              </c:pt>
              <c:pt idx="5">
                <c:v>-266159215.11955643</c:v>
              </c:pt>
              <c:pt idx="6">
                <c:v>-255159215.11955643</c:v>
              </c:pt>
              <c:pt idx="7">
                <c:v>-244159215.11955643</c:v>
              </c:pt>
              <c:pt idx="8">
                <c:v>-233159215.11955643</c:v>
              </c:pt>
              <c:pt idx="9">
                <c:v>-222159215.11955643</c:v>
              </c:pt>
              <c:pt idx="10">
                <c:v>-211159215.11955643</c:v>
              </c:pt>
              <c:pt idx="11">
                <c:v>-200159215.11955643</c:v>
              </c:pt>
              <c:pt idx="12">
                <c:v>-189159215.11955643</c:v>
              </c:pt>
              <c:pt idx="13">
                <c:v>-178159215.11955643</c:v>
              </c:pt>
              <c:pt idx="14">
                <c:v>-167159215.11955643</c:v>
              </c:pt>
              <c:pt idx="15">
                <c:v>-156159215.11955643</c:v>
              </c:pt>
              <c:pt idx="16">
                <c:v>-145159215.11955643</c:v>
              </c:pt>
              <c:pt idx="17">
                <c:v>-134159215.11955643</c:v>
              </c:pt>
              <c:pt idx="18">
                <c:v>-123159215.11955643</c:v>
              </c:pt>
              <c:pt idx="19">
                <c:v>-112159215.11955643</c:v>
              </c:pt>
              <c:pt idx="20">
                <c:v>-101159215.11955643</c:v>
              </c:pt>
              <c:pt idx="21">
                <c:v>-90159215.119556427</c:v>
              </c:pt>
              <c:pt idx="22">
                <c:v>-79159215.119556427</c:v>
              </c:pt>
              <c:pt idx="23">
                <c:v>-68159215.119556427</c:v>
              </c:pt>
              <c:pt idx="24">
                <c:v>-57159215.119556427</c:v>
              </c:pt>
              <c:pt idx="25">
                <c:v>-46159215.119556427</c:v>
              </c:pt>
              <c:pt idx="26">
                <c:v>-35159215.119556427</c:v>
              </c:pt>
              <c:pt idx="27">
                <c:v>-24159215.119556427</c:v>
              </c:pt>
              <c:pt idx="28">
                <c:v>-13159215.119556427</c:v>
              </c:pt>
              <c:pt idx="29">
                <c:v>-2159215.119556427</c:v>
              </c:pt>
              <c:pt idx="30">
                <c:v>8840784.880443573</c:v>
              </c:pt>
              <c:pt idx="31">
                <c:v>19840784.880443573</c:v>
              </c:pt>
              <c:pt idx="32">
                <c:v>30840784.880443573</c:v>
              </c:pt>
              <c:pt idx="33">
                <c:v>41840784.880443573</c:v>
              </c:pt>
              <c:pt idx="34">
                <c:v>52840784.880443573</c:v>
              </c:pt>
              <c:pt idx="35">
                <c:v>63840784.880443573</c:v>
              </c:pt>
              <c:pt idx="36">
                <c:v>74840784.880443573</c:v>
              </c:pt>
              <c:pt idx="37">
                <c:v>85840784.880443573</c:v>
              </c:pt>
              <c:pt idx="38">
                <c:v>96840784.880443573</c:v>
              </c:pt>
              <c:pt idx="39">
                <c:v>107840784.88044357</c:v>
              </c:pt>
              <c:pt idx="40">
                <c:v>118840784.88044357</c:v>
              </c:pt>
              <c:pt idx="41">
                <c:v>129840784.88044357</c:v>
              </c:pt>
              <c:pt idx="42">
                <c:v>140840784.88044357</c:v>
              </c:pt>
              <c:pt idx="43">
                <c:v>151840784.88044357</c:v>
              </c:pt>
              <c:pt idx="44">
                <c:v>162840784.88044357</c:v>
              </c:pt>
              <c:pt idx="45">
                <c:v>173840784.88044357</c:v>
              </c:pt>
              <c:pt idx="46">
                <c:v>184840784.88044357</c:v>
              </c:pt>
              <c:pt idx="47">
                <c:v>195840784.88044357</c:v>
              </c:pt>
              <c:pt idx="48">
                <c:v>206840784.88044357</c:v>
              </c:pt>
              <c:pt idx="49">
                <c:v>217840784.88044357</c:v>
              </c:pt>
              <c:pt idx="50">
                <c:v>228840784.88044357</c:v>
              </c:pt>
              <c:pt idx="51">
                <c:v>239840784.88044357</c:v>
              </c:pt>
              <c:pt idx="52">
                <c:v>250840784.88044357</c:v>
              </c:pt>
              <c:pt idx="53">
                <c:v>261840784.88044357</c:v>
              </c:pt>
              <c:pt idx="54">
                <c:v>272840784.88044357</c:v>
              </c:pt>
              <c:pt idx="55">
                <c:v>283840784.88044357</c:v>
              </c:pt>
              <c:pt idx="56">
                <c:v>294840784.88044357</c:v>
              </c:pt>
              <c:pt idx="57">
                <c:v>305840784.88044357</c:v>
              </c:pt>
              <c:pt idx="58">
                <c:v>316840784.88044357</c:v>
              </c:pt>
              <c:pt idx="59">
                <c:v>327840784.88044357</c:v>
              </c:pt>
              <c:pt idx="60">
                <c:v>338840784.88044357</c:v>
              </c:pt>
              <c:pt idx="61">
                <c:v>349840784.88044357</c:v>
              </c:pt>
              <c:pt idx="62">
                <c:v>360840784.88044357</c:v>
              </c:pt>
              <c:pt idx="63">
                <c:v>371840784.88044357</c:v>
              </c:pt>
              <c:pt idx="64">
                <c:v>382840784.88044357</c:v>
              </c:pt>
              <c:pt idx="65">
                <c:v>393840784.88044357</c:v>
              </c:pt>
              <c:pt idx="66">
                <c:v>404840784.88044357</c:v>
              </c:pt>
              <c:pt idx="67">
                <c:v>415840784.88044357</c:v>
              </c:pt>
              <c:pt idx="68">
                <c:v>426840784.88044357</c:v>
              </c:pt>
            </c:numLit>
          </c:cat>
          <c:val>
            <c:numLit>
              <c:formatCode>#\ ##0.0000000000000000000000</c:formatCode>
              <c:ptCount val="56"/>
              <c:pt idx="0">
                <c:v>6.3625156366829945E-13</c:v>
              </c:pt>
              <c:pt idx="1">
                <c:v>1.1740031849184217E-12</c:v>
              </c:pt>
              <c:pt idx="2">
                <c:v>2.120154159767013E-12</c:v>
              </c:pt>
              <c:pt idx="3">
                <c:v>3.7473422388597057E-12</c:v>
              </c:pt>
              <c:pt idx="4">
                <c:v>6.4824179601566177E-12</c:v>
              </c:pt>
              <c:pt idx="5">
                <c:v>1.0975099159823953E-11</c:v>
              </c:pt>
              <c:pt idx="6">
                <c:v>1.8186018527252053E-11</c:v>
              </c:pt>
              <c:pt idx="7">
                <c:v>2.9493380814940161E-11</c:v>
              </c:pt>
              <c:pt idx="8">
                <c:v>4.6813298232336457E-11</c:v>
              </c:pt>
              <c:pt idx="9">
                <c:v>7.2722981408601338E-11</c:v>
              </c:pt>
              <c:pt idx="10">
                <c:v>1.1056861329265461E-10</c:v>
              </c:pt>
              <c:pt idx="11">
                <c:v>1.645317826976399E-10</c:v>
              </c:pt>
              <c:pt idx="12">
                <c:v>2.3962134223080589E-10</c:v>
              </c:pt>
              <c:pt idx="13">
                <c:v>3.4155365926352418E-10</c:v>
              </c:pt>
              <c:pt idx="14">
                <c:v>4.7648599621009443E-10</c:v>
              </c:pt>
              <c:pt idx="15">
                <c:v>6.5057758046183439E-10</c:v>
              </c:pt>
              <c:pt idx="16">
                <c:v>8.6937229772040519E-10</c:v>
              </c:pt>
              <c:pt idx="17">
                <c:v>1.1370256307679567E-9</c:v>
              </c:pt>
              <c:pt idx="18">
                <c:v>1.455433827492143E-9</c:v>
              </c:pt>
              <c:pt idx="19">
                <c:v>1.8233600179095697E-9</c:v>
              </c:pt>
              <c:pt idx="20">
                <c:v>2.2356825811518335E-9</c:v>
              </c:pt>
              <c:pt idx="21">
                <c:v>2.68290695641185E-9</c:v>
              </c:pt>
              <c:pt idx="22">
                <c:v>3.1510756722437102E-9</c:v>
              </c:pt>
              <c:pt idx="23">
                <c:v>3.6221781527825411E-9</c:v>
              </c:pt>
              <c:pt idx="24">
                <c:v>4.0751024691121516E-9</c:v>
              </c:pt>
              <c:pt idx="25">
                <c:v>4.487092404697737E-9</c:v>
              </c:pt>
              <c:pt idx="26">
                <c:v>4.8355874934680147E-9</c:v>
              </c:pt>
              <c:pt idx="27">
                <c:v>5.1002472564115476E-9</c:v>
              </c:pt>
              <c:pt idx="28">
                <c:v>5.2649102098182044E-9</c:v>
              </c:pt>
              <c:pt idx="29">
                <c:v>5.3192262083075954E-9</c:v>
              </c:pt>
              <c:pt idx="30">
                <c:v>5.2597330578576638E-9</c:v>
              </c:pt>
              <c:pt idx="31">
                <c:v>5.090221720659739E-9</c:v>
              </c:pt>
              <c:pt idx="32">
                <c:v>4.8213365597982773E-9</c:v>
              </c:pt>
              <c:pt idx="33">
                <c:v>4.4694692232513861E-9</c:v>
              </c:pt>
              <c:pt idx="34">
                <c:v>4.0551059514563603E-9</c:v>
              </c:pt>
              <c:pt idx="35">
                <c:v>3.6008598095583936E-9</c:v>
              </c:pt>
              <c:pt idx="36">
                <c:v>3.1294496890789036E-9</c:v>
              </c:pt>
              <c:pt idx="37">
                <c:v>2.6618739566812901E-9</c:v>
              </c:pt>
              <c:pt idx="38">
                <c:v>2.2159744730732039E-9</c:v>
              </c:pt>
              <c:pt idx="39">
                <c:v>1.8055094757871506E-9</c:v>
              </c:pt>
              <c:pt idx="40">
                <c:v>1.4397680891811831E-9</c:v>
              </c:pt>
              <c:pt idx="41">
                <c:v>1.1236810790702381E-9</c:v>
              </c:pt>
              <c:pt idx="42">
                <c:v>8.5832417619628305E-10</c:v>
              </c:pt>
              <c:pt idx="43">
                <c:v>6.4167833344440158E-10</c:v>
              </c:pt>
              <c:pt idx="44">
                <c:v>4.6950601250742874E-10</c:v>
              </c:pt>
              <c:pt idx="45">
                <c:v>3.3621934198321092E-10</c:v>
              </c:pt>
              <c:pt idx="46">
                <c:v>2.3564703642217425E-10</c:v>
              </c:pt>
              <c:pt idx="47">
                <c:v>1.6164378959148233E-10</c:v>
              </c:pt>
              <c:pt idx="48">
                <c:v>1.0852100762538605E-10</c:v>
              </c:pt>
              <c:pt idx="49">
                <c:v>7.1306047543148216E-11</c:v>
              </c:pt>
              <c:pt idx="50">
                <c:v>4.5856052299348262E-11</c:v>
              </c:pt>
              <c:pt idx="51">
                <c:v>2.8861886632143199E-11</c:v>
              </c:pt>
              <c:pt idx="52">
                <c:v>1.7779130664169549E-11</c:v>
              </c:pt>
              <c:pt idx="53">
                <c:v>1.0718995281484827E-11</c:v>
              </c:pt>
              <c:pt idx="54">
                <c:v>6.3249251529494605E-12</c:v>
              </c:pt>
              <c:pt idx="55">
                <c:v>3.6527037813904082E-12</c:v>
              </c:pt>
            </c:numLit>
          </c:val>
          <c:extLst>
            <c:ext xmlns:c16="http://schemas.microsoft.com/office/drawing/2014/chart" uri="{C3380CC4-5D6E-409C-BE32-E72D297353CC}">
              <c16:uniqueId val="{00000000-774F-424A-88DF-162D1E0555BE}"/>
            </c:ext>
          </c:extLst>
        </c:ser>
        <c:dLbls>
          <c:showLegendKey val="0"/>
          <c:showVal val="0"/>
          <c:showCatName val="0"/>
          <c:showSerName val="0"/>
          <c:showPercent val="0"/>
          <c:showBubbleSize val="0"/>
        </c:dLbls>
        <c:axId val="673225808"/>
        <c:axId val="673228104"/>
      </c:areaChart>
      <c:areaChart>
        <c:grouping val="standard"/>
        <c:varyColors val="0"/>
        <c:ser>
          <c:idx val="1"/>
          <c:order val="1"/>
          <c:tx>
            <c:v>ENPV &lt;= 0 (pravdepodobnosť 0.5128)</c:v>
          </c:tx>
          <c:spPr>
            <a:solidFill>
              <a:schemeClr val="accent2"/>
            </a:solidFill>
            <a:ln w="25400">
              <a:noFill/>
            </a:ln>
            <a:effectLst/>
          </c:spPr>
          <c:cat>
            <c:numLit>
              <c:formatCode>#\ ##0.0</c:formatCode>
              <c:ptCount val="56"/>
              <c:pt idx="0">
                <c:v>-4.25</c:v>
              </c:pt>
              <c:pt idx="1">
                <c:v>-4.1033326241560175</c:v>
              </c:pt>
              <c:pt idx="2">
                <c:v>-3.9566652483120355</c:v>
              </c:pt>
              <c:pt idx="3">
                <c:v>-3.809997872468053</c:v>
              </c:pt>
              <c:pt idx="4">
                <c:v>-3.663330496624071</c:v>
              </c:pt>
              <c:pt idx="5">
                <c:v>-3.5166631207800885</c:v>
              </c:pt>
              <c:pt idx="6">
                <c:v>-3.3699957449361064</c:v>
              </c:pt>
              <c:pt idx="7">
                <c:v>-3.2233283690921239</c:v>
              </c:pt>
              <c:pt idx="8">
                <c:v>-3.0766609932481415</c:v>
              </c:pt>
              <c:pt idx="9">
                <c:v>-2.9299936174041594</c:v>
              </c:pt>
              <c:pt idx="10">
                <c:v>-2.7833262415601769</c:v>
              </c:pt>
              <c:pt idx="11">
                <c:v>-2.6366588657161949</c:v>
              </c:pt>
              <c:pt idx="12">
                <c:v>-2.4899914898722124</c:v>
              </c:pt>
              <c:pt idx="13">
                <c:v>-2.3433241140282299</c:v>
              </c:pt>
              <c:pt idx="14">
                <c:v>-2.1966567381842479</c:v>
              </c:pt>
              <c:pt idx="15">
                <c:v>-2.0499893623402654</c:v>
              </c:pt>
              <c:pt idx="16">
                <c:v>-1.9033219864962831</c:v>
              </c:pt>
              <c:pt idx="17">
                <c:v>-1.7566546106523007</c:v>
              </c:pt>
              <c:pt idx="18">
                <c:v>-1.6099872348083184</c:v>
              </c:pt>
              <c:pt idx="19">
                <c:v>-1.4633198589643359</c:v>
              </c:pt>
              <c:pt idx="20">
                <c:v>-1.3166524831203537</c:v>
              </c:pt>
              <c:pt idx="21">
                <c:v>-1.1699851072763714</c:v>
              </c:pt>
              <c:pt idx="22">
                <c:v>-1.0233177314323891</c:v>
              </c:pt>
              <c:pt idx="23">
                <c:v>-0.87665035558840676</c:v>
              </c:pt>
              <c:pt idx="24">
                <c:v>-0.7299829797444245</c:v>
              </c:pt>
              <c:pt idx="25">
                <c:v>-0.58331560390044213</c:v>
              </c:pt>
              <c:pt idx="26">
                <c:v>-0.43664822805645981</c:v>
              </c:pt>
              <c:pt idx="27">
                <c:v>-0.28998085221247749</c:v>
              </c:pt>
              <c:pt idx="28">
                <c:v>-0.1433134763684952</c:v>
              </c:pt>
              <c:pt idx="29">
                <c:v>3.3538994754870959E-3</c:v>
              </c:pt>
              <c:pt idx="30">
                <c:v>0.15002127531946943</c:v>
              </c:pt>
              <c:pt idx="31">
                <c:v>0.29668865116345172</c:v>
              </c:pt>
              <c:pt idx="32">
                <c:v>0.44335602700743404</c:v>
              </c:pt>
              <c:pt idx="33">
                <c:v>0.59002340285141641</c:v>
              </c:pt>
              <c:pt idx="34">
                <c:v>0.73669077869539867</c:v>
              </c:pt>
              <c:pt idx="35">
                <c:v>0.88335815453938094</c:v>
              </c:pt>
              <c:pt idx="36">
                <c:v>1.0300255303833632</c:v>
              </c:pt>
              <c:pt idx="37">
                <c:v>1.1766929062273457</c:v>
              </c:pt>
              <c:pt idx="38">
                <c:v>1.3233602820713279</c:v>
              </c:pt>
              <c:pt idx="39">
                <c:v>1.4700276579153102</c:v>
              </c:pt>
              <c:pt idx="40">
                <c:v>1.6166950337592925</c:v>
              </c:pt>
              <c:pt idx="41">
                <c:v>1.7633624096032749</c:v>
              </c:pt>
              <c:pt idx="42">
                <c:v>1.910029785447257</c:v>
              </c:pt>
              <c:pt idx="43">
                <c:v>2.0566971612912393</c:v>
              </c:pt>
              <c:pt idx="44">
                <c:v>2.2033645371352217</c:v>
              </c:pt>
              <c:pt idx="45">
                <c:v>2.3500319129792038</c:v>
              </c:pt>
              <c:pt idx="46">
                <c:v>2.4966992888231863</c:v>
              </c:pt>
              <c:pt idx="47">
                <c:v>2.6433666646671687</c:v>
              </c:pt>
              <c:pt idx="48">
                <c:v>2.7900340405111508</c:v>
              </c:pt>
              <c:pt idx="49">
                <c:v>2.9367014163551333</c:v>
              </c:pt>
              <c:pt idx="50">
                <c:v>3.0833687921991153</c:v>
              </c:pt>
              <c:pt idx="51">
                <c:v>3.2300361680430978</c:v>
              </c:pt>
              <c:pt idx="52">
                <c:v>3.3767035438870803</c:v>
              </c:pt>
              <c:pt idx="53">
                <c:v>3.5233709197310623</c:v>
              </c:pt>
              <c:pt idx="54">
                <c:v>3.6700382955750448</c:v>
              </c:pt>
              <c:pt idx="55">
                <c:v>3.8167056714190268</c:v>
              </c:pt>
            </c:numLit>
          </c:cat>
          <c:val>
            <c:numLit>
              <c:formatCode>General</c:formatCode>
              <c:ptCount val="56"/>
              <c:pt idx="0">
                <c:v>6.3625156366829945E-13</c:v>
              </c:pt>
              <c:pt idx="1">
                <c:v>1.1740031849184217E-12</c:v>
              </c:pt>
              <c:pt idx="2">
                <c:v>2.120154159767013E-12</c:v>
              </c:pt>
              <c:pt idx="3">
                <c:v>3.7473422388597057E-12</c:v>
              </c:pt>
              <c:pt idx="4">
                <c:v>6.4824179601566177E-12</c:v>
              </c:pt>
              <c:pt idx="5">
                <c:v>1.0975099159823953E-11</c:v>
              </c:pt>
              <c:pt idx="6">
                <c:v>1.8186018527252053E-11</c:v>
              </c:pt>
              <c:pt idx="7">
                <c:v>2.9493380814940161E-11</c:v>
              </c:pt>
              <c:pt idx="8">
                <c:v>4.6813298232336457E-11</c:v>
              </c:pt>
              <c:pt idx="9">
                <c:v>7.2722981408601338E-11</c:v>
              </c:pt>
              <c:pt idx="10">
                <c:v>1.1056861329265461E-10</c:v>
              </c:pt>
              <c:pt idx="11">
                <c:v>1.645317826976399E-10</c:v>
              </c:pt>
              <c:pt idx="12">
                <c:v>2.3962134223080589E-10</c:v>
              </c:pt>
              <c:pt idx="13">
                <c:v>3.4155365926352418E-10</c:v>
              </c:pt>
              <c:pt idx="14">
                <c:v>4.7648599621009443E-10</c:v>
              </c:pt>
              <c:pt idx="15">
                <c:v>6.5057758046183439E-10</c:v>
              </c:pt>
              <c:pt idx="16">
                <c:v>8.6937229772040519E-10</c:v>
              </c:pt>
              <c:pt idx="17">
                <c:v>1.1370256307679567E-9</c:v>
              </c:pt>
              <c:pt idx="18">
                <c:v>1.455433827492143E-9</c:v>
              </c:pt>
              <c:pt idx="19">
                <c:v>1.8233600179095697E-9</c:v>
              </c:pt>
              <c:pt idx="20">
                <c:v>2.2356825811518335E-9</c:v>
              </c:pt>
              <c:pt idx="21">
                <c:v>2.68290695641185E-9</c:v>
              </c:pt>
              <c:pt idx="22">
                <c:v>3.1510756722437102E-9</c:v>
              </c:pt>
              <c:pt idx="23">
                <c:v>3.6221781527825411E-9</c:v>
              </c:pt>
              <c:pt idx="24">
                <c:v>4.0751024691121516E-9</c:v>
              </c:pt>
              <c:pt idx="25">
                <c:v>4.487092404697737E-9</c:v>
              </c:pt>
              <c:pt idx="26">
                <c:v>4.8355874934680147E-9</c:v>
              </c:pt>
              <c:pt idx="27">
                <c:v>5.1002472564115476E-9</c:v>
              </c:pt>
              <c:pt idx="28">
                <c:v>5.2649102098182044E-9</c:v>
              </c:pt>
              <c:pt idx="29">
                <c:v>5.3192262083075954E-9</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numLit>
          </c:val>
          <c:extLst>
            <c:ext xmlns:c16="http://schemas.microsoft.com/office/drawing/2014/chart" uri="{C3380CC4-5D6E-409C-BE32-E72D297353CC}">
              <c16:uniqueId val="{00000001-774F-424A-88DF-162D1E0555BE}"/>
            </c:ext>
          </c:extLst>
        </c:ser>
        <c:dLbls>
          <c:showLegendKey val="0"/>
          <c:showVal val="0"/>
          <c:showCatName val="0"/>
          <c:showSerName val="0"/>
          <c:showPercent val="0"/>
          <c:showBubbleSize val="0"/>
        </c:dLbls>
        <c:axId val="443362528"/>
        <c:axId val="443360888"/>
      </c:areaChart>
      <c:catAx>
        <c:axId val="673225808"/>
        <c:scaling>
          <c:orientation val="minMax"/>
        </c:scaling>
        <c:delete val="0"/>
        <c:axPos val="b"/>
        <c:numFmt formatCode="#\ ##0.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673228104"/>
        <c:crosses val="autoZero"/>
        <c:auto val="1"/>
        <c:lblAlgn val="ctr"/>
        <c:lblOffset val="100"/>
        <c:noMultiLvlLbl val="0"/>
      </c:catAx>
      <c:valAx>
        <c:axId val="673228104"/>
        <c:scaling>
          <c:orientation val="minMax"/>
        </c:scaling>
        <c:delete val="1"/>
        <c:axPos val="l"/>
        <c:majorGridlines>
          <c:spPr>
            <a:ln w="9525" cap="flat" cmpd="sng" algn="ctr">
              <a:solidFill>
                <a:schemeClr val="tx1">
                  <a:lumMod val="15000"/>
                  <a:lumOff val="85000"/>
                </a:schemeClr>
              </a:solidFill>
              <a:round/>
            </a:ln>
            <a:effectLst/>
          </c:spPr>
        </c:majorGridlines>
        <c:numFmt formatCode="#\ ##0.0000000000000000000000" sourceLinked="1"/>
        <c:majorTickMark val="none"/>
        <c:minorTickMark val="none"/>
        <c:tickLblPos val="nextTo"/>
        <c:crossAx val="673225808"/>
        <c:crosses val="autoZero"/>
        <c:crossBetween val="midCat"/>
      </c:valAx>
      <c:valAx>
        <c:axId val="443360888"/>
        <c:scaling>
          <c:orientation val="minMax"/>
        </c:scaling>
        <c:delete val="1"/>
        <c:axPos val="r"/>
        <c:numFmt formatCode="General" sourceLinked="1"/>
        <c:majorTickMark val="out"/>
        <c:minorTickMark val="none"/>
        <c:tickLblPos val="nextTo"/>
        <c:crossAx val="443362528"/>
        <c:crosses val="max"/>
        <c:crossBetween val="midCat"/>
      </c:valAx>
      <c:catAx>
        <c:axId val="443362528"/>
        <c:scaling>
          <c:orientation val="minMax"/>
        </c:scaling>
        <c:delete val="0"/>
        <c:axPos val="t"/>
        <c:numFmt formatCode="#\ ##0.0"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443360888"/>
        <c:crosses val="max"/>
        <c:auto val="1"/>
        <c:lblAlgn val="ctr"/>
        <c:lblOffset val="100"/>
        <c:tickLblSkip val="255"/>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sk-SK"/>
    </a:p>
  </c:txPr>
  <c:externalData r:id="rId3">
    <c:autoUpdate val="0"/>
  </c:externalData>
  <c:userShapes r:id="rId4"/>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0" i="0" u="none" strike="noStrike" baseline="0">
                <a:solidFill>
                  <a:srgbClr val="333333"/>
                </a:solidFill>
                <a:latin typeface="Calibri"/>
                <a:ea typeface="Calibri"/>
                <a:cs typeface="Calibri"/>
              </a:defRPr>
            </a:pPr>
            <a:r>
              <a:rPr lang="en-US"/>
              <a:t>Zmena FNPV_C (+/- 1% zmena)</a:t>
            </a:r>
          </a:p>
        </c:rich>
      </c:tx>
      <c:overlay val="0"/>
      <c:spPr>
        <a:noFill/>
        <a:ln w="25400">
          <a:noFill/>
        </a:ln>
      </c:spPr>
    </c:title>
    <c:autoTitleDeleted val="0"/>
    <c:plotArea>
      <c:layout/>
      <c:barChart>
        <c:barDir val="bar"/>
        <c:grouping val="clustered"/>
        <c:varyColors val="0"/>
        <c:ser>
          <c:idx val="0"/>
          <c:order val="0"/>
          <c:tx>
            <c:v>-1%</c:v>
          </c:tx>
          <c:spPr>
            <a:solidFill>
              <a:srgbClr val="4F81BD"/>
            </a:solidFill>
            <a:ln w="25400">
              <a:noFill/>
            </a:ln>
          </c:spPr>
          <c:invertIfNegative val="0"/>
          <c:cat>
            <c:strRef>
              <c:f>'15 AC FNPV_C-Moder.'!$B$13:$B$16</c:f>
              <c:strCache>
                <c:ptCount val="4"/>
                <c:pt idx="0">
                  <c:v>Investičné výdavky</c:v>
                </c:pt>
                <c:pt idx="1">
                  <c:v>Prevádzkové výdavky</c:v>
                </c:pt>
                <c:pt idx="2">
                  <c:v>Prevádzkové príjmy</c:v>
                </c:pt>
                <c:pt idx="3">
                  <c:v>Zostatková hodnota</c:v>
                </c:pt>
              </c:strCache>
            </c:strRef>
          </c:cat>
          <c:val>
            <c:numRef>
              <c:f>'15 AC FNPV_C-Moder.'!$E$13:$E$16</c:f>
              <c:numCache>
                <c:formatCode>0.000%</c:formatCode>
                <c:ptCount val="4"/>
                <c:pt idx="0">
                  <c:v>1.185483950396049E-2</c:v>
                </c:pt>
                <c:pt idx="1">
                  <c:v>-1.6663081805377011E-3</c:v>
                </c:pt>
                <c:pt idx="2">
                  <c:v>-1.2364733467795652E-4</c:v>
                </c:pt>
                <c:pt idx="3">
                  <c:v>-6.4883988744268706E-5</c:v>
                </c:pt>
              </c:numCache>
            </c:numRef>
          </c:val>
          <c:extLst>
            <c:ext xmlns:c16="http://schemas.microsoft.com/office/drawing/2014/chart" uri="{C3380CC4-5D6E-409C-BE32-E72D297353CC}">
              <c16:uniqueId val="{00000000-08C3-4419-9CC4-2ECF9C56A5B9}"/>
            </c:ext>
          </c:extLst>
        </c:ser>
        <c:ser>
          <c:idx val="1"/>
          <c:order val="1"/>
          <c:tx>
            <c:v>+1%</c:v>
          </c:tx>
          <c:spPr>
            <a:solidFill>
              <a:srgbClr val="C0504D"/>
            </a:solidFill>
            <a:ln w="25400">
              <a:noFill/>
            </a:ln>
          </c:spPr>
          <c:invertIfNegative val="0"/>
          <c:cat>
            <c:strRef>
              <c:f>'15 AC FNPV_C-Moder.'!$B$13:$B$16</c:f>
              <c:strCache>
                <c:ptCount val="4"/>
                <c:pt idx="0">
                  <c:v>Investičné výdavky</c:v>
                </c:pt>
                <c:pt idx="1">
                  <c:v>Prevádzkové výdavky</c:v>
                </c:pt>
                <c:pt idx="2">
                  <c:v>Prevádzkové príjmy</c:v>
                </c:pt>
                <c:pt idx="3">
                  <c:v>Zostatková hodnota</c:v>
                </c:pt>
              </c:strCache>
            </c:strRef>
          </c:cat>
          <c:val>
            <c:numRef>
              <c:f>'15 AC FNPV_C-Moder.'!$G$13:$G$16</c:f>
              <c:numCache>
                <c:formatCode>0.000%</c:formatCode>
                <c:ptCount val="4"/>
                <c:pt idx="0">
                  <c:v>-1.1854839503960601E-2</c:v>
                </c:pt>
                <c:pt idx="1">
                  <c:v>1.6663081805377011E-3</c:v>
                </c:pt>
                <c:pt idx="2">
                  <c:v>1.2364733467851163E-4</c:v>
                </c:pt>
                <c:pt idx="3">
                  <c:v>6.4883988744712795E-5</c:v>
                </c:pt>
              </c:numCache>
            </c:numRef>
          </c:val>
          <c:extLst>
            <c:ext xmlns:c16="http://schemas.microsoft.com/office/drawing/2014/chart" uri="{C3380CC4-5D6E-409C-BE32-E72D297353CC}">
              <c16:uniqueId val="{00000001-08C3-4419-9CC4-2ECF9C56A5B9}"/>
            </c:ext>
          </c:extLst>
        </c:ser>
        <c:dLbls>
          <c:showLegendKey val="0"/>
          <c:showVal val="0"/>
          <c:showCatName val="0"/>
          <c:showSerName val="0"/>
          <c:showPercent val="0"/>
          <c:showBubbleSize val="0"/>
        </c:dLbls>
        <c:gapWidth val="182"/>
        <c:axId val="719747992"/>
        <c:axId val="1"/>
      </c:barChart>
      <c:catAx>
        <c:axId val="719747992"/>
        <c:scaling>
          <c:orientation val="minMax"/>
        </c:scaling>
        <c:delete val="0"/>
        <c:axPos val="l"/>
        <c:numFmt formatCode="General" sourceLinked="1"/>
        <c:majorTickMark val="out"/>
        <c:minorTickMark val="none"/>
        <c:tickLblPos val="low"/>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sk-SK"/>
          </a:p>
        </c:txPr>
        <c:crossAx val="1"/>
        <c:crosses val="autoZero"/>
        <c:auto val="1"/>
        <c:lblAlgn val="ctr"/>
        <c:lblOffset val="100"/>
        <c:noMultiLvlLbl val="0"/>
      </c:catAx>
      <c:valAx>
        <c:axId val="1"/>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out"/>
        <c:minorTickMark val="none"/>
        <c:tickLblPos val="nextTo"/>
        <c:spPr>
          <a:ln w="9525">
            <a:noFill/>
          </a:ln>
        </c:spPr>
        <c:txPr>
          <a:bodyPr rot="0" vert="horz"/>
          <a:lstStyle/>
          <a:p>
            <a:pPr>
              <a:defRPr sz="900" b="0" i="0" u="none" strike="noStrike" baseline="0">
                <a:solidFill>
                  <a:srgbClr val="333333"/>
                </a:solidFill>
                <a:latin typeface="Calibri"/>
                <a:ea typeface="Calibri"/>
                <a:cs typeface="Calibri"/>
              </a:defRPr>
            </a:pPr>
            <a:endParaRPr lang="sk-SK"/>
          </a:p>
        </c:txPr>
        <c:crossAx val="71974799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sk-SK"/>
    </a:p>
  </c:tx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800" b="0" i="0" u="none" strike="noStrike" baseline="0">
                <a:solidFill>
                  <a:srgbClr val="333333"/>
                </a:solidFill>
                <a:latin typeface="Calibri"/>
                <a:ea typeface="Calibri"/>
                <a:cs typeface="Calibri"/>
              </a:defRPr>
            </a:pPr>
            <a:r>
              <a:rPr lang="en-US"/>
              <a:t>Zmena ENPV (+/- 1% zmena)</a:t>
            </a:r>
          </a:p>
        </c:rich>
      </c:tx>
      <c:overlay val="0"/>
      <c:spPr>
        <a:noFill/>
        <a:ln w="25400">
          <a:noFill/>
        </a:ln>
      </c:spPr>
    </c:title>
    <c:autoTitleDeleted val="0"/>
    <c:plotArea>
      <c:layout/>
      <c:barChart>
        <c:barDir val="bar"/>
        <c:grouping val="stacked"/>
        <c:varyColors val="0"/>
        <c:ser>
          <c:idx val="0"/>
          <c:order val="0"/>
          <c:tx>
            <c:v>-1%</c:v>
          </c:tx>
          <c:spPr>
            <a:solidFill>
              <a:srgbClr val="4F81BD"/>
            </a:solidFill>
            <a:ln w="25400">
              <a:noFill/>
            </a:ln>
          </c:spPr>
          <c:invertIfNegative val="0"/>
          <c:cat>
            <c:strRef>
              <c:f>'16 AC ENPV-Moder.'!$B$18:$B$26</c:f>
              <c:strCache>
                <c:ptCount val="9"/>
                <c:pt idx="0">
                  <c:v>Investičné náklady</c:v>
                </c:pt>
                <c:pt idx="1">
                  <c:v>Prevádzkové náklady</c:v>
                </c:pt>
                <c:pt idx="2">
                  <c:v>úspora času - osobná doprava</c:v>
                </c:pt>
                <c:pt idx="3">
                  <c:v>vlkm - osobná doprava</c:v>
                </c:pt>
                <c:pt idx="4">
                  <c:v>vzkm - prevedená doprava</c:v>
                </c:pt>
                <c:pt idx="5">
                  <c:v>úspora času - nákladná doprava</c:v>
                </c:pt>
                <c:pt idx="6">
                  <c:v>vlkm - nákladná doprava</c:v>
                </c:pt>
                <c:pt idx="7">
                  <c:v>množstvo prepraveného tovaru - nákladná doprava</c:v>
                </c:pt>
                <c:pt idx="8">
                  <c:v>Zostatková hodnota</c:v>
                </c:pt>
              </c:strCache>
            </c:strRef>
          </c:cat>
          <c:val>
            <c:numRef>
              <c:f>'16 AC ENPV-Moder.'!$E$18:$E$26</c:f>
              <c:numCache>
                <c:formatCode>0.000%</c:formatCode>
                <c:ptCount val="9"/>
                <c:pt idx="0">
                  <c:v>4.461567086664159</c:v>
                </c:pt>
                <c:pt idx="1">
                  <c:v>-0.62192184616367752</c:v>
                </c:pt>
                <c:pt idx="2">
                  <c:v>-0.2536124122268667</c:v>
                </c:pt>
                <c:pt idx="3">
                  <c:v>-0.12749894133463002</c:v>
                </c:pt>
                <c:pt idx="4">
                  <c:v>-0.10838425263744456</c:v>
                </c:pt>
                <c:pt idx="5">
                  <c:v>-2.6117941019954984</c:v>
                </c:pt>
                <c:pt idx="6">
                  <c:v>-2.6762060765602085</c:v>
                </c:pt>
                <c:pt idx="7">
                  <c:v>-2.6117941019955815</c:v>
                </c:pt>
                <c:pt idx="8">
                  <c:v>-0.50811368835586268</c:v>
                </c:pt>
              </c:numCache>
            </c:numRef>
          </c:val>
          <c:extLst>
            <c:ext xmlns:c16="http://schemas.microsoft.com/office/drawing/2014/chart" uri="{C3380CC4-5D6E-409C-BE32-E72D297353CC}">
              <c16:uniqueId val="{00000000-B2ED-4FBA-80F9-539D4C885E8B}"/>
            </c:ext>
          </c:extLst>
        </c:ser>
        <c:ser>
          <c:idx val="1"/>
          <c:order val="1"/>
          <c:tx>
            <c:v>1%</c:v>
          </c:tx>
          <c:spPr>
            <a:solidFill>
              <a:srgbClr val="C0504D"/>
            </a:solidFill>
            <a:ln w="25400">
              <a:noFill/>
            </a:ln>
          </c:spPr>
          <c:invertIfNegative val="0"/>
          <c:cat>
            <c:strRef>
              <c:f>'16 AC ENPV-Moder.'!$B$18:$B$26</c:f>
              <c:strCache>
                <c:ptCount val="9"/>
                <c:pt idx="0">
                  <c:v>Investičné náklady</c:v>
                </c:pt>
                <c:pt idx="1">
                  <c:v>Prevádzkové náklady</c:v>
                </c:pt>
                <c:pt idx="2">
                  <c:v>úspora času - osobná doprava</c:v>
                </c:pt>
                <c:pt idx="3">
                  <c:v>vlkm - osobná doprava</c:v>
                </c:pt>
                <c:pt idx="4">
                  <c:v>vzkm - prevedená doprava</c:v>
                </c:pt>
                <c:pt idx="5">
                  <c:v>úspora času - nákladná doprava</c:v>
                </c:pt>
                <c:pt idx="6">
                  <c:v>vlkm - nákladná doprava</c:v>
                </c:pt>
                <c:pt idx="7">
                  <c:v>množstvo prepraveného tovaru - nákladná doprava</c:v>
                </c:pt>
                <c:pt idx="8">
                  <c:v>Zostatková hodnota</c:v>
                </c:pt>
              </c:strCache>
            </c:strRef>
          </c:cat>
          <c:val>
            <c:numRef>
              <c:f>'16 AC ENPV-Moder.'!$G$18:$G$26</c:f>
              <c:numCache>
                <c:formatCode>0.000%</c:formatCode>
                <c:ptCount val="9"/>
                <c:pt idx="0">
                  <c:v>-4.4615670866640293</c:v>
                </c:pt>
                <c:pt idx="1">
                  <c:v>0.62192184616382518</c:v>
                </c:pt>
                <c:pt idx="2">
                  <c:v>0.25361241222690367</c:v>
                </c:pt>
                <c:pt idx="3">
                  <c:v>0.12749894133451956</c:v>
                </c:pt>
                <c:pt idx="4">
                  <c:v>0.10838425263748164</c:v>
                </c:pt>
                <c:pt idx="5">
                  <c:v>2.6117941019954154</c:v>
                </c:pt>
                <c:pt idx="6">
                  <c:v>2.6762060765598497</c:v>
                </c:pt>
                <c:pt idx="7">
                  <c:v>2.6117941019954345</c:v>
                </c:pt>
                <c:pt idx="8">
                  <c:v>0.50811368835585369</c:v>
                </c:pt>
              </c:numCache>
            </c:numRef>
          </c:val>
          <c:extLst>
            <c:ext xmlns:c16="http://schemas.microsoft.com/office/drawing/2014/chart" uri="{C3380CC4-5D6E-409C-BE32-E72D297353CC}">
              <c16:uniqueId val="{00000001-B2ED-4FBA-80F9-539D4C885E8B}"/>
            </c:ext>
          </c:extLst>
        </c:ser>
        <c:dLbls>
          <c:showLegendKey val="0"/>
          <c:showVal val="0"/>
          <c:showCatName val="0"/>
          <c:showSerName val="0"/>
          <c:showPercent val="0"/>
          <c:showBubbleSize val="0"/>
        </c:dLbls>
        <c:gapWidth val="150"/>
        <c:overlap val="100"/>
        <c:axId val="760547832"/>
        <c:axId val="1"/>
      </c:barChart>
      <c:catAx>
        <c:axId val="760547832"/>
        <c:scaling>
          <c:orientation val="minMax"/>
        </c:scaling>
        <c:delete val="0"/>
        <c:axPos val="l"/>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0" vert="horz"/>
          <a:lstStyle/>
          <a:p>
            <a:pPr>
              <a:defRPr sz="900" b="0" i="0" u="none" strike="noStrike" baseline="0">
                <a:solidFill>
                  <a:srgbClr val="333333"/>
                </a:solidFill>
                <a:latin typeface="Calibri"/>
                <a:ea typeface="Calibri"/>
                <a:cs typeface="Calibri"/>
              </a:defRPr>
            </a:pPr>
            <a:endParaRPr lang="sk-SK"/>
          </a:p>
        </c:txPr>
        <c:crossAx val="1"/>
        <c:crosses val="autoZero"/>
        <c:auto val="1"/>
        <c:lblAlgn val="ctr"/>
        <c:lblOffset val="100"/>
        <c:noMultiLvlLbl val="0"/>
      </c:catAx>
      <c:valAx>
        <c:axId val="1"/>
        <c:scaling>
          <c:orientation val="minMax"/>
        </c:scaling>
        <c:delete val="0"/>
        <c:axPos val="b"/>
        <c:majorGridlines>
          <c:spPr>
            <a:ln w="9525" cap="flat" cmpd="sng" algn="ctr">
              <a:solidFill>
                <a:schemeClr val="tx1">
                  <a:lumMod val="15000"/>
                  <a:lumOff val="85000"/>
                </a:schemeClr>
              </a:solidFill>
              <a:round/>
            </a:ln>
            <a:effectLst/>
          </c:spPr>
        </c:majorGridlines>
        <c:numFmt formatCode="0.000%" sourceLinked="1"/>
        <c:majorTickMark val="none"/>
        <c:minorTickMark val="none"/>
        <c:tickLblPos val="nextTo"/>
        <c:spPr>
          <a:ln w="9525">
            <a:noFill/>
          </a:ln>
        </c:spPr>
        <c:txPr>
          <a:bodyPr rot="0" vert="horz"/>
          <a:lstStyle/>
          <a:p>
            <a:pPr>
              <a:defRPr sz="400" b="0" i="0" u="none" strike="noStrike" baseline="0">
                <a:solidFill>
                  <a:srgbClr val="333333"/>
                </a:solidFill>
                <a:latin typeface="Calibri"/>
                <a:ea typeface="Calibri"/>
                <a:cs typeface="Calibri"/>
              </a:defRPr>
            </a:pPr>
            <a:endParaRPr lang="sk-SK"/>
          </a:p>
        </c:txPr>
        <c:crossAx val="7605478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a:lstStyle/>
          <a:p>
            <a:pPr rtl="0">
              <a:defRPr sz="900" b="0" i="0" u="none" strike="noStrike" baseline="0">
                <a:solidFill>
                  <a:srgbClr val="333333"/>
                </a:solidFill>
                <a:latin typeface="Calibri"/>
                <a:ea typeface="Calibri"/>
                <a:cs typeface="Calibri"/>
              </a:defRPr>
            </a:pPr>
            <a:endParaRPr lang="sk-SK"/>
          </a:p>
        </c:txPr>
      </c:dTable>
      <c:spPr>
        <a:noFill/>
        <a:ln w="25400">
          <a:noFill/>
        </a:ln>
      </c:spPr>
    </c:plotArea>
    <c:plotVisOnly val="1"/>
    <c:dispBlanksAs val="gap"/>
    <c:showDLblsOverMax val="0"/>
  </c:chart>
  <c:spPr>
    <a:solidFill>
      <a:schemeClr val="bg1"/>
    </a:solidFill>
    <a:ln w="9525" cap="flat" cmpd="sng" algn="ctr">
      <a:solidFill>
        <a:schemeClr val="tx1"/>
      </a:solidFill>
      <a:round/>
    </a:ln>
    <a:effectLst/>
  </c:spPr>
  <c:txPr>
    <a:bodyPr/>
    <a:lstStyle/>
    <a:p>
      <a:pPr>
        <a:defRPr sz="1000" b="0" i="0" u="none" strike="noStrike" baseline="0">
          <a:solidFill>
            <a:srgbClr val="000000"/>
          </a:solidFill>
          <a:latin typeface="Calibri"/>
          <a:ea typeface="Calibri"/>
          <a:cs typeface="Calibri"/>
        </a:defRPr>
      </a:pPr>
      <a:endParaRPr lang="sk-SK"/>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sk-SK"/>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1" i="0" baseline="0">
                <a:effectLst/>
              </a:rPr>
              <a:t>FNP</a:t>
            </a:r>
            <a:r>
              <a:rPr lang="cs-CZ" sz="1800" b="1" i="0" baseline="0">
                <a:effectLst/>
              </a:rPr>
              <a:t>V_C</a:t>
            </a:r>
            <a:endParaRPr lang="en-US">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sk-SK"/>
        </a:p>
      </c:txPr>
    </c:title>
    <c:autoTitleDeleted val="0"/>
    <c:plotArea>
      <c:layout>
        <c:manualLayout>
          <c:layoutTarget val="inner"/>
          <c:xMode val="edge"/>
          <c:yMode val="edge"/>
          <c:x val="4.5439559039436722E-2"/>
          <c:y val="0.16980292565621882"/>
          <c:w val="0.72181933508311469"/>
          <c:h val="0.5847378973461651"/>
        </c:manualLayout>
      </c:layout>
      <c:areaChart>
        <c:grouping val="standard"/>
        <c:varyColors val="0"/>
        <c:ser>
          <c:idx val="0"/>
          <c:order val="0"/>
          <c:tx>
            <c:v>FNPV_C &gt;= 0 (pravdepodobnosť 0.0000)</c:v>
          </c:tx>
          <c:spPr>
            <a:solidFill>
              <a:schemeClr val="accent1"/>
            </a:solidFill>
            <a:ln>
              <a:noFill/>
            </a:ln>
            <a:effectLst/>
          </c:spPr>
          <c:cat>
            <c:numLit>
              <c:formatCode>#,##0</c:formatCode>
              <c:ptCount val="90"/>
              <c:pt idx="0">
                <c:v>-744160102.10118473</c:v>
              </c:pt>
              <c:pt idx="1">
                <c:v>-737160102.10118473</c:v>
              </c:pt>
              <c:pt idx="2">
                <c:v>-730160102.10118473</c:v>
              </c:pt>
              <c:pt idx="3">
                <c:v>-723160102.10118473</c:v>
              </c:pt>
              <c:pt idx="4">
                <c:v>-716160102.10118473</c:v>
              </c:pt>
              <c:pt idx="5">
                <c:v>-709160102.10118473</c:v>
              </c:pt>
              <c:pt idx="6">
                <c:v>-702160102.10118473</c:v>
              </c:pt>
              <c:pt idx="7">
                <c:v>-695160102.10118473</c:v>
              </c:pt>
              <c:pt idx="8">
                <c:v>-688160102.10118473</c:v>
              </c:pt>
              <c:pt idx="9">
                <c:v>-681160102.10118473</c:v>
              </c:pt>
              <c:pt idx="10">
                <c:v>-674160102.10118473</c:v>
              </c:pt>
              <c:pt idx="11">
                <c:v>-667160102.10118473</c:v>
              </c:pt>
              <c:pt idx="12">
                <c:v>-660160102.10118473</c:v>
              </c:pt>
              <c:pt idx="13">
                <c:v>-653160102.10118473</c:v>
              </c:pt>
              <c:pt idx="14">
                <c:v>-646160102.10118473</c:v>
              </c:pt>
              <c:pt idx="15">
                <c:v>-639160102.10118473</c:v>
              </c:pt>
              <c:pt idx="16">
                <c:v>-632160102.10118473</c:v>
              </c:pt>
              <c:pt idx="17">
                <c:v>-625160102.10118473</c:v>
              </c:pt>
              <c:pt idx="18">
                <c:v>-618160102.10118473</c:v>
              </c:pt>
              <c:pt idx="19">
                <c:v>-611160102.10118473</c:v>
              </c:pt>
              <c:pt idx="20">
                <c:v>-604160102.10118473</c:v>
              </c:pt>
              <c:pt idx="21">
                <c:v>-597160102.10118473</c:v>
              </c:pt>
              <c:pt idx="22">
                <c:v>-590160102.10118473</c:v>
              </c:pt>
              <c:pt idx="23">
                <c:v>-583160102.10118473</c:v>
              </c:pt>
              <c:pt idx="24">
                <c:v>-576160102.10118473</c:v>
              </c:pt>
              <c:pt idx="25">
                <c:v>-569160102.10118473</c:v>
              </c:pt>
              <c:pt idx="26">
                <c:v>-562160102.10118473</c:v>
              </c:pt>
              <c:pt idx="27">
                <c:v>-555160102.10118473</c:v>
              </c:pt>
              <c:pt idx="28">
                <c:v>-548160102.10118473</c:v>
              </c:pt>
              <c:pt idx="29">
                <c:v>-541160102.10118473</c:v>
              </c:pt>
              <c:pt idx="30">
                <c:v>-534160102.10118473</c:v>
              </c:pt>
              <c:pt idx="31">
                <c:v>-527160102.10118473</c:v>
              </c:pt>
              <c:pt idx="32">
                <c:v>-520160102.10118473</c:v>
              </c:pt>
              <c:pt idx="33">
                <c:v>-513160102.10118473</c:v>
              </c:pt>
              <c:pt idx="34">
                <c:v>-506160102.10118473</c:v>
              </c:pt>
              <c:pt idx="35">
                <c:v>-499160102.10118473</c:v>
              </c:pt>
              <c:pt idx="36">
                <c:v>-492160102.10118473</c:v>
              </c:pt>
              <c:pt idx="37">
                <c:v>-485160102.10118473</c:v>
              </c:pt>
              <c:pt idx="38">
                <c:v>-478160102.10118473</c:v>
              </c:pt>
              <c:pt idx="39">
                <c:v>-471160102.10118473</c:v>
              </c:pt>
              <c:pt idx="40">
                <c:v>-464160102.10118473</c:v>
              </c:pt>
              <c:pt idx="41">
                <c:v>-457160102.10118473</c:v>
              </c:pt>
              <c:pt idx="42">
                <c:v>-450160102.10118473</c:v>
              </c:pt>
              <c:pt idx="43">
                <c:v>-443160102.10118473</c:v>
              </c:pt>
              <c:pt idx="44">
                <c:v>-436160102.10118473</c:v>
              </c:pt>
              <c:pt idx="45">
                <c:v>-429160102.10118473</c:v>
              </c:pt>
              <c:pt idx="46">
                <c:v>-422160102.10118473</c:v>
              </c:pt>
              <c:pt idx="47">
                <c:v>-415160102.10118473</c:v>
              </c:pt>
              <c:pt idx="48">
                <c:v>-408160102.10118473</c:v>
              </c:pt>
              <c:pt idx="49">
                <c:v>-401160102.10118473</c:v>
              </c:pt>
              <c:pt idx="50">
                <c:v>-394160102.10118473</c:v>
              </c:pt>
              <c:pt idx="51">
                <c:v>-387160102.10118473</c:v>
              </c:pt>
              <c:pt idx="52">
                <c:v>-380160102.10118473</c:v>
              </c:pt>
              <c:pt idx="53">
                <c:v>-373160102.10118473</c:v>
              </c:pt>
              <c:pt idx="54">
                <c:v>-366160102.10118473</c:v>
              </c:pt>
              <c:pt idx="55">
                <c:v>-359160102.10118473</c:v>
              </c:pt>
              <c:pt idx="56">
                <c:v>-352160102.10118473</c:v>
              </c:pt>
              <c:pt idx="57">
                <c:v>-345160102.10118473</c:v>
              </c:pt>
              <c:pt idx="58">
                <c:v>-338160102.10118473</c:v>
              </c:pt>
              <c:pt idx="59">
                <c:v>-331160102.10118473</c:v>
              </c:pt>
              <c:pt idx="60">
                <c:v>-324160102.10118473</c:v>
              </c:pt>
              <c:pt idx="61">
                <c:v>-317160102.10118473</c:v>
              </c:pt>
              <c:pt idx="62">
                <c:v>-310160102.10118473</c:v>
              </c:pt>
              <c:pt idx="63">
                <c:v>-303160102.10118473</c:v>
              </c:pt>
              <c:pt idx="64">
                <c:v>-296160102.10118473</c:v>
              </c:pt>
              <c:pt idx="65">
                <c:v>-289160102.10118473</c:v>
              </c:pt>
              <c:pt idx="66">
                <c:v>-282160102.10118473</c:v>
              </c:pt>
              <c:pt idx="67">
                <c:v>-275160102.10118473</c:v>
              </c:pt>
              <c:pt idx="68">
                <c:v>-268160102.10118473</c:v>
              </c:pt>
              <c:pt idx="69">
                <c:v>-261160102.10118473</c:v>
              </c:pt>
              <c:pt idx="70">
                <c:v>-254160102.10118473</c:v>
              </c:pt>
              <c:pt idx="71">
                <c:v>-247160102.10118473</c:v>
              </c:pt>
              <c:pt idx="72">
                <c:v>-240160102.10118473</c:v>
              </c:pt>
              <c:pt idx="73">
                <c:v>-233160102.10118473</c:v>
              </c:pt>
              <c:pt idx="74">
                <c:v>-226160102.10118473</c:v>
              </c:pt>
              <c:pt idx="75">
                <c:v>-219160102.10118473</c:v>
              </c:pt>
              <c:pt idx="76">
                <c:v>-212160102.10118473</c:v>
              </c:pt>
              <c:pt idx="77">
                <c:v>-205160102.10118473</c:v>
              </c:pt>
              <c:pt idx="78">
                <c:v>-198160102.10118473</c:v>
              </c:pt>
              <c:pt idx="79">
                <c:v>-191160102.10118473</c:v>
              </c:pt>
              <c:pt idx="80">
                <c:v>-184160102.10118473</c:v>
              </c:pt>
              <c:pt idx="81">
                <c:v>-177160102.10118473</c:v>
              </c:pt>
              <c:pt idx="82">
                <c:v>-170160102.10118473</c:v>
              </c:pt>
              <c:pt idx="83">
                <c:v>-163160102.10118473</c:v>
              </c:pt>
              <c:pt idx="84">
                <c:v>-156160102.10118473</c:v>
              </c:pt>
              <c:pt idx="85">
                <c:v>-149160102.10118473</c:v>
              </c:pt>
              <c:pt idx="86">
                <c:v>-142160102.10118473</c:v>
              </c:pt>
              <c:pt idx="87">
                <c:v>-135160102.10118473</c:v>
              </c:pt>
              <c:pt idx="88">
                <c:v>-128160102.10118473</c:v>
              </c:pt>
              <c:pt idx="89">
                <c:v>-121160102.10118473</c:v>
              </c:pt>
            </c:numLit>
          </c:cat>
          <c:val>
            <c:numLit>
              <c:formatCode>#\ ##0.0000000000000000000000</c:formatCode>
              <c:ptCount val="90"/>
              <c:pt idx="0">
                <c:v>1.5688140049987683E-12</c:v>
              </c:pt>
              <c:pt idx="1">
                <c:v>2.1709850177691641E-12</c:v>
              </c:pt>
              <c:pt idx="2">
                <c:v>2.9841313995554968E-12</c:v>
              </c:pt>
              <c:pt idx="3">
                <c:v>4.0743169047112558E-12</c:v>
              </c:pt>
              <c:pt idx="4">
                <c:v>5.5254469897774454E-12</c:v>
              </c:pt>
              <c:pt idx="5">
                <c:v>7.4431329241362818E-12</c:v>
              </c:pt>
              <c:pt idx="6">
                <c:v>9.9590951254760076E-12</c:v>
              </c:pt>
              <c:pt idx="7">
                <c:v>1.3236090674140023E-11</c:v>
              </c:pt>
              <c:pt idx="8">
                <c:v>1.7473316120597266E-11</c:v>
              </c:pt>
              <c:pt idx="9">
                <c:v>2.2912194213029405E-11</c:v>
              </c:pt>
              <c:pt idx="10">
                <c:v>2.9842402052686591E-11</c:v>
              </c:pt>
              <c:pt idx="11">
                <c:v>3.8607939119923575E-11</c:v>
              </c:pt>
              <c:pt idx="12">
                <c:v>4.961296812602563E-11</c:v>
              </c:pt>
              <c:pt idx="13">
                <c:v>6.3327092233923075E-11</c:v>
              </c:pt>
              <c:pt idx="14">
                <c:v>8.0289662426098557E-11</c:v>
              </c:pt>
              <c:pt idx="15">
                <c:v>1.0111264335207995E-10</c:v>
              </c:pt>
              <c:pt idx="16">
                <c:v>1.2648151056846291E-10</c:v>
              </c:pt>
              <c:pt idx="17">
                <c:v>1.571536132578588E-10</c:v>
              </c:pt>
              <c:pt idx="18">
                <c:v>1.9395342139986603E-10</c:v>
              </c:pt>
              <c:pt idx="19">
                <c:v>2.3776409220289931E-10</c:v>
              </c:pt>
              <c:pt idx="20">
                <c:v>2.8951484417626303E-10</c:v>
              </c:pt>
              <c:pt idx="21">
                <c:v>3.5016372419225561E-10</c:v>
              </c:pt>
              <c:pt idx="22">
                <c:v>4.206754970650205E-10</c:v>
              </c:pt>
              <c:pt idx="23">
                <c:v>5.0199457975449204E-10</c:v>
              </c:pt>
              <c:pt idx="24">
                <c:v>5.950131811867677E-10</c:v>
              </c:pt>
              <c:pt idx="25">
                <c:v>7.0053508790450944E-10</c:v>
              </c:pt>
              <c:pt idx="26">
                <c:v>8.1923584516411755E-10</c:v>
              </c:pt>
              <c:pt idx="27">
                <c:v>9.5162040828555572E-10</c:v>
              </c:pt>
              <c:pt idx="28">
                <c:v>1.0979796617268286E-9</c:v>
              </c:pt>
              <c:pt idx="29">
                <c:v>1.2583475020002089E-9</c:v>
              </c:pt>
              <c:pt idx="30">
                <c:v>1.4324604316194411E-9</c:v>
              </c:pt>
              <c:pt idx="31">
                <c:v>1.619721790673392E-9</c:v>
              </c:pt>
              <c:pt idx="32">
                <c:v>1.8191728375418801E-9</c:v>
              </c:pt>
              <c:pt idx="33">
                <c:v>2.0294728611519081E-9</c:v>
              </c:pt>
              <c:pt idx="34">
                <c:v>2.2488903497543081E-9</c:v>
              </c:pt>
              <c:pt idx="35">
                <c:v>2.4753069483698504E-9</c:v>
              </c:pt>
              <c:pt idx="36">
                <c:v>2.7062355103587482E-9</c:v>
              </c:pt>
              <c:pt idx="37">
                <c:v>2.9388529991896076E-9</c:v>
              </c:pt>
              <c:pt idx="38">
                <c:v>3.1700483455142315E-9</c:v>
              </c:pt>
              <c:pt idx="39">
                <c:v>3.3964846425690276E-9</c:v>
              </c:pt>
              <c:pt idx="40">
                <c:v>3.6146743082137319E-9</c:v>
              </c:pt>
              <c:pt idx="41">
                <c:v>3.8210650989156556E-9</c:v>
              </c:pt>
              <c:pt idx="42">
                <c:v>4.0121341770010533E-9</c:v>
              </c:pt>
              <c:pt idx="43">
                <c:v>4.1844868544539153E-9</c:v>
              </c:pt>
              <c:pt idx="44">
                <c:v>4.3349562074108332E-9</c:v>
              </c:pt>
              <c:pt idx="45">
                <c:v>4.4606995107642886E-9</c:v>
              </c:pt>
              <c:pt idx="46">
                <c:v>4.5592874068298875E-9</c:v>
              </c:pt>
              <c:pt idx="47">
                <c:v>4.6287819077066205E-9</c:v>
              </c:pt>
              <c:pt idx="48">
                <c:v>4.6677997350925145E-9</c:v>
              </c:pt>
              <c:pt idx="49">
                <c:v>4.6755581063488566E-9</c:v>
              </c:pt>
              <c:pt idx="50">
                <c:v>4.6519008499043712E-9</c:v>
              </c:pt>
              <c:pt idx="51">
                <c:v>4.597303632943902E-9</c:v>
              </c:pt>
              <c:pt idx="52">
                <c:v>4.5128580569403976E-9</c:v>
              </c:pt>
              <c:pt idx="53">
                <c:v>4.4002353638660421E-9</c:v>
              </c:pt>
              <c:pt idx="54">
                <c:v>4.2616314386869224E-9</c:v>
              </c:pt>
              <c:pt idx="55">
                <c:v>4.099695636086933E-9</c:v>
              </c:pt>
              <c:pt idx="56">
                <c:v>3.9174466526583249E-9</c:v>
              </c:pt>
              <c:pt idx="57">
                <c:v>3.7181791721325331E-9</c:v>
              </c:pt>
              <c:pt idx="58">
                <c:v>3.5053653059264869E-9</c:v>
              </c:pt>
              <c:pt idx="59">
                <c:v>3.2825549243026987E-9</c:v>
              </c:pt>
              <c:pt idx="60">
                <c:v>3.0532788295931773E-9</c:v>
              </c:pt>
              <c:pt idx="61">
                <c:v>2.8209583809229697E-9</c:v>
              </c:pt>
              <c:pt idx="62">
                <c:v>2.5888246702989171E-9</c:v>
              </c:pt>
              <c:pt idx="63">
                <c:v>2.3598497125005836E-9</c:v>
              </c:pt>
              <c:pt idx="64">
                <c:v>2.1366913913477632E-9</c:v>
              </c:pt>
              <c:pt idx="65">
                <c:v>1.9216531501844224E-9</c:v>
              </c:pt>
              <c:pt idx="66">
                <c:v>1.7166586710065186E-9</c:v>
              </c:pt>
              <c:pt idx="67">
                <c:v>1.5232410962617464E-9</c:v>
              </c:pt>
              <c:pt idx="68">
                <c:v>1.3425457446159248E-9</c:v>
              </c:pt>
              <c:pt idx="69">
                <c:v>1.1753447827518028E-9</c:v>
              </c:pt>
              <c:pt idx="70">
                <c:v>1.0220619556245611E-9</c:v>
              </c:pt>
              <c:pt idx="71">
                <c:v>8.8280525376315409E-10</c:v>
              </c:pt>
              <c:pt idx="72">
                <c:v>7.5740530517859527E-10</c:v>
              </c:pt>
              <c:pt idx="73">
                <c:v>6.454573102685028E-10</c:v>
              </c:pt>
              <c:pt idx="74">
                <c:v>5.463644736015868E-10</c:v>
              </c:pt>
              <c:pt idx="75">
                <c:v>4.5938110516346731E-10</c:v>
              </c:pt>
              <c:pt idx="76">
                <c:v>3.8365384183988197E-10</c:v>
              </c:pt>
              <c:pt idx="77">
                <c:v>3.1825975357607924E-10</c:v>
              </c:pt>
              <c:pt idx="78">
                <c:v>2.6224042510422811E-10</c:v>
              </c:pt>
              <c:pt idx="79">
                <c:v>2.1463142337542873E-10</c:v>
              </c:pt>
              <c:pt idx="80">
                <c:v>1.744868564790897E-10</c:v>
              </c:pt>
              <c:pt idx="81">
                <c:v>1.4089898961551872E-10</c:v>
              </c:pt>
              <c:pt idx="82">
                <c:v>1.1301309960094977E-10</c:v>
              </c:pt>
              <c:pt idx="83">
                <c:v>9.0037917479013533E-11</c:v>
              </c:pt>
              <c:pt idx="84">
                <c:v>7.1252128738524635E-11</c:v>
              </c:pt>
              <c:pt idx="85">
                <c:v>5.6007475006343421E-11</c:v>
              </c:pt>
              <c:pt idx="86">
                <c:v>4.3729034738705334E-11</c:v>
              </c:pt>
              <c:pt idx="87">
                <c:v>3.391325969684335E-11</c:v>
              </c:pt>
              <c:pt idx="88">
                <c:v>2.6124315954656624E-11</c:v>
              </c:pt>
              <c:pt idx="89">
                <c:v>1.9989230087925898E-11</c:v>
              </c:pt>
            </c:numLit>
          </c:val>
          <c:extLst>
            <c:ext xmlns:c16="http://schemas.microsoft.com/office/drawing/2014/chart" uri="{C3380CC4-5D6E-409C-BE32-E72D297353CC}">
              <c16:uniqueId val="{00000000-DF98-4010-A6CC-813734348806}"/>
            </c:ext>
          </c:extLst>
        </c:ser>
        <c:dLbls>
          <c:showLegendKey val="0"/>
          <c:showVal val="0"/>
          <c:showCatName val="0"/>
          <c:showSerName val="0"/>
          <c:showPercent val="0"/>
          <c:showBubbleSize val="0"/>
        </c:dLbls>
        <c:axId val="451185584"/>
        <c:axId val="442330840"/>
      </c:areaChart>
      <c:areaChart>
        <c:grouping val="standard"/>
        <c:varyColors val="0"/>
        <c:ser>
          <c:idx val="1"/>
          <c:order val="1"/>
          <c:tx>
            <c:v>FNPV_C &lt;= 0 (pravdepodobnosť 1.0000)</c:v>
          </c:tx>
          <c:spPr>
            <a:solidFill>
              <a:schemeClr val="accent2"/>
            </a:solidFill>
            <a:ln w="25400">
              <a:noFill/>
            </a:ln>
            <a:effectLst/>
          </c:spPr>
          <c:cat>
            <c:numLit>
              <c:formatCode>#\ ##0.0</c:formatCode>
              <c:ptCount val="90"/>
              <c:pt idx="0">
                <c:v>-4</c:v>
              </c:pt>
              <c:pt idx="1">
                <c:v>-3.9179430657594185</c:v>
              </c:pt>
              <c:pt idx="2">
                <c:v>-3.8358861315188371</c:v>
              </c:pt>
              <c:pt idx="3">
                <c:v>-3.7538291972782556</c:v>
              </c:pt>
              <c:pt idx="4">
                <c:v>-3.6717722630376737</c:v>
              </c:pt>
              <c:pt idx="5">
                <c:v>-3.5897153287970922</c:v>
              </c:pt>
              <c:pt idx="6">
                <c:v>-3.5076583945565107</c:v>
              </c:pt>
              <c:pt idx="7">
                <c:v>-3.4256014603159293</c:v>
              </c:pt>
              <c:pt idx="8">
                <c:v>-3.3435445260753478</c:v>
              </c:pt>
              <c:pt idx="9">
                <c:v>-3.2614875918347663</c:v>
              </c:pt>
              <c:pt idx="10">
                <c:v>-3.1794306575941849</c:v>
              </c:pt>
              <c:pt idx="11">
                <c:v>-3.0973737233536029</c:v>
              </c:pt>
              <c:pt idx="12">
                <c:v>-3.0153167891130215</c:v>
              </c:pt>
              <c:pt idx="13">
                <c:v>-2.93325985487244</c:v>
              </c:pt>
              <c:pt idx="14">
                <c:v>-2.8512029206318585</c:v>
              </c:pt>
              <c:pt idx="15">
                <c:v>-2.7691459863912771</c:v>
              </c:pt>
              <c:pt idx="16">
                <c:v>-2.6870890521506956</c:v>
              </c:pt>
              <c:pt idx="17">
                <c:v>-2.6050321179101141</c:v>
              </c:pt>
              <c:pt idx="18">
                <c:v>-2.5229751836695322</c:v>
              </c:pt>
              <c:pt idx="19">
                <c:v>-2.4409182494289507</c:v>
              </c:pt>
              <c:pt idx="20">
                <c:v>-2.3588613151883693</c:v>
              </c:pt>
              <c:pt idx="21">
                <c:v>-2.2768043809477878</c:v>
              </c:pt>
              <c:pt idx="22">
                <c:v>-2.1947474467072063</c:v>
              </c:pt>
              <c:pt idx="23">
                <c:v>-2.1126905124666249</c:v>
              </c:pt>
              <c:pt idx="24">
                <c:v>-2.0306335782260434</c:v>
              </c:pt>
              <c:pt idx="25">
                <c:v>-1.9485766439854617</c:v>
              </c:pt>
              <c:pt idx="26">
                <c:v>-1.8665197097448802</c:v>
              </c:pt>
              <c:pt idx="27">
                <c:v>-1.7844627755042985</c:v>
              </c:pt>
              <c:pt idx="28">
                <c:v>-1.7024058412637171</c:v>
              </c:pt>
              <c:pt idx="29">
                <c:v>-1.6203489070231356</c:v>
              </c:pt>
              <c:pt idx="30">
                <c:v>-1.5382919727825541</c:v>
              </c:pt>
              <c:pt idx="31">
                <c:v>-1.4562350385419724</c:v>
              </c:pt>
              <c:pt idx="32">
                <c:v>-1.374178104301391</c:v>
              </c:pt>
              <c:pt idx="33">
                <c:v>-1.2921211700608095</c:v>
              </c:pt>
              <c:pt idx="34">
                <c:v>-1.2100642358202278</c:v>
              </c:pt>
              <c:pt idx="35">
                <c:v>-1.1280073015796463</c:v>
              </c:pt>
              <c:pt idx="36">
                <c:v>-1.0459503673390649</c:v>
              </c:pt>
              <c:pt idx="37">
                <c:v>-0.9638934330984833</c:v>
              </c:pt>
              <c:pt idx="38">
                <c:v>-0.88183649885790183</c:v>
              </c:pt>
              <c:pt idx="39">
                <c:v>-0.79977956461732025</c:v>
              </c:pt>
              <c:pt idx="40">
                <c:v>-0.71772263037673878</c:v>
              </c:pt>
              <c:pt idx="41">
                <c:v>-0.6356656961361572</c:v>
              </c:pt>
              <c:pt idx="42">
                <c:v>-0.55360876189557562</c:v>
              </c:pt>
              <c:pt idx="43">
                <c:v>-0.47155182765499415</c:v>
              </c:pt>
              <c:pt idx="44">
                <c:v>-0.38949489341441262</c:v>
              </c:pt>
              <c:pt idx="45">
                <c:v>-0.30743795917383104</c:v>
              </c:pt>
              <c:pt idx="46">
                <c:v>-0.22538102493324955</c:v>
              </c:pt>
              <c:pt idx="47">
                <c:v>-0.14332409069266799</c:v>
              </c:pt>
              <c:pt idx="48">
                <c:v>-6.1267156452086476E-2</c:v>
              </c:pt>
              <c:pt idx="49">
                <c:v>2.0789777788495056E-2</c:v>
              </c:pt>
              <c:pt idx="50">
                <c:v>0.1028467120290766</c:v>
              </c:pt>
              <c:pt idx="51">
                <c:v>0.18490364626965813</c:v>
              </c:pt>
              <c:pt idx="52">
                <c:v>0.26696058051023963</c:v>
              </c:pt>
              <c:pt idx="53">
                <c:v>0.34901751475082116</c:v>
              </c:pt>
              <c:pt idx="54">
                <c:v>0.43107444899140274</c:v>
              </c:pt>
              <c:pt idx="55">
                <c:v>0.51313138323198426</c:v>
              </c:pt>
              <c:pt idx="56">
                <c:v>0.59518831747256573</c:v>
              </c:pt>
              <c:pt idx="57">
                <c:v>0.67724525171314731</c:v>
              </c:pt>
              <c:pt idx="58">
                <c:v>0.75930218595372889</c:v>
              </c:pt>
              <c:pt idx="59">
                <c:v>0.84135912019431036</c:v>
              </c:pt>
              <c:pt idx="60">
                <c:v>0.92341605443489194</c:v>
              </c:pt>
              <c:pt idx="61">
                <c:v>1.0054729886754734</c:v>
              </c:pt>
              <c:pt idx="62">
                <c:v>1.0875299229160549</c:v>
              </c:pt>
              <c:pt idx="63">
                <c:v>1.1695868571566366</c:v>
              </c:pt>
              <c:pt idx="64">
                <c:v>1.251643791397218</c:v>
              </c:pt>
              <c:pt idx="65">
                <c:v>1.3337007256377995</c:v>
              </c:pt>
              <c:pt idx="66">
                <c:v>1.4157576598783812</c:v>
              </c:pt>
              <c:pt idx="67">
                <c:v>1.4978145941189627</c:v>
              </c:pt>
              <c:pt idx="68">
                <c:v>1.5798715283595441</c:v>
              </c:pt>
              <c:pt idx="69">
                <c:v>1.6619284626001256</c:v>
              </c:pt>
              <c:pt idx="70">
                <c:v>1.7439853968407073</c:v>
              </c:pt>
              <c:pt idx="71">
                <c:v>1.8260423310812888</c:v>
              </c:pt>
              <c:pt idx="72">
                <c:v>1.9080992653218702</c:v>
              </c:pt>
              <c:pt idx="73">
                <c:v>1.9901561995624517</c:v>
              </c:pt>
              <c:pt idx="74">
                <c:v>2.0722131338030332</c:v>
              </c:pt>
              <c:pt idx="75">
                <c:v>2.1542700680436151</c:v>
              </c:pt>
              <c:pt idx="76">
                <c:v>2.2363270022841966</c:v>
              </c:pt>
              <c:pt idx="77">
                <c:v>2.318383936524778</c:v>
              </c:pt>
              <c:pt idx="78">
                <c:v>2.4004408707653595</c:v>
              </c:pt>
              <c:pt idx="79">
                <c:v>2.482497805005941</c:v>
              </c:pt>
              <c:pt idx="80">
                <c:v>2.5645547392465224</c:v>
              </c:pt>
              <c:pt idx="81">
                <c:v>2.6466116734871039</c:v>
              </c:pt>
              <c:pt idx="82">
                <c:v>2.7286686077276858</c:v>
              </c:pt>
              <c:pt idx="83">
                <c:v>2.8107255419682673</c:v>
              </c:pt>
              <c:pt idx="84">
                <c:v>2.8927824762088488</c:v>
              </c:pt>
              <c:pt idx="85">
                <c:v>2.9748394104494302</c:v>
              </c:pt>
              <c:pt idx="86">
                <c:v>3.0568963446900117</c:v>
              </c:pt>
              <c:pt idx="87">
                <c:v>3.1389532789305932</c:v>
              </c:pt>
              <c:pt idx="88">
                <c:v>3.2210102131711746</c:v>
              </c:pt>
              <c:pt idx="89">
                <c:v>3.3030671474117561</c:v>
              </c:pt>
            </c:numLit>
          </c:cat>
          <c:val>
            <c:numLit>
              <c:formatCode>General</c:formatCode>
              <c:ptCount val="90"/>
              <c:pt idx="0">
                <c:v>1.5688140049987683E-12</c:v>
              </c:pt>
              <c:pt idx="1">
                <c:v>2.1709850177691641E-12</c:v>
              </c:pt>
              <c:pt idx="2">
                <c:v>2.9841313995554968E-12</c:v>
              </c:pt>
              <c:pt idx="3">
                <c:v>4.0743169047112558E-12</c:v>
              </c:pt>
              <c:pt idx="4">
                <c:v>5.5254469897774454E-12</c:v>
              </c:pt>
              <c:pt idx="5">
                <c:v>7.4431329241362818E-12</c:v>
              </c:pt>
              <c:pt idx="6">
                <c:v>9.9590951254760076E-12</c:v>
              </c:pt>
              <c:pt idx="7">
                <c:v>1.3236090674140023E-11</c:v>
              </c:pt>
              <c:pt idx="8">
                <c:v>1.7473316120597266E-11</c:v>
              </c:pt>
              <c:pt idx="9">
                <c:v>2.2912194213029405E-11</c:v>
              </c:pt>
              <c:pt idx="10">
                <c:v>2.9842402052686591E-11</c:v>
              </c:pt>
              <c:pt idx="11">
                <c:v>3.8607939119923575E-11</c:v>
              </c:pt>
              <c:pt idx="12">
                <c:v>4.961296812602563E-11</c:v>
              </c:pt>
              <c:pt idx="13">
                <c:v>6.3327092233923075E-11</c:v>
              </c:pt>
              <c:pt idx="14">
                <c:v>8.0289662426098557E-11</c:v>
              </c:pt>
              <c:pt idx="15">
                <c:v>1.0111264335207995E-10</c:v>
              </c:pt>
              <c:pt idx="16">
                <c:v>1.2648151056846291E-10</c:v>
              </c:pt>
              <c:pt idx="17">
                <c:v>1.571536132578588E-10</c:v>
              </c:pt>
              <c:pt idx="18">
                <c:v>1.9395342139986603E-10</c:v>
              </c:pt>
              <c:pt idx="19">
                <c:v>2.3776409220289931E-10</c:v>
              </c:pt>
              <c:pt idx="20">
                <c:v>2.8951484417626303E-10</c:v>
              </c:pt>
              <c:pt idx="21">
                <c:v>3.5016372419225561E-10</c:v>
              </c:pt>
              <c:pt idx="22">
                <c:v>4.206754970650205E-10</c:v>
              </c:pt>
              <c:pt idx="23">
                <c:v>5.0199457975449204E-10</c:v>
              </c:pt>
              <c:pt idx="24">
                <c:v>5.950131811867677E-10</c:v>
              </c:pt>
              <c:pt idx="25">
                <c:v>7.0053508790450944E-10</c:v>
              </c:pt>
              <c:pt idx="26">
                <c:v>8.1923584516411755E-10</c:v>
              </c:pt>
              <c:pt idx="27">
                <c:v>9.5162040828555572E-10</c:v>
              </c:pt>
              <c:pt idx="28">
                <c:v>1.0979796617268286E-9</c:v>
              </c:pt>
              <c:pt idx="29">
                <c:v>1.2583475020002089E-9</c:v>
              </c:pt>
              <c:pt idx="30">
                <c:v>1.4324604316194411E-9</c:v>
              </c:pt>
              <c:pt idx="31">
                <c:v>1.619721790673392E-9</c:v>
              </c:pt>
              <c:pt idx="32">
                <c:v>1.8191728375418801E-9</c:v>
              </c:pt>
              <c:pt idx="33">
                <c:v>2.0294728611519081E-9</c:v>
              </c:pt>
              <c:pt idx="34">
                <c:v>2.2488903497543081E-9</c:v>
              </c:pt>
              <c:pt idx="35">
                <c:v>2.4753069483698504E-9</c:v>
              </c:pt>
              <c:pt idx="36">
                <c:v>2.7062355103587482E-9</c:v>
              </c:pt>
              <c:pt idx="37">
                <c:v>2.9388529991896076E-9</c:v>
              </c:pt>
              <c:pt idx="38">
                <c:v>3.1700483455142315E-9</c:v>
              </c:pt>
              <c:pt idx="39">
                <c:v>3.3964846425690276E-9</c:v>
              </c:pt>
              <c:pt idx="40">
                <c:v>3.6146743082137319E-9</c:v>
              </c:pt>
              <c:pt idx="41">
                <c:v>3.8210650989156556E-9</c:v>
              </c:pt>
              <c:pt idx="42">
                <c:v>4.0121341770010533E-9</c:v>
              </c:pt>
              <c:pt idx="43">
                <c:v>4.1844868544539153E-9</c:v>
              </c:pt>
              <c:pt idx="44">
                <c:v>4.3349562074108332E-9</c:v>
              </c:pt>
              <c:pt idx="45">
                <c:v>4.4606995107642886E-9</c:v>
              </c:pt>
              <c:pt idx="46">
                <c:v>4.5592874068298875E-9</c:v>
              </c:pt>
              <c:pt idx="47">
                <c:v>4.6287819077066205E-9</c:v>
              </c:pt>
              <c:pt idx="48">
                <c:v>4.6677997350925145E-9</c:v>
              </c:pt>
              <c:pt idx="49">
                <c:v>4.6755581063488566E-9</c:v>
              </c:pt>
              <c:pt idx="50">
                <c:v>4.6519008499043712E-9</c:v>
              </c:pt>
              <c:pt idx="51">
                <c:v>4.597303632943902E-9</c:v>
              </c:pt>
              <c:pt idx="52">
                <c:v>4.5128580569403976E-9</c:v>
              </c:pt>
              <c:pt idx="53">
                <c:v>4.4002353638660421E-9</c:v>
              </c:pt>
              <c:pt idx="54">
                <c:v>4.2616314386869224E-9</c:v>
              </c:pt>
              <c:pt idx="55">
                <c:v>4.099695636086933E-9</c:v>
              </c:pt>
              <c:pt idx="56">
                <c:v>3.9174466526583249E-9</c:v>
              </c:pt>
              <c:pt idx="57">
                <c:v>3.7181791721325331E-9</c:v>
              </c:pt>
              <c:pt idx="58">
                <c:v>3.5053653059264869E-9</c:v>
              </c:pt>
              <c:pt idx="59">
                <c:v>3.2825549243026987E-9</c:v>
              </c:pt>
              <c:pt idx="60">
                <c:v>3.0532788295931773E-9</c:v>
              </c:pt>
              <c:pt idx="61">
                <c:v>2.8209583809229697E-9</c:v>
              </c:pt>
              <c:pt idx="62">
                <c:v>2.5888246702989171E-9</c:v>
              </c:pt>
              <c:pt idx="63">
                <c:v>2.3598497125005836E-9</c:v>
              </c:pt>
              <c:pt idx="64">
                <c:v>2.1366913913477632E-9</c:v>
              </c:pt>
              <c:pt idx="65">
                <c:v>1.9216531501844224E-9</c:v>
              </c:pt>
              <c:pt idx="66">
                <c:v>1.7166586710065186E-9</c:v>
              </c:pt>
              <c:pt idx="67">
                <c:v>1.5232410962617464E-9</c:v>
              </c:pt>
              <c:pt idx="68">
                <c:v>1.3425457446159248E-9</c:v>
              </c:pt>
              <c:pt idx="69">
                <c:v>1.1753447827518028E-9</c:v>
              </c:pt>
              <c:pt idx="70">
                <c:v>1.0220619556245611E-9</c:v>
              </c:pt>
              <c:pt idx="71">
                <c:v>8.8280525376315409E-10</c:v>
              </c:pt>
              <c:pt idx="72">
                <c:v>7.5740530517859527E-10</c:v>
              </c:pt>
              <c:pt idx="73">
                <c:v>6.454573102685028E-10</c:v>
              </c:pt>
              <c:pt idx="74">
                <c:v>5.463644736015868E-10</c:v>
              </c:pt>
              <c:pt idx="75">
                <c:v>4.5938110516346731E-10</c:v>
              </c:pt>
              <c:pt idx="76">
                <c:v>3.8365384183988197E-10</c:v>
              </c:pt>
              <c:pt idx="77">
                <c:v>3.1825975357607924E-10</c:v>
              </c:pt>
              <c:pt idx="78">
                <c:v>2.6224042510422811E-10</c:v>
              </c:pt>
              <c:pt idx="79">
                <c:v>2.1463142337542873E-10</c:v>
              </c:pt>
              <c:pt idx="80">
                <c:v>1.744868564790897E-10</c:v>
              </c:pt>
              <c:pt idx="81">
                <c:v>1.4089898961551872E-10</c:v>
              </c:pt>
              <c:pt idx="82">
                <c:v>1.1301309960094977E-10</c:v>
              </c:pt>
              <c:pt idx="83">
                <c:v>9.0037917479013533E-11</c:v>
              </c:pt>
              <c:pt idx="84">
                <c:v>7.1252128738524635E-11</c:v>
              </c:pt>
              <c:pt idx="85">
                <c:v>5.6007475006343421E-11</c:v>
              </c:pt>
              <c:pt idx="86">
                <c:v>4.3729034738705334E-11</c:v>
              </c:pt>
              <c:pt idx="87">
                <c:v>3.391325969684335E-11</c:v>
              </c:pt>
              <c:pt idx="88">
                <c:v>2.6124315954656624E-11</c:v>
              </c:pt>
              <c:pt idx="89">
                <c:v>1.9989230087925898E-11</c:v>
              </c:pt>
            </c:numLit>
          </c:val>
          <c:extLst>
            <c:ext xmlns:c16="http://schemas.microsoft.com/office/drawing/2014/chart" uri="{C3380CC4-5D6E-409C-BE32-E72D297353CC}">
              <c16:uniqueId val="{00000001-DF98-4010-A6CC-813734348806}"/>
            </c:ext>
          </c:extLst>
        </c:ser>
        <c:dLbls>
          <c:showLegendKey val="0"/>
          <c:showVal val="0"/>
          <c:showCatName val="0"/>
          <c:showSerName val="0"/>
          <c:showPercent val="0"/>
          <c:showBubbleSize val="0"/>
        </c:dLbls>
        <c:axId val="606951240"/>
        <c:axId val="682944704"/>
      </c:areaChart>
      <c:catAx>
        <c:axId val="451185584"/>
        <c:scaling>
          <c:orientation val="minMax"/>
        </c:scaling>
        <c:delete val="0"/>
        <c:axPos val="b"/>
        <c:numFmt formatCode="#,##0"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crossAx val="442330840"/>
        <c:crosses val="autoZero"/>
        <c:auto val="1"/>
        <c:lblAlgn val="ctr"/>
        <c:lblOffset val="100"/>
        <c:noMultiLvlLbl val="0"/>
      </c:catAx>
      <c:valAx>
        <c:axId val="442330840"/>
        <c:scaling>
          <c:orientation val="minMax"/>
        </c:scaling>
        <c:delete val="1"/>
        <c:axPos val="l"/>
        <c:majorGridlines>
          <c:spPr>
            <a:ln w="9525" cap="flat" cmpd="sng" algn="ctr">
              <a:solidFill>
                <a:schemeClr val="tx1">
                  <a:lumMod val="15000"/>
                  <a:lumOff val="85000"/>
                </a:schemeClr>
              </a:solidFill>
              <a:round/>
            </a:ln>
            <a:effectLst/>
          </c:spPr>
        </c:majorGridlines>
        <c:numFmt formatCode="#\ ##0.0000000000000000000000" sourceLinked="1"/>
        <c:majorTickMark val="none"/>
        <c:minorTickMark val="none"/>
        <c:tickLblPos val="nextTo"/>
        <c:crossAx val="451185584"/>
        <c:crosses val="autoZero"/>
        <c:crossBetween val="midCat"/>
      </c:valAx>
      <c:valAx>
        <c:axId val="682944704"/>
        <c:scaling>
          <c:orientation val="minMax"/>
        </c:scaling>
        <c:delete val="1"/>
        <c:axPos val="r"/>
        <c:numFmt formatCode="General" sourceLinked="1"/>
        <c:majorTickMark val="out"/>
        <c:minorTickMark val="none"/>
        <c:tickLblPos val="nextTo"/>
        <c:crossAx val="606951240"/>
        <c:crosses val="max"/>
        <c:crossBetween val="midCat"/>
      </c:valAx>
      <c:catAx>
        <c:axId val="606951240"/>
        <c:scaling>
          <c:orientation val="minMax"/>
        </c:scaling>
        <c:delete val="1"/>
        <c:axPos val="t"/>
        <c:numFmt formatCode="#\ ##0.0" sourceLinked="1"/>
        <c:majorTickMark val="out"/>
        <c:minorTickMark val="none"/>
        <c:tickLblPos val="nextTo"/>
        <c:crossAx val="682944704"/>
        <c:crosses val="max"/>
        <c:auto val="1"/>
        <c:lblAlgn val="ctr"/>
        <c:lblOffset val="100"/>
        <c:tickLblSkip val="255"/>
        <c:noMultiLvlLbl val="0"/>
      </c:cat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sk-SK"/>
        </a:p>
      </c:txPr>
    </c:legend>
    <c:plotVisOnly val="1"/>
    <c:dispBlanksAs val="zero"/>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solidFill>
      <a:round/>
    </a:ln>
    <a:effectLst/>
  </c:spPr>
  <c:txPr>
    <a:bodyPr/>
    <a:lstStyle/>
    <a:p>
      <a:pPr>
        <a:defRPr/>
      </a:pPr>
      <a:endParaRPr lang="sk-SK"/>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7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ln w="9525" cap="flat" cmpd="sng" algn="ctr">
        <a:solidFill>
          <a:schemeClr val="tx1">
            <a:lumMod val="15000"/>
            <a:lumOff val="85000"/>
          </a:schemeClr>
        </a:solidFill>
        <a:round/>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0.00719</cdr:x>
      <cdr:y>0.93834</cdr:y>
    </cdr:from>
    <cdr:to>
      <cdr:x>0.03696</cdr:x>
      <cdr:y>0.9866</cdr:y>
    </cdr:to>
    <cdr:sp macro="" textlink="">
      <cdr:nvSpPr>
        <cdr:cNvPr id="2" name="TextBox 1">
          <a:extLst xmlns:a="http://schemas.openxmlformats.org/drawingml/2006/main">
            <a:ext uri="{FF2B5EF4-FFF2-40B4-BE49-F238E27FC236}">
              <a16:creationId xmlns:a16="http://schemas.microsoft.com/office/drawing/2014/main" id="{C7C1E863-BAA5-42E1-9CDC-E76944F0D290}"/>
            </a:ext>
          </a:extLst>
        </cdr:cNvPr>
        <cdr:cNvSpPr txBox="1"/>
      </cdr:nvSpPr>
      <cdr:spPr>
        <a:xfrm xmlns:a="http://schemas.openxmlformats.org/drawingml/2006/main">
          <a:off x="83343" y="4167187"/>
          <a:ext cx="345282" cy="214313"/>
        </a:xfrm>
        <a:prstGeom xmlns:a="http://schemas.openxmlformats.org/drawingml/2006/main" prst="rect">
          <a:avLst/>
        </a:prstGeom>
        <a:solidFill xmlns:a="http://schemas.openxmlformats.org/drawingml/2006/main">
          <a:schemeClr val="bg1"/>
        </a:solidFill>
        <a:ln xmlns:a="http://schemas.openxmlformats.org/drawingml/2006/main">
          <a:solidFill>
            <a:schemeClr val="bg1"/>
          </a:solidFill>
        </a:ln>
      </cdr:spPr>
      <cdr:txBody>
        <a:bodyPr xmlns:a="http://schemas.openxmlformats.org/drawingml/2006/main" vertOverflow="clip" wrap="square" rtlCol="0"/>
        <a:lstStyle xmlns:a="http://schemas.openxmlformats.org/drawingml/2006/main"/>
        <a:p xmlns:a="http://schemas.openxmlformats.org/drawingml/2006/main">
          <a:endParaRPr lang="sk-SK" sz="1100"/>
        </a:p>
      </cdr:txBody>
    </cdr:sp>
  </cdr:relSizeAnchor>
</c:userShapes>
</file>

<file path=word/drawings/drawing2.xml><?xml version="1.0" encoding="utf-8"?>
<c:userShapes xmlns:c="http://schemas.openxmlformats.org/drawingml/2006/chart">
  <cdr:relSizeAnchor xmlns:cdr="http://schemas.openxmlformats.org/drawingml/2006/chartDrawing">
    <cdr:from>
      <cdr:x>0.00886</cdr:x>
      <cdr:y>0.94906</cdr:y>
    </cdr:from>
    <cdr:to>
      <cdr:x>0.03248</cdr:x>
      <cdr:y>0.9866</cdr:y>
    </cdr:to>
    <cdr:sp macro="" textlink="">
      <cdr:nvSpPr>
        <cdr:cNvPr id="2" name="TextBox 1">
          <a:extLst xmlns:a="http://schemas.openxmlformats.org/drawingml/2006/main">
            <a:ext uri="{FF2B5EF4-FFF2-40B4-BE49-F238E27FC236}">
              <a16:creationId xmlns:a16="http://schemas.microsoft.com/office/drawing/2014/main" id="{1869CDE3-DFAD-41A7-8FA7-77990B6F4BFA}"/>
            </a:ext>
          </a:extLst>
        </cdr:cNvPr>
        <cdr:cNvSpPr txBox="1"/>
      </cdr:nvSpPr>
      <cdr:spPr>
        <a:xfrm xmlns:a="http://schemas.openxmlformats.org/drawingml/2006/main">
          <a:off x="107157" y="4214812"/>
          <a:ext cx="285750" cy="166688"/>
        </a:xfrm>
        <a:prstGeom xmlns:a="http://schemas.openxmlformats.org/drawingml/2006/main" prst="rect">
          <a:avLst/>
        </a:prstGeom>
        <a:solidFill xmlns:a="http://schemas.openxmlformats.org/drawingml/2006/main">
          <a:schemeClr val="bg1"/>
        </a:solidFill>
      </cdr:spPr>
      <cdr:txBody>
        <a:bodyPr xmlns:a="http://schemas.openxmlformats.org/drawingml/2006/main" vertOverflow="clip" wrap="square" rtlCol="0"/>
        <a:lstStyle xmlns:a="http://schemas.openxmlformats.org/drawingml/2006/main"/>
        <a:p xmlns:a="http://schemas.openxmlformats.org/drawingml/2006/main">
          <a:endParaRPr lang="sk-SK" sz="1100"/>
        </a:p>
      </cdr:txBody>
    </cdr:sp>
  </cdr:relSizeAnchor>
</c:userShapes>
</file>

<file path=word/drawings/drawing3.xml><?xml version="1.0" encoding="utf-8"?>
<c:userShapes xmlns:c="http://schemas.openxmlformats.org/drawingml/2006/chart">
  <cdr:relSizeAnchor xmlns:cdr="http://schemas.openxmlformats.org/drawingml/2006/chartDrawing">
    <cdr:from>
      <cdr:x>0.01029</cdr:x>
      <cdr:y>0.9407</cdr:y>
    </cdr:from>
    <cdr:to>
      <cdr:x>0.03189</cdr:x>
      <cdr:y>0.98652</cdr:y>
    </cdr:to>
    <cdr:sp macro="" textlink="">
      <cdr:nvSpPr>
        <cdr:cNvPr id="2" name="TextBox 1">
          <a:extLst xmlns:a="http://schemas.openxmlformats.org/drawingml/2006/main">
            <a:ext uri="{FF2B5EF4-FFF2-40B4-BE49-F238E27FC236}">
              <a16:creationId xmlns:a16="http://schemas.microsoft.com/office/drawing/2014/main" id="{71C7A429-E1F3-451C-8494-A890F056A9B8}"/>
            </a:ext>
          </a:extLst>
        </cdr:cNvPr>
        <cdr:cNvSpPr txBox="1"/>
      </cdr:nvSpPr>
      <cdr:spPr>
        <a:xfrm xmlns:a="http://schemas.openxmlformats.org/drawingml/2006/main">
          <a:off x="119062" y="4155279"/>
          <a:ext cx="250031" cy="202407"/>
        </a:xfrm>
        <a:prstGeom xmlns:a="http://schemas.openxmlformats.org/drawingml/2006/main" prst="rect">
          <a:avLst/>
        </a:prstGeom>
        <a:solidFill xmlns:a="http://schemas.openxmlformats.org/drawingml/2006/main">
          <a:schemeClr val="bg1"/>
        </a:solidFill>
        <a:ln xmlns:a="http://schemas.openxmlformats.org/drawingml/2006/main">
          <a:noFill/>
        </a:ln>
      </cdr:spPr>
      <cdr:txBody>
        <a:bodyPr xmlns:a="http://schemas.openxmlformats.org/drawingml/2006/main" vertOverflow="clip" wrap="square" rtlCol="0"/>
        <a:lstStyle xmlns:a="http://schemas.openxmlformats.org/drawingml/2006/main"/>
        <a:p xmlns:a="http://schemas.openxmlformats.org/drawingml/2006/main">
          <a:endParaRPr lang="sk-SK" sz="1100"/>
        </a:p>
      </cdr:txBody>
    </cdr:sp>
  </cdr:relSizeAnchor>
</c:userShape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94D4A25D-BBE3-4E5D-B1D4-8C8E973B81F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146</Pages>
  <Words>52234</Words>
  <Characters>297740</Characters>
  <Application>Microsoft Office Word</Application>
  <DocSecurity>0</DocSecurity>
  <Lines>2481</Lines>
  <Paragraphs>698</Paragraphs>
  <ScaleCrop>false</ScaleCrop>
  <HeadingPairs>
    <vt:vector size="2" baseType="variant">
      <vt:variant>
        <vt:lpstr>Názov</vt:lpstr>
      </vt:variant>
      <vt:variant>
        <vt:i4>1</vt:i4>
      </vt:variant>
    </vt:vector>
  </HeadingPairs>
  <TitlesOfParts>
    <vt:vector size="1" baseType="lpstr">
      <vt:lpstr/>
    </vt:vector>
  </TitlesOfParts>
  <Company/>
  <LinksUpToDate>false</LinksUpToDate>
  <CharactersWithSpaces>349276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Ing. Peter Harabín</dc:creator>
  <cp:lastModifiedBy>Garaj.Miroslav</cp:lastModifiedBy>
  <cp:revision>3</cp:revision>
  <cp:lastPrinted>2021-10-26T14:21:00Z</cp:lastPrinted>
  <dcterms:created xsi:type="dcterms:W3CDTF">2021-11-24T12:29:00Z</dcterms:created>
  <dcterms:modified xsi:type="dcterms:W3CDTF">2021-12-13T17:25:00Z</dcterms:modified>
</cp:coreProperties>
</file>